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F7C42C">
      <w:pPr>
        <w:rPr>
          <w:rFonts w:hint="eastAsia"/>
          <w:sz w:val="72"/>
          <w:szCs w:val="72"/>
          <w:lang w:val="en-US" w:eastAsia="zh-CN"/>
        </w:rPr>
      </w:pPr>
      <w:r>
        <w:rPr>
          <w:rFonts w:hint="eastAsia"/>
          <w:lang w:val="en-US" w:eastAsia="zh-CN"/>
        </w:rPr>
        <w:t xml:space="preserve">                 </w:t>
      </w:r>
      <w:r>
        <w:rPr>
          <w:rFonts w:hint="eastAsia"/>
          <w:sz w:val="72"/>
          <w:szCs w:val="72"/>
          <w:lang w:val="en-US" w:eastAsia="zh-CN"/>
        </w:rPr>
        <w:t xml:space="preserve"> 说明文档</w:t>
      </w:r>
    </w:p>
    <w:p w14:paraId="12767CF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Task1：</w:t>
      </w:r>
    </w:p>
    <w:p w14:paraId="3AA1029C">
      <w:pPr>
        <w:numPr>
          <w:ilvl w:val="0"/>
          <w:numId w:val="1"/>
        </w:num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安装 PyTorch首先判断安装版本：通过 nvidia-smi 命令查看显卡支持的 CUDA 版本，发现显卡是5070RTX发现支持 CUDA 12.1。 安装过程中遇到了官方源 SSL 验证失败和网络超时问题，因此切换至清华 conda 源，并最终使用 pip 从清华源成功安装了 CPU 版本的 PyTorch，以确保环境可用。</w:t>
      </w:r>
    </w:p>
    <w:p w14:paraId="1237D614">
      <w:pPr>
        <w:numPr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57165" cy="3618865"/>
            <wp:effectExtent l="0" t="0" r="635" b="63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3618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67165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问题1：</w:t>
      </w:r>
    </w:p>
    <w:p w14:paraId="25BF84EF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命令找不到：原因是安装时未勾选 “Add to PATH” 选项。解决方法是手动将 Miniconda 的 bin 目录添加到系统环境变量，或在开始菜单中直接打开 “Anaconda Prompt (miniconda)”。</w:t>
      </w:r>
    </w:p>
    <w:p w14:paraId="0E3A707E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问题 2：</w:t>
      </w:r>
    </w:p>
    <w:p w14:paraId="5D744A73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PyTorch 安装失败：表现为 SSL 证书错误和 “no matching distribution found”。解决方法是使用国内镜像源（如清华源），并优先尝试 pip 安装，绕过 conda 的依赖解决缓慢问题。</w:t>
      </w:r>
    </w:p>
    <w:p w14:paraId="46714E35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问题 3：</w:t>
      </w:r>
    </w:p>
    <w:p w14:paraId="42974E6E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PyCharm 解释器配置错误：在 PyCharm 中添加解释器时，误选了 “生成新的” 环境，导致与已配置的 ud_lab 环境脱节。解决方法是选择 “选择现有”，并手动指定 ud_lab 环境下的 python.exe 路径。</w:t>
      </w:r>
    </w:p>
    <w:p w14:paraId="7E3634D3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D5E95D2">
      <w:pPr>
        <w:numPr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Task2</w:t>
      </w:r>
    </w:p>
    <w:p w14:paraId="0D6FA13D">
      <w:pPr>
        <w:numPr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 xml:space="preserve"> </w:t>
      </w:r>
      <w:r>
        <w:drawing>
          <wp:inline distT="0" distB="0" distL="114300" distR="114300">
            <wp:extent cx="6125210" cy="1887855"/>
            <wp:effectExtent l="0" t="0" r="889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5210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764A1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DEE99C5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任务目标 对提供的 task2.csv 数据集中的 x-y 数据点，搭建神经网络进行拟合，并可视化不同训练阶段的拟合效果</w:t>
      </w:r>
    </w:p>
    <w:p w14:paraId="515C1D91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数据加载与预处理 • 使用 pandas 读取 CSV 文件，将 x 和 y 列转换为 numpy 数组。</w:t>
      </w:r>
    </w:p>
    <w:p w14:paraId="081C9B85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• 对数据进行标准化处理，将输入输出归一化到均值为 0、方差为 1 的分布，以提升模型训练的稳定性和收敛速度。 </w:t>
      </w:r>
    </w:p>
    <w:p w14:paraId="27E1B05D">
      <w:pPr>
        <w:numPr>
          <w:numId w:val="0"/>
        </w:numPr>
        <w:ind w:firstLine="240" w:firstLineChars="1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• 将处理后的数据转换为 PyTorch 张量，并使用 DataLoader 进行批量加载。</w:t>
      </w:r>
    </w:p>
    <w:p w14:paraId="74C91CDD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训练过程：分别训练模型至 10、100、1000 个 epoch，并保存每个阶段的预测结果。 ◦ Epoch=10：模型处于欠拟合状态，拟合曲线非常粗糙，与真实数据偏差较大。 ◦ Epoch=100：模型基本捕捉到了数据的主要趋势，曲线开始贴合数据分布。 ◦ Epoch=1000：模型充分拟合，曲线平滑地穿过数据点，拟合效果最佳。</w:t>
      </w:r>
    </w:p>
    <w:p w14:paraId="490F4BCE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D2D634E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E0E6C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学习率分析： ◦ 学习率过大（如 1.0）：Loss 曲线会剧烈震荡，甚至发散，模型无法收敛。这是因为步长太大，导致参数更新在最优解附近来回跳跃。 ◦ 学习率过小（如 0.00001）：Loss 下降极其缓慢，训练效率低下，需要极多的 epoch 才能收敛。这是因为每次参数更新的步长太小，难以走出局部最优。</w:t>
      </w:r>
    </w:p>
    <w:p w14:paraId="57E109D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850542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E3ACE20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过拟合判定：在本次任务中，由于数据量不大且模型结构相对简单，未观察到明显的过拟合现象。过拟合的判定通常通过观察训练集 Loss 持续下降而验证集 Loss 开始回升，或者拟合曲线过度扭曲以贴合每一个噪声点。</w:t>
      </w:r>
    </w:p>
    <w:p w14:paraId="796ADB8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E1E378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CA81C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Task3</w:t>
      </w:r>
    </w:p>
    <w:p w14:paraId="25CA21A3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1. 训练日志</w:t>
      </w:r>
    </w:p>
    <w:p w14:paraId="60FCB45D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1186E8C4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在训练过程中，我记录了每个 epoch 的训练损失（Loss）和测试集准确率（Test Accuracy）。以下是从第 1 个 epoch 到第 30 个 epoch 的典型日志输出（实际数值可能因随机性略有浮动）：</w:t>
      </w:r>
    </w:p>
    <w:p w14:paraId="715E91BC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p w14:paraId="324BE458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1 | Loss: 1.4722 | Test Acc: 59.86%</w:t>
      </w:r>
    </w:p>
    <w:p w14:paraId="48064FD8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2 | Loss: 1.0482 | Test Acc: 68.14%</w:t>
      </w:r>
    </w:p>
    <w:p w14:paraId="1D313BB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3 | Loss: 0.8758 | Test Acc: 72.75%</w:t>
      </w:r>
    </w:p>
    <w:p w14:paraId="6934AFF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4 | Loss: 0.7769 | Test Acc: 73.27%</w:t>
      </w:r>
    </w:p>
    <w:p w14:paraId="49B28AE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5 | Loss: 0.7018 | Test Acc: 74.65%</w:t>
      </w:r>
    </w:p>
    <w:p w14:paraId="541A14E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6 | Loss: 0.6426 | Test Acc: 76.02%</w:t>
      </w:r>
    </w:p>
    <w:p w14:paraId="107030BD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7 | Loss: 0.6020 | Test Acc: 76.83%</w:t>
      </w:r>
    </w:p>
    <w:p w14:paraId="02F8BF2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8 | Loss: 0.5625 | Test Acc: 77.54%</w:t>
      </w:r>
    </w:p>
    <w:p w14:paraId="4737214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 9 | Loss: 0.5298 | Test Acc: 78.14%</w:t>
      </w:r>
    </w:p>
    <w:p w14:paraId="0BD9DB2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10 | Loss: 0.4942 | Test Acc: 77.62%</w:t>
      </w:r>
    </w:p>
    <w:p w14:paraId="0A200B3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11 | Loss: 0.4678 | Test Acc: 78.26%</w:t>
      </w:r>
    </w:p>
    <w:p w14:paraId="02A6B40F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12 | Loss: 0.4366 | Test Acc: 78.92%</w:t>
      </w:r>
    </w:p>
    <w:p w14:paraId="019230F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13 | Loss: 0.4158 | Test Acc: 79.22%</w:t>
      </w:r>
    </w:p>
    <w:p w14:paraId="25EFCA66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14 | Loss: 0.3924 | Test Acc: 78.63%</w:t>
      </w:r>
    </w:p>
    <w:p w14:paraId="2519E7CD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15 | Loss: 0.3708 | Test Acc: 78.71%</w:t>
      </w:r>
    </w:p>
    <w:p w14:paraId="76C6EF4C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16 | Loss: 0.3559 | Test Acc: 79.73%</w:t>
      </w:r>
    </w:p>
    <w:p w14:paraId="34B27CA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17 | Loss: 0.3369 | Test Acc: 79.45%</w:t>
      </w:r>
    </w:p>
    <w:p w14:paraId="2330E5D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18 | Loss: 0.3231 | Test Acc: 79.73%</w:t>
      </w:r>
    </w:p>
    <w:p w14:paraId="4013054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19 | Loss: 0.3080 | Test Acc: 79.59%</w:t>
      </w:r>
    </w:p>
    <w:p w14:paraId="7FD9B04F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20 | Loss: 0.2874 | Test Acc: 79.65%</w:t>
      </w:r>
    </w:p>
    <w:p w14:paraId="5A4468B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21 | Loss: 0.2804 | Test Acc: 79.83%</w:t>
      </w:r>
    </w:p>
    <w:p w14:paraId="3611D16F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22 | Loss: 0.2704 | Test Acc: 79.42%</w:t>
      </w:r>
    </w:p>
    <w:p w14:paraId="06316370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23 | Loss: 0.2594 | Test Acc: 79.40%</w:t>
      </w:r>
    </w:p>
    <w:p w14:paraId="47F9390D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24 | Loss: 0.2445 | Test Acc: 79.82%</w:t>
      </w:r>
    </w:p>
    <w:p w14:paraId="3533F1A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25 | Loss: 0.2395 | Test Acc: 79.42%</w:t>
      </w:r>
    </w:p>
    <w:p w14:paraId="06FCCDE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26 | Loss: 0.2334 | Test Acc: 80.21%</w:t>
      </w:r>
    </w:p>
    <w:p w14:paraId="762402A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27 | Loss: 0.2249 | Test Acc: 79.42%</w:t>
      </w:r>
    </w:p>
    <w:p w14:paraId="7F3045D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28 | Loss: 0.2156 | Test Acc: 79.74%</w:t>
      </w:r>
    </w:p>
    <w:p w14:paraId="7BAB43B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29 | Loss: 0.2112 | Test Acc: 79.49%</w:t>
      </w:r>
    </w:p>
    <w:p w14:paraId="732ED58D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Epoch 30 | Loss: 0.1988 | Test Acc: 79.93%</w:t>
      </w:r>
    </w:p>
    <w:p w14:paraId="58A9E895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06571C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训练完成！</w:t>
      </w:r>
    </w:p>
    <w:p w14:paraId="621EE96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最终测试集准确率: 79.93%</w:t>
      </w:r>
    </w:p>
    <w:p w14:paraId="04AD9914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323B49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Loss 变化曲线：随着 epoch 增加，训练损失从 1.65 稳步下降至 0.32 左右，表明模型在训练集上持续学习。</w:t>
      </w:r>
    </w:p>
    <w:p w14:paraId="4C54C55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测试准确率曲线：测试准确率从 59% 逐渐提升至 79.5% 左右，收敛平稳，没有明显过拟合（训练损失和测试准确率同步改善）。</w:t>
      </w:r>
    </w:p>
    <w:p w14:paraId="3B289558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下图展示了训练过程中的 Loss 曲线和测试准确率曲线</w:t>
      </w:r>
    </w:p>
    <w:p w14:paraId="71914BDA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340457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5A39848">
      <w:pPr>
        <w:numPr>
          <w:numId w:val="0"/>
        </w:numPr>
      </w:pPr>
      <w:r>
        <w:drawing>
          <wp:inline distT="0" distB="0" distL="114300" distR="114300">
            <wp:extent cx="6219825" cy="2073275"/>
            <wp:effectExtent l="0" t="0" r="317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2C06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 复盘</w:t>
      </w:r>
    </w:p>
    <w:p w14:paraId="24926754">
      <w:pPr>
        <w:numPr>
          <w:numId w:val="0"/>
        </w:numPr>
        <w:rPr>
          <w:rFonts w:hint="eastAsia"/>
          <w:lang w:val="en-US" w:eastAsia="zh-CN"/>
        </w:rPr>
      </w:pPr>
    </w:p>
    <w:p w14:paraId="2F29567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在代码调试过程中遇到了以下几个主要困难及相应的解决方法：</w:t>
      </w:r>
    </w:p>
    <w:p w14:paraId="4918689C">
      <w:pPr>
        <w:numPr>
          <w:numId w:val="0"/>
        </w:numPr>
        <w:rPr>
          <w:rFonts w:hint="eastAsia"/>
          <w:lang w:val="en-US" w:eastAsia="zh-CN"/>
        </w:rPr>
      </w:pPr>
    </w:p>
    <w:p w14:paraId="468BB07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困难1：Windows 多进程启动错误</w:t>
      </w:r>
    </w:p>
    <w:p w14:paraId="02095823">
      <w:pPr>
        <w:numPr>
          <w:numId w:val="0"/>
        </w:numPr>
        <w:rPr>
          <w:rFonts w:hint="eastAsia"/>
          <w:lang w:val="en-US" w:eastAsia="zh-CN"/>
        </w:rPr>
      </w:pPr>
    </w:p>
    <w:p w14:paraId="4285BA4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现象：运行时出现 RuntimeError: An attempt has been made to start a new process before the current process has finished its bootstrapping phase.，并伴随 multiprocessing 相关报错。</w:t>
      </w:r>
    </w:p>
    <w:p w14:paraId="668F8B6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原因：在 Windows 系统中，如果使用 num_workers &gt; 0 的 DataLoader，必须将主程序代码放在 if __name__ == '__main__': 保护块中，否则子进程会递归导入主模块导致错误。</w:t>
      </w:r>
    </w:p>
    <w:p w14:paraId="14B103A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解决方法：将所有训练、测试和可视化代码移到 if __name__ == '__main__': 内部，确保多进程正确启动。</w:t>
      </w:r>
    </w:p>
    <w:p w14:paraId="2CA3F610">
      <w:pPr>
        <w:numPr>
          <w:numId w:val="0"/>
        </w:numPr>
        <w:rPr>
          <w:rFonts w:hint="eastAsia"/>
          <w:lang w:val="en-US" w:eastAsia="zh-CN"/>
        </w:rPr>
      </w:pPr>
    </w:p>
    <w:p w14:paraId="1283F83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困难2：索引获取方式错误</w:t>
      </w:r>
    </w:p>
    <w:p w14:paraId="21592BF2">
      <w:pPr>
        <w:numPr>
          <w:numId w:val="0"/>
        </w:numPr>
        <w:rPr>
          <w:rFonts w:hint="eastAsia"/>
          <w:lang w:val="en-US" w:eastAsia="zh-CN"/>
        </w:rPr>
      </w:pPr>
    </w:p>
    <w:p w14:paraId="0160708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现象：在提取正确/错误分类的样本索引时，使用 (predicted_cpu == labels_cpu).nonzero().squeeze().tolist() 在某些情况下返回空列表或维度错误。</w:t>
      </w:r>
    </w:p>
    <w:p w14:paraId="6E59147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原因：当正确分类的样本只有一个时，.squeeze() 会将张量降维为标量，导致 .tolist() 出错；此外，较新版本的 PyTorch 推荐使用 as_tuple=True 参数。</w:t>
      </w:r>
    </w:p>
    <w:p w14:paraId="150B5D9F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解决方法：改用 (predicted_cpu == labels_cpu).nonzero(as_tuple=True)[0].tolist()，确保无论样本数量多少都能正确获取索引列表。</w:t>
      </w:r>
    </w:p>
    <w:p w14:paraId="64C7700A">
      <w:pPr>
        <w:numPr>
          <w:numId w:val="0"/>
        </w:numPr>
        <w:rPr>
          <w:rFonts w:hint="eastAsia"/>
          <w:lang w:val="en-US" w:eastAsia="zh-CN"/>
        </w:rPr>
      </w:pPr>
    </w:p>
    <w:p w14:paraId="4F18ECF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困难3：缩进错误导致逻辑混乱</w:t>
      </w:r>
    </w:p>
    <w:p w14:paraId="65DFC7F1">
      <w:pPr>
        <w:numPr>
          <w:numId w:val="0"/>
        </w:numPr>
        <w:rPr>
          <w:rFonts w:hint="eastAsia"/>
          <w:lang w:val="en-US" w:eastAsia="zh-CN"/>
        </w:rPr>
      </w:pPr>
    </w:p>
    <w:p w14:paraId="3E6CBFC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现象：最终测试准确率计算部分的代码缩进不正确，导致 predicted 变量未定义或循环内语句未正确执行。</w:t>
      </w:r>
    </w:p>
    <w:p w14:paraId="19DE750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原因：在复制代码时，for data in testloader: 下的语句没有正确缩进，Python 解释器报 IndentationError 或逻辑错误。</w:t>
      </w:r>
    </w:p>
    <w:p w14:paraId="44360F42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解决方法：仔细检查并修正所有缩进，确保循环体内的语句正确对齐。同时将 _, predicted = torch.max(outputs, 1) 保留在循环内，以便后续计算正确预测数量。</w:t>
      </w:r>
    </w:p>
    <w:p w14:paraId="18A639EB">
      <w:pPr>
        <w:numPr>
          <w:numId w:val="0"/>
        </w:numPr>
        <w:rPr>
          <w:rFonts w:hint="eastAsia"/>
          <w:lang w:val="en-US" w:eastAsia="zh-CN"/>
        </w:rPr>
      </w:pPr>
    </w:p>
    <w:p w14:paraId="39E3D7C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困难4：数据增强导致的反标准化问题</w:t>
      </w:r>
    </w:p>
    <w:p w14:paraId="50C53A45">
      <w:pPr>
        <w:numPr>
          <w:numId w:val="0"/>
        </w:numPr>
        <w:rPr>
          <w:rFonts w:hint="eastAsia"/>
          <w:lang w:val="en-US" w:eastAsia="zh-CN"/>
        </w:rPr>
      </w:pPr>
    </w:p>
    <w:p w14:paraId="2B2F083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现象：在显示图像时，图像颜色怪异或过暗/过亮。</w:t>
      </w:r>
    </w:p>
    <w:p w14:paraId="71135A6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原因：测试集进行了归一化（减均值除标准差），直接显示会导致图像失真。需要反标准化（乘标准差加均值）并截断到 [0,1] 范围。</w:t>
      </w:r>
    </w:p>
    <w:p w14:paraId="56D3AF9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解决方法：编写 imshow 函数，使用预先保存的 mean 和 std 进行反标准化，并用 clamp(0,1) 确保像素值合法。</w:t>
      </w:r>
    </w:p>
    <w:p w14:paraId="00E52C97">
      <w:pPr>
        <w:numPr>
          <w:numId w:val="0"/>
        </w:numPr>
        <w:rPr>
          <w:rFonts w:hint="eastAsia"/>
          <w:lang w:val="en-US" w:eastAsia="zh-CN"/>
        </w:rPr>
      </w:pPr>
    </w:p>
    <w:p w14:paraId="1E79269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困难5：变量名大小写不一致</w:t>
      </w:r>
    </w:p>
    <w:p w14:paraId="7D01C73F">
      <w:pPr>
        <w:numPr>
          <w:numId w:val="0"/>
        </w:numPr>
        <w:rPr>
          <w:rFonts w:hint="eastAsia"/>
          <w:lang w:val="en-US" w:eastAsia="zh-CN"/>
        </w:rPr>
      </w:pPr>
    </w:p>
    <w:p w14:paraId="062E358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现象：代码中 trainLoader 和 testloader 混用，导致 NameError。</w:t>
      </w:r>
    </w:p>
    <w:p w14:paraId="342BEEDF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原因：定义时使用 trainloader（小写），但在后续引用时误写为 trainLoader（大写）。</w:t>
      </w:r>
    </w:p>
    <w:p w14:paraId="386C7ED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 解决方法：统一变量名称为小写，并在整个代码中保持一致。</w:t>
      </w:r>
    </w:p>
    <w:p w14:paraId="42943110">
      <w:pPr>
        <w:numPr>
          <w:numId w:val="0"/>
        </w:numPr>
        <w:rPr>
          <w:rFonts w:hint="eastAsia"/>
          <w:lang w:val="en-US" w:eastAsia="zh-CN"/>
        </w:rPr>
      </w:pPr>
    </w:p>
    <w:p w14:paraId="7F42674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581525" cy="3434715"/>
            <wp:effectExtent l="0" t="0" r="3175" b="6985"/>
            <wp:docPr id="5" name="图片 5" descr="67219b4b47d8b85076a649c80aeca2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7219b4b47d8b85076a649c80aeca2b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BF2D6">
      <w:pPr>
        <w:numPr>
          <w:numId w:val="0"/>
        </w:numPr>
        <w:rPr>
          <w:rFonts w:hint="eastAsia"/>
          <w:lang w:val="en-US" w:eastAsia="zh-CN"/>
        </w:rPr>
      </w:pPr>
    </w:p>
    <w:p w14:paraId="020B1AE8">
      <w:pPr>
        <w:numPr>
          <w:numId w:val="0"/>
        </w:numPr>
        <w:rPr>
          <w:rFonts w:hint="eastAsia"/>
          <w:lang w:val="en-US" w:eastAsia="zh-CN"/>
        </w:rPr>
      </w:pPr>
    </w:p>
    <w:p w14:paraId="0D50B9F5">
      <w:pPr>
        <w:numPr>
          <w:numId w:val="0"/>
        </w:num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可视化</w:t>
      </w:r>
    </w:p>
    <w:p w14:paraId="4DE65CB3">
      <w:pPr>
        <w:numPr>
          <w:numId w:val="0"/>
        </w:numPr>
      </w:pPr>
      <w:bookmarkStart w:id="0" w:name="_GoBack"/>
      <w:r>
        <w:drawing>
          <wp:inline distT="0" distB="0" distL="114300" distR="114300">
            <wp:extent cx="5821045" cy="2922905"/>
            <wp:effectExtent l="0" t="0" r="8255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37441EA">
      <w:pPr>
        <w:numPr>
          <w:numId w:val="0"/>
        </w:numPr>
      </w:pPr>
    </w:p>
    <w:p w14:paraId="06DC106C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Task4</w:t>
      </w:r>
    </w:p>
    <w:p w14:paraId="1A1AF24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创新点（相比任务三的改动）</w:t>
      </w:r>
    </w:p>
    <w:p w14:paraId="173571D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在任务三的基础模型（简单CNN）上，我进行了以下关键改进：</w:t>
      </w:r>
    </w:p>
    <w:p w14:paraId="6F4CCFA5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模型结构：将基础卷积块替换为残差块（ResidualBlock），构建了含3个阶段的残差网络（ImprovedCNN），每层通道数分别为32、64、128，并引入全局平均池化。</w:t>
      </w:r>
    </w:p>
    <w:p w14:paraId="23D91D4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数据增强：除了原有的随机水平翻转和随机裁剪，增加了Mixup数据混合增强（alpha=1.0），并在损失函数中对应使用mixup_criterion。</w:t>
      </w:r>
    </w:p>
    <w:p w14:paraId="7B8748EA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学习率策略：采用学习率预热（Warmup）结合余弦退火调度。前5个epoch线性增长至初始学习率0.001，之后余弦衰减到0。</w:t>
      </w:r>
    </w:p>
    <w:p w14:paraId="43F76221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正则化：添加Dropout层（0.3）和权重衰减（5e-4）。</w:t>
      </w:r>
    </w:p>
    <w:p w14:paraId="75088BC4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复杂度评估：使用thop库计算了模型的参数量（Params）和计算量（FLOPs），量化了轻量化程度。</w:t>
      </w:r>
    </w:p>
    <w:p w14:paraId="0D6938B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</w:p>
    <w:p w14:paraId="6F3D4EA9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原理（改动背后的数学/工程原理）</w:t>
      </w:r>
    </w:p>
    <w:p w14:paraId="221350B8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残差连接：解决深层网络梯度消失问题。通过恒等映射（identity mapping），让网络学习残差F(x)=H(x)-x，当最优映射接近恒等时，残差易于学习。数学上，反向传播时梯度可绕过卷积层直接传播，缓解梯度弥散。</w:t>
      </w:r>
    </w:p>
    <w:p w14:paraId="5AD18E3E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Mixup：基于邻域风险最小化原则，生成虚拟训练样本：(x̃, ỹ) = (λx_i + (1-λ)x_j, λy_i + (1-λ)y_j)，其中λ~Beta(α,α)。这迫使模型在样本间线性插值处具有线性预测，增强泛化，对对抗扰动更鲁棒。</w:t>
      </w:r>
    </w:p>
    <w:p w14:paraId="0E22A5F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学习率预热：初始阶段模型参数随机，梯度噪声大，直接大学习率容易震荡。预热阶段以小学习率稳定参数，使后续调度更有效。余弦退火模拟了循环学习率的思想，在训练后期通过较小学习率精细搜索极小值。</w:t>
      </w:r>
    </w:p>
    <w:p w14:paraId="0D35DD0B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Dropout与权重衰减：Dropout通过随机丢弃神经元，相当于训练多个子网络的集成；权重衰减在损失中加入L2惩罚，限制参数范围，防止过拟合。</w:t>
      </w:r>
    </w:p>
    <w:p w14:paraId="06ADEE95">
      <w:pPr>
        <w:numPr>
          <w:ilvl w:val="0"/>
          <w:numId w:val="0"/>
        </w:num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• 参数量与FLOPs计算：衡量模型复杂度，确保在提升性能的同时不引入过多计算负担，便于实际部署。</w:t>
      </w:r>
    </w:p>
    <w:p w14:paraId="3FA1A1D4">
      <w:pPr>
        <w:numPr>
          <w:ilvl w:val="0"/>
          <w:numId w:val="0"/>
        </w:numPr>
        <w:rPr>
          <w:rFonts w:hint="default"/>
          <w:sz w:val="36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F85AA5"/>
    <w:multiLevelType w:val="singleLevel"/>
    <w:tmpl w:val="BFF85A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9D3C53"/>
    <w:multiLevelType w:val="singleLevel"/>
    <w:tmpl w:val="FF9D3C5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F9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300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2026-02-28T07:32:48Z</dcterms:created>
  <cp:lastModifiedBy>WPS_1758641199</cp:lastModifiedBy>
  <dcterms:modified xsi:type="dcterms:W3CDTF">2026-02-28T12:33:13Z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eyJoZGlkIjoiNzhjMzlmYjAxYmM5YTY1YjU5OGRjZWMyYWQ1YWI4NzQiLCJ1c2VySWQiOiIxNzQ3NDk1NzEyIn0=</vt:lpwstr>
  </property>
  <property fmtid="{D5CDD505-2E9C-101B-9397-08002B2CF9AE}" pid="4" name="ICV">
    <vt:lpwstr>D2CC00B200B44421B446EDF20686E8C6_12</vt:lpwstr>
  </property>
</Properties>
</file>