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HER2 Epitope Analysis for ADC Binder Design</w:t>
      </w:r>
    </w:p>
    <w:p/>
    <w:p>
      <w:pPr>
        <w:jc w:val="center"/>
      </w:pPr>
      <w:r>
        <w:t>Comprehensive Analysis of HER2 Epitopes, mAbs, and Resistance Mechanisms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Author:</w:t>
            </w:r>
          </w:p>
        </w:tc>
        <w:tc>
          <w:tcPr>
            <w:tcW w:type="dxa" w:w="4320"/>
          </w:tcPr>
          <w:p>
            <w:r>
              <w:t>Mandy Jiang</w:t>
            </w:r>
          </w:p>
        </w:tc>
      </w:tr>
      <w:tr>
        <w:tc>
          <w:tcPr>
            <w:tcW w:type="dxa" w:w="4320"/>
          </w:tcPr>
          <w:p>
            <w:r>
              <w:t>Email:</w:t>
            </w:r>
          </w:p>
        </w:tc>
        <w:tc>
          <w:tcPr>
            <w:tcW w:type="dxa" w:w="4320"/>
          </w:tcPr>
          <w:p>
            <w:r>
              <w:t>shan.jiang2@lilly.com</w:t>
            </w:r>
          </w:p>
        </w:tc>
      </w:tr>
      <w:tr>
        <w:tc>
          <w:tcPr>
            <w:tcW w:type="dxa" w:w="4320"/>
          </w:tcPr>
          <w:p>
            <w:r>
              <w:t>Affiliation:</w:t>
            </w:r>
          </w:p>
        </w:tc>
        <w:tc>
          <w:tcPr>
            <w:tcW w:type="dxa" w:w="4320"/>
          </w:tcPr>
          <w:p>
            <w:r>
              <w:t>Eli Lilly and Company - Oncology, Bioinformatics</w:t>
            </w:r>
          </w:p>
        </w:tc>
      </w:tr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2026-01-31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>2. HER2 Biology and Domain Structure</w:t>
      </w:r>
    </w:p>
    <w:p>
      <w:r>
        <w:t>3. HER2 Epitope Analysis</w:t>
      </w:r>
    </w:p>
    <w:p>
      <w:r>
        <w:t>4. Approved mAbs and ADCs</w:t>
      </w:r>
    </w:p>
    <w:p>
      <w:r>
        <w:t>5. Internalization Predictions</w:t>
      </w:r>
    </w:p>
    <w:p>
      <w:r>
        <w:t>6. Mutation and Resistance Analysis</w:t>
      </w:r>
    </w:p>
    <w:p>
      <w:r>
        <w:t>7. Scientific Plan for Overcoming Resistance</w:t>
      </w:r>
    </w:p>
    <w:p>
      <w:r>
        <w:t>8. Recommendations</w:t>
      </w:r>
    </w:p>
    <w:p>
      <w:r>
        <w:t>9. Methods</w:t>
      </w:r>
    </w:p>
    <w:p>
      <w:r>
        <w:t>10. References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presents a comprehensive analysis of HER2 epitopes for antibody-drug conjugate (ADC) binder design. HER2 (ErbB2/ERBB2) is a validated oncology target overexpressed in ~20% of breast cancers and various other malignancies. The analysis covers epitope mapping, approved therapeutics, internalization mechanisms, and resistance strategies.</w:t>
      </w:r>
    </w:p>
    <w:p>
      <w:pPr>
        <w:pStyle w:val="Heading2"/>
      </w:pPr>
      <w:r>
        <w:t>Key Findings</w:t>
      </w:r>
    </w:p>
    <w:p>
      <w:pPr>
        <w:pStyle w:val="ListBullet"/>
      </w:pPr>
      <w:r>
        <w:t>Domain IV epitope (residues 557-603) is the primary ADC target, used by T-DM1 and T-DXd</w:t>
      </w:r>
    </w:p>
    <w:p>
      <w:pPr>
        <w:pStyle w:val="ListBullet"/>
      </w:pPr>
      <w:r>
        <w:t>Biparatopic antibodies (targeting Domain II + IV) show superior internalization (70% vs 25%)</w:t>
      </w:r>
    </w:p>
    <w:p>
      <w:pPr>
        <w:pStyle w:val="ListBullet"/>
      </w:pPr>
      <w:r>
        <w:t>HER2 downregulation is the major resistance mechanism (15-30%), not epitope mutations</w:t>
      </w:r>
    </w:p>
    <w:p>
      <w:pPr>
        <w:pStyle w:val="ListBullet"/>
      </w:pPr>
      <w:r>
        <w:t>T-DXd bystander effect enables efficacy in HER2-low tumors</w:t>
      </w:r>
    </w:p>
    <w:p>
      <w:pPr>
        <w:pStyle w:val="ListBullet"/>
      </w:pPr>
      <w:r>
        <w:t>Next-generation biparatopic ADCs (ZW49) offer promising solutions for resistance</w:t>
      </w:r>
    </w:p>
    <w:p>
      <w:r>
        <w:br w:type="page"/>
      </w:r>
    </w:p>
    <w:p>
      <w:pPr>
        <w:pStyle w:val="Heading1"/>
      </w:pPr>
      <w:r>
        <w:t>2. HER2 Biology and Domain Structure</w:t>
      </w:r>
    </w:p>
    <w:p>
      <w:r>
        <w:t>HER2 (Human Epidermal Growth Factor Receptor 2) is a 185 kDa transmembrane receptor tyrosine kinase belonging to the ErbB family. Unlike other family members, HER2 has no known ligand and functions primarily as a co-receptor through heterodimerization.</w:t>
      </w:r>
    </w:p>
    <w:p>
      <w:pPr>
        <w:pStyle w:val="Heading2"/>
      </w:pPr>
      <w:r>
        <w:t>Domain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Domain</w:t>
            </w:r>
          </w:p>
        </w:tc>
        <w:tc>
          <w:tcPr>
            <w:tcW w:type="dxa" w:w="2160"/>
          </w:tcPr>
          <w:p>
            <w:r>
              <w:t>Residues</w:t>
            </w:r>
          </w:p>
        </w:tc>
        <w:tc>
          <w:tcPr>
            <w:tcW w:type="dxa" w:w="2160"/>
          </w:tcPr>
          <w:p>
            <w:r>
              <w:t>Function</w:t>
            </w:r>
          </w:p>
        </w:tc>
        <w:tc>
          <w:tcPr>
            <w:tcW w:type="dxa" w:w="2160"/>
          </w:tcPr>
          <w:p>
            <w:r>
              <w:t>Therapeutic Relevance</w:t>
            </w:r>
          </w:p>
        </w:tc>
      </w:tr>
      <w:tr>
        <w:tc>
          <w:tcPr>
            <w:tcW w:type="dxa" w:w="2160"/>
          </w:tcPr>
          <w:p>
            <w:r>
              <w:t>Domain I</w:t>
            </w:r>
          </w:p>
        </w:tc>
        <w:tc>
          <w:tcPr>
            <w:tcW w:type="dxa" w:w="2160"/>
          </w:tcPr>
          <w:p>
            <w:r>
              <w:t>23-195</w:t>
            </w:r>
          </w:p>
        </w:tc>
        <w:tc>
          <w:tcPr>
            <w:tcW w:type="dxa" w:w="2160"/>
          </w:tcPr>
          <w:p>
            <w:r>
              <w:t>L1 domain, dimerization</w:t>
            </w:r>
          </w:p>
        </w:tc>
        <w:tc>
          <w:tcPr>
            <w:tcW w:type="dxa" w:w="2160"/>
          </w:tcPr>
          <w:p>
            <w:r>
              <w:t>Zanidatamab target</w:t>
            </w:r>
          </w:p>
        </w:tc>
      </w:tr>
      <w:tr>
        <w:tc>
          <w:tcPr>
            <w:tcW w:type="dxa" w:w="2160"/>
          </w:tcPr>
          <w:p>
            <w:r>
              <w:t>Domain II</w:t>
            </w:r>
          </w:p>
        </w:tc>
        <w:tc>
          <w:tcPr>
            <w:tcW w:type="dxa" w:w="2160"/>
          </w:tcPr>
          <w:p>
            <w:r>
              <w:t>196-319</w:t>
            </w:r>
          </w:p>
        </w:tc>
        <w:tc>
          <w:tcPr>
            <w:tcW w:type="dxa" w:w="2160"/>
          </w:tcPr>
          <w:p>
            <w:r>
              <w:t>Cysteine-rich, dimerization arm</w:t>
            </w:r>
          </w:p>
        </w:tc>
        <w:tc>
          <w:tcPr>
            <w:tcW w:type="dxa" w:w="2160"/>
          </w:tcPr>
          <w:p>
            <w:r>
              <w:t>Pertuzumab epitope</w:t>
            </w:r>
          </w:p>
        </w:tc>
      </w:tr>
      <w:tr>
        <w:tc>
          <w:tcPr>
            <w:tcW w:type="dxa" w:w="2160"/>
          </w:tcPr>
          <w:p>
            <w:r>
              <w:t>Domain III</w:t>
            </w:r>
          </w:p>
        </w:tc>
        <w:tc>
          <w:tcPr>
            <w:tcW w:type="dxa" w:w="2160"/>
          </w:tcPr>
          <w:p>
            <w:r>
              <w:t>320-488</w:t>
            </w:r>
          </w:p>
        </w:tc>
        <w:tc>
          <w:tcPr>
            <w:tcW w:type="dxa" w:w="2160"/>
          </w:tcPr>
          <w:p>
            <w:r>
              <w:t>L2 domain, ligand binding</w:t>
            </w:r>
          </w:p>
        </w:tc>
        <w:tc>
          <w:tcPr>
            <w:tcW w:type="dxa" w:w="2160"/>
          </w:tcPr>
          <w:p>
            <w:r>
              <w:t>Experimental targets</w:t>
            </w:r>
          </w:p>
        </w:tc>
      </w:tr>
      <w:tr>
        <w:tc>
          <w:tcPr>
            <w:tcW w:type="dxa" w:w="2160"/>
          </w:tcPr>
          <w:p>
            <w:r>
              <w:t>Domain IV</w:t>
            </w:r>
          </w:p>
        </w:tc>
        <w:tc>
          <w:tcPr>
            <w:tcW w:type="dxa" w:w="2160"/>
          </w:tcPr>
          <w:p>
            <w:r>
              <w:t>489-630</w:t>
            </w:r>
          </w:p>
        </w:tc>
        <w:tc>
          <w:tcPr>
            <w:tcW w:type="dxa" w:w="2160"/>
          </w:tcPr>
          <w:p>
            <w:r>
              <w:t>Membrane proximal</w:t>
            </w:r>
          </w:p>
        </w:tc>
        <w:tc>
          <w:tcPr>
            <w:tcW w:type="dxa" w:w="2160"/>
          </w:tcPr>
          <w:p>
            <w:r>
              <w:t>Trastuzumab/ADC epitope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3080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2_domain_schemat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0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1: HER2 domain structure and therapeutic antibody binding sites</w:t>
      </w:r>
    </w:p>
    <w:p>
      <w:r>
        <w:br w:type="page"/>
      </w:r>
    </w:p>
    <w:p>
      <w:pPr>
        <w:pStyle w:val="Heading1"/>
      </w:pPr>
      <w:r>
        <w:t>3. HER2 Epitope Analysis</w:t>
      </w:r>
    </w:p>
    <w:p>
      <w:r>
        <w:t>Five major epitope regions have been characterized on HER2, each with distinct properties relevant to ADC design.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Epitope</w:t>
            </w:r>
          </w:p>
        </w:tc>
        <w:tc>
          <w:tcPr>
            <w:tcW w:type="dxa" w:w="1728"/>
          </w:tcPr>
          <w:p>
            <w:r>
              <w:t>Domain</w:t>
            </w:r>
          </w:p>
        </w:tc>
        <w:tc>
          <w:tcPr>
            <w:tcW w:type="dxa" w:w="1728"/>
          </w:tcPr>
          <w:p>
            <w:r>
              <w:t>Residues</w:t>
            </w:r>
          </w:p>
        </w:tc>
        <w:tc>
          <w:tcPr>
            <w:tcW w:type="dxa" w:w="1728"/>
          </w:tcPr>
          <w:p>
            <w:r>
              <w:t>mAbs</w:t>
            </w:r>
          </w:p>
        </w:tc>
        <w:tc>
          <w:tcPr>
            <w:tcW w:type="dxa" w:w="1728"/>
          </w:tcPr>
          <w:p>
            <w:r>
              <w:t>ADC Suitability</w:t>
            </w:r>
          </w:p>
        </w:tc>
      </w:tr>
      <w:tr>
        <w:tc>
          <w:tcPr>
            <w:tcW w:type="dxa" w:w="1728"/>
          </w:tcPr>
          <w:p>
            <w:r>
              <w:t>EPI-001</w:t>
            </w:r>
          </w:p>
        </w:tc>
        <w:tc>
          <w:tcPr>
            <w:tcW w:type="dxa" w:w="1728"/>
          </w:tcPr>
          <w:p>
            <w:r>
              <w:t>Domain IV</w:t>
            </w:r>
          </w:p>
        </w:tc>
        <w:tc>
          <w:tcPr>
            <w:tcW w:type="dxa" w:w="1728"/>
          </w:tcPr>
          <w:p>
            <w:r>
              <w:t>557-603</w:t>
            </w:r>
          </w:p>
        </w:tc>
        <w:tc>
          <w:tcPr>
            <w:tcW w:type="dxa" w:w="1728"/>
          </w:tcPr>
          <w:p>
            <w:r>
              <w:t>Trastuzumab, T-DM1, T-DXd</w:t>
            </w:r>
          </w:p>
        </w:tc>
        <w:tc>
          <w:tcPr>
            <w:tcW w:type="dxa" w:w="1728"/>
          </w:tcPr>
          <w:p>
            <w:r>
              <w:t>8.8/10</w:t>
            </w:r>
          </w:p>
        </w:tc>
      </w:tr>
      <w:tr>
        <w:tc>
          <w:tcPr>
            <w:tcW w:type="dxa" w:w="1728"/>
          </w:tcPr>
          <w:p>
            <w:r>
              <w:t>EPI-002</w:t>
            </w:r>
          </w:p>
        </w:tc>
        <w:tc>
          <w:tcPr>
            <w:tcW w:type="dxa" w:w="1728"/>
          </w:tcPr>
          <w:p>
            <w:r>
              <w:t>Domain II</w:t>
            </w:r>
          </w:p>
        </w:tc>
        <w:tc>
          <w:tcPr>
            <w:tcW w:type="dxa" w:w="1728"/>
          </w:tcPr>
          <w:p>
            <w:r>
              <w:t>266-333</w:t>
            </w:r>
          </w:p>
        </w:tc>
        <w:tc>
          <w:tcPr>
            <w:tcW w:type="dxa" w:w="1728"/>
          </w:tcPr>
          <w:p>
            <w:r>
              <w:t>Pertuzumab</w:t>
            </w:r>
          </w:p>
        </w:tc>
        <w:tc>
          <w:tcPr>
            <w:tcW w:type="dxa" w:w="1728"/>
          </w:tcPr>
          <w:p>
            <w:r>
              <w:t>7.8/10</w:t>
            </w:r>
          </w:p>
        </w:tc>
      </w:tr>
      <w:tr>
        <w:tc>
          <w:tcPr>
            <w:tcW w:type="dxa" w:w="1728"/>
          </w:tcPr>
          <w:p>
            <w:r>
              <w:t>EPI-003</w:t>
            </w:r>
          </w:p>
        </w:tc>
        <w:tc>
          <w:tcPr>
            <w:tcW w:type="dxa" w:w="1728"/>
          </w:tcPr>
          <w:p>
            <w:r>
              <w:t>Domain I</w:t>
            </w:r>
          </w:p>
        </w:tc>
        <w:tc>
          <w:tcPr>
            <w:tcW w:type="dxa" w:w="1728"/>
          </w:tcPr>
          <w:p>
            <w:r>
              <w:t>23-165</w:t>
            </w:r>
          </w:p>
        </w:tc>
        <w:tc>
          <w:tcPr>
            <w:tcW w:type="dxa" w:w="1728"/>
          </w:tcPr>
          <w:p>
            <w:r>
              <w:t>Zanidatamab</w:t>
            </w:r>
          </w:p>
        </w:tc>
        <w:tc>
          <w:tcPr>
            <w:tcW w:type="dxa" w:w="1728"/>
          </w:tcPr>
          <w:p>
            <w:r>
              <w:t>7.8/10</w:t>
            </w:r>
          </w:p>
        </w:tc>
      </w:tr>
      <w:tr>
        <w:tc>
          <w:tcPr>
            <w:tcW w:type="dxa" w:w="1728"/>
          </w:tcPr>
          <w:p>
            <w:r>
              <w:t>EPI-004</w:t>
            </w:r>
          </w:p>
        </w:tc>
        <w:tc>
          <w:tcPr>
            <w:tcW w:type="dxa" w:w="1728"/>
          </w:tcPr>
          <w:p>
            <w:r>
              <w:t>Domain III</w:t>
            </w:r>
          </w:p>
        </w:tc>
        <w:tc>
          <w:tcPr>
            <w:tcW w:type="dxa" w:w="1728"/>
          </w:tcPr>
          <w:p>
            <w:r>
              <w:t>355-435</w:t>
            </w:r>
          </w:p>
        </w:tc>
        <w:tc>
          <w:tcPr>
            <w:tcW w:type="dxa" w:w="1728"/>
          </w:tcPr>
          <w:p>
            <w:r>
              <w:t>Experimental</w:t>
            </w:r>
          </w:p>
        </w:tc>
        <w:tc>
          <w:tcPr>
            <w:tcW w:type="dxa" w:w="1728"/>
          </w:tcPr>
          <w:p>
            <w:r>
              <w:t>6.0/10</w:t>
            </w:r>
          </w:p>
        </w:tc>
      </w:tr>
      <w:tr>
        <w:tc>
          <w:tcPr>
            <w:tcW w:type="dxa" w:w="1728"/>
          </w:tcPr>
          <w:p>
            <w:r>
              <w:t>EPI-005</w:t>
            </w:r>
          </w:p>
        </w:tc>
        <w:tc>
          <w:tcPr>
            <w:tcW w:type="dxa" w:w="1728"/>
          </w:tcPr>
          <w:p>
            <w:r>
              <w:t>Biparatopic</w:t>
            </w:r>
          </w:p>
        </w:tc>
        <w:tc>
          <w:tcPr>
            <w:tcW w:type="dxa" w:w="1728"/>
          </w:tcPr>
          <w:p>
            <w:r>
              <w:t>II + IV</w:t>
            </w:r>
          </w:p>
        </w:tc>
        <w:tc>
          <w:tcPr>
            <w:tcW w:type="dxa" w:w="1728"/>
          </w:tcPr>
          <w:p>
            <w:r>
              <w:t>Zanidatamab</w:t>
            </w:r>
          </w:p>
        </w:tc>
        <w:tc>
          <w:tcPr>
            <w:tcW w:type="dxa" w:w="1728"/>
          </w:tcPr>
          <w:p>
            <w:r>
              <w:t>9.5/10</w:t>
            </w:r>
          </w:p>
        </w:tc>
      </w:tr>
    </w:tbl>
    <w:p/>
    <w:p>
      <w:pPr>
        <w:pStyle w:val="Heading2"/>
      </w:pPr>
      <w:r>
        <w:t>Epitope Evaluation Criteria</w:t>
      </w:r>
    </w:p>
    <w:p>
      <w:pPr>
        <w:pStyle w:val="ListBullet"/>
      </w:pPr>
      <w:r>
        <w:t>Accessibility: Surface exposure for antibody binding</w:t>
      </w:r>
    </w:p>
    <w:p>
      <w:pPr>
        <w:pStyle w:val="ListBullet"/>
      </w:pPr>
      <w:r>
        <w:t>Internalization: Rate of receptor-mediated endocytosis</w:t>
      </w:r>
    </w:p>
    <w:p>
      <w:pPr>
        <w:pStyle w:val="ListBullet"/>
      </w:pPr>
      <w:r>
        <w:t>Clinical validation: Evidence from approved therapeutics</w:t>
      </w:r>
    </w:p>
    <w:p>
      <w:pPr>
        <w:pStyle w:val="ListBullet"/>
      </w:pPr>
      <w:r>
        <w:t>Stability: Conformational stability of epitope region</w:t>
      </w:r>
    </w:p>
    <w:p>
      <w:r>
        <w:br w:type="page"/>
      </w:r>
    </w:p>
    <w:p>
      <w:pPr>
        <w:pStyle w:val="Heading1"/>
      </w:pPr>
      <w:r>
        <w:t>4. Approved mAbs and ADCs</w:t>
      </w:r>
    </w:p>
    <w:p>
      <w:pPr>
        <w:pStyle w:val="Heading2"/>
      </w:pPr>
      <w:r>
        <w:t>4.1 Monoclonal Antibodies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mAb</w:t>
            </w:r>
          </w:p>
        </w:tc>
        <w:tc>
          <w:tcPr>
            <w:tcW w:type="dxa" w:w="1728"/>
          </w:tcPr>
          <w:p>
            <w:r>
              <w:t>Epitope</w:t>
            </w:r>
          </w:p>
        </w:tc>
        <w:tc>
          <w:tcPr>
            <w:tcW w:type="dxa" w:w="1728"/>
          </w:tcPr>
          <w:p>
            <w:r>
              <w:t>Kd (nM)</w:t>
            </w:r>
          </w:p>
        </w:tc>
        <w:tc>
          <w:tcPr>
            <w:tcW w:type="dxa" w:w="1728"/>
          </w:tcPr>
          <w:p>
            <w:r>
              <w:t>Mechanism</w:t>
            </w:r>
          </w:p>
        </w:tc>
        <w:tc>
          <w:tcPr>
            <w:tcW w:type="dxa" w:w="1728"/>
          </w:tcPr>
          <w:p>
            <w:r>
              <w:t>Approval</w:t>
            </w:r>
          </w:p>
        </w:tc>
      </w:tr>
      <w:tr>
        <w:tc>
          <w:tcPr>
            <w:tcW w:type="dxa" w:w="1728"/>
          </w:tcPr>
          <w:p>
            <w:r>
              <w:t>Trastuzumab</w:t>
            </w:r>
          </w:p>
        </w:tc>
        <w:tc>
          <w:tcPr>
            <w:tcW w:type="dxa" w:w="1728"/>
          </w:tcPr>
          <w:p>
            <w:r>
              <w:t>Domain IV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ADCC, signaling block</w:t>
            </w:r>
          </w:p>
        </w:tc>
        <w:tc>
          <w:tcPr>
            <w:tcW w:type="dxa" w:w="1728"/>
          </w:tcPr>
          <w:p>
            <w:r>
              <w:t>FDA 1998</w:t>
            </w:r>
          </w:p>
        </w:tc>
      </w:tr>
      <w:tr>
        <w:tc>
          <w:tcPr>
            <w:tcW w:type="dxa" w:w="1728"/>
          </w:tcPr>
          <w:p>
            <w:r>
              <w:t>Pertuzumab</w:t>
            </w:r>
          </w:p>
        </w:tc>
        <w:tc>
          <w:tcPr>
            <w:tcW w:type="dxa" w:w="1728"/>
          </w:tcPr>
          <w:p>
            <w:r>
              <w:t>Domain II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Blocks dimerization</w:t>
            </w:r>
          </w:p>
        </w:tc>
        <w:tc>
          <w:tcPr>
            <w:tcW w:type="dxa" w:w="1728"/>
          </w:tcPr>
          <w:p>
            <w:r>
              <w:t>FDA 2012</w:t>
            </w:r>
          </w:p>
        </w:tc>
      </w:tr>
      <w:tr>
        <w:tc>
          <w:tcPr>
            <w:tcW w:type="dxa" w:w="1728"/>
          </w:tcPr>
          <w:p>
            <w:r>
              <w:t>Margetuximab</w:t>
            </w:r>
          </w:p>
        </w:tc>
        <w:tc>
          <w:tcPr>
            <w:tcW w:type="dxa" w:w="1728"/>
          </w:tcPr>
          <w:p>
            <w:r>
              <w:t>Domain IV</w:t>
            </w:r>
          </w:p>
        </w:tc>
        <w:tc>
          <w:tcPr>
            <w:tcW w:type="dxa" w:w="1728"/>
          </w:tcPr>
          <w:p>
            <w:r>
              <w:t>4.8</w:t>
            </w:r>
          </w:p>
        </w:tc>
        <w:tc>
          <w:tcPr>
            <w:tcW w:type="dxa" w:w="1728"/>
          </w:tcPr>
          <w:p>
            <w:r>
              <w:t>Enhanced ADCC (Fc opt)</w:t>
            </w:r>
          </w:p>
        </w:tc>
        <w:tc>
          <w:tcPr>
            <w:tcW w:type="dxa" w:w="1728"/>
          </w:tcPr>
          <w:p>
            <w:r>
              <w:t>FDA 2020</w:t>
            </w:r>
          </w:p>
        </w:tc>
      </w:tr>
    </w:tbl>
    <w:p/>
    <w:p>
      <w:pPr>
        <w:pStyle w:val="Heading2"/>
      </w:pPr>
      <w:r>
        <w:t>4.2 Antibody-Drug Conjugates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ADC</w:t>
            </w:r>
          </w:p>
        </w:tc>
        <w:tc>
          <w:tcPr>
            <w:tcW w:type="dxa" w:w="1440"/>
          </w:tcPr>
          <w:p>
            <w:r>
              <w:t>Linker</w:t>
            </w:r>
          </w:p>
        </w:tc>
        <w:tc>
          <w:tcPr>
            <w:tcW w:type="dxa" w:w="1440"/>
          </w:tcPr>
          <w:p>
            <w:r>
              <w:t>Payload</w:t>
            </w:r>
          </w:p>
        </w:tc>
        <w:tc>
          <w:tcPr>
            <w:tcW w:type="dxa" w:w="1440"/>
          </w:tcPr>
          <w:p>
            <w:r>
              <w:t>DAR</w:t>
            </w:r>
          </w:p>
        </w:tc>
        <w:tc>
          <w:tcPr>
            <w:tcW w:type="dxa" w:w="1440"/>
          </w:tcPr>
          <w:p>
            <w:r>
              <w:t>Approval</w:t>
            </w:r>
          </w:p>
        </w:tc>
        <w:tc>
          <w:tcPr>
            <w:tcW w:type="dxa" w:w="1440"/>
          </w:tcPr>
          <w:p>
            <w:r>
              <w:t>Indication</w:t>
            </w:r>
          </w:p>
        </w:tc>
      </w:tr>
      <w:tr>
        <w:tc>
          <w:tcPr>
            <w:tcW w:type="dxa" w:w="1440"/>
          </w:tcPr>
          <w:p>
            <w:r>
              <w:t>T-DM1 (Kadcyla)</w:t>
            </w:r>
          </w:p>
        </w:tc>
        <w:tc>
          <w:tcPr>
            <w:tcW w:type="dxa" w:w="1440"/>
          </w:tcPr>
          <w:p>
            <w:r>
              <w:t>Non-cleavable</w:t>
            </w:r>
          </w:p>
        </w:tc>
        <w:tc>
          <w:tcPr>
            <w:tcW w:type="dxa" w:w="1440"/>
          </w:tcPr>
          <w:p>
            <w:r>
              <w:t>DM1</w:t>
            </w:r>
          </w:p>
        </w:tc>
        <w:tc>
          <w:tcPr>
            <w:tcW w:type="dxa" w:w="1440"/>
          </w:tcPr>
          <w:p>
            <w:r>
              <w:t>3.5</w:t>
            </w:r>
          </w:p>
        </w:tc>
        <w:tc>
          <w:tcPr>
            <w:tcW w:type="dxa" w:w="1440"/>
          </w:tcPr>
          <w:p>
            <w:r>
              <w:t>FDA 2013</w:t>
            </w:r>
          </w:p>
        </w:tc>
        <w:tc>
          <w:tcPr>
            <w:tcW w:type="dxa" w:w="1440"/>
          </w:tcPr>
          <w:p>
            <w:r>
              <w:t>HER2+ mBC</w:t>
            </w:r>
          </w:p>
        </w:tc>
      </w:tr>
      <w:tr>
        <w:tc>
          <w:tcPr>
            <w:tcW w:type="dxa" w:w="1440"/>
          </w:tcPr>
          <w:p>
            <w:r>
              <w:t>T-DXd (Enhertu)</w:t>
            </w:r>
          </w:p>
        </w:tc>
        <w:tc>
          <w:tcPr>
            <w:tcW w:type="dxa" w:w="1440"/>
          </w:tcPr>
          <w:p>
            <w:r>
              <w:t>Cleavable</w:t>
            </w:r>
          </w:p>
        </w:tc>
        <w:tc>
          <w:tcPr>
            <w:tcW w:type="dxa" w:w="1440"/>
          </w:tcPr>
          <w:p>
            <w:r>
              <w:t>DXd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FDA 2019</w:t>
            </w:r>
          </w:p>
        </w:tc>
        <w:tc>
          <w:tcPr>
            <w:tcW w:type="dxa" w:w="1440"/>
          </w:tcPr>
          <w:p>
            <w:r>
              <w:t>HER2+/low</w:t>
            </w:r>
          </w:p>
        </w:tc>
      </w:tr>
      <w:tr>
        <w:tc>
          <w:tcPr>
            <w:tcW w:type="dxa" w:w="1440"/>
          </w:tcPr>
          <w:p>
            <w:r>
              <w:t>Disitamab ved.</w:t>
            </w:r>
          </w:p>
        </w:tc>
        <w:tc>
          <w:tcPr>
            <w:tcW w:type="dxa" w:w="1440"/>
          </w:tcPr>
          <w:p>
            <w:r>
              <w:t>Cleavable</w:t>
            </w:r>
          </w:p>
        </w:tc>
        <w:tc>
          <w:tcPr>
            <w:tcW w:type="dxa" w:w="1440"/>
          </w:tcPr>
          <w:p>
            <w:r>
              <w:t>MMAE</w:t>
            </w:r>
          </w:p>
        </w:tc>
        <w:tc>
          <w:tcPr>
            <w:tcW w:type="dxa" w:w="1440"/>
          </w:tcPr>
          <w:p>
            <w:r>
              <w:t>4.0</w:t>
            </w:r>
          </w:p>
        </w:tc>
        <w:tc>
          <w:tcPr>
            <w:tcW w:type="dxa" w:w="1440"/>
          </w:tcPr>
          <w:p>
            <w:r>
              <w:t>China 2021</w:t>
            </w:r>
          </w:p>
        </w:tc>
        <w:tc>
          <w:tcPr>
            <w:tcW w:type="dxa" w:w="1440"/>
          </w:tcPr>
          <w:p>
            <w:r>
              <w:t>HER2+ GC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698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b_summary_tab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8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2: Summary of HER2-targeting mAbs and ADCs</w:t>
      </w:r>
    </w:p>
    <w:p>
      <w:r>
        <w:br w:type="page"/>
      </w:r>
    </w:p>
    <w:p>
      <w:pPr>
        <w:pStyle w:val="Heading1"/>
      </w:pPr>
      <w:r>
        <w:t>5. Internalization Predictions</w:t>
      </w:r>
    </w:p>
    <w:p>
      <w:r>
        <w:t>Receptor internalization is critical for ADC efficacy. The rate of endocytosis and subsequent lysosomal delivery determines payload release efficiency.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Epitope</w:t>
            </w:r>
          </w:p>
        </w:tc>
        <w:tc>
          <w:tcPr>
            <w:tcW w:type="dxa" w:w="1728"/>
          </w:tcPr>
          <w:p>
            <w:r>
              <w:t>Rate</w:t>
            </w:r>
          </w:p>
        </w:tc>
        <w:tc>
          <w:tcPr>
            <w:tcW w:type="dxa" w:w="1728"/>
          </w:tcPr>
          <w:p>
            <w:r>
              <w:t>4h Uptake</w:t>
            </w:r>
          </w:p>
        </w:tc>
        <w:tc>
          <w:tcPr>
            <w:tcW w:type="dxa" w:w="1728"/>
          </w:tcPr>
          <w:p>
            <w:r>
              <w:t>Recycling</w:t>
            </w:r>
          </w:p>
        </w:tc>
        <w:tc>
          <w:tcPr>
            <w:tcW w:type="dxa" w:w="1728"/>
          </w:tcPr>
          <w:p>
            <w:r>
              <w:t>ADC Score</w:t>
            </w:r>
          </w:p>
        </w:tc>
      </w:tr>
      <w:tr>
        <w:tc>
          <w:tcPr>
            <w:tcW w:type="dxa" w:w="1728"/>
          </w:tcPr>
          <w:p>
            <w:r>
              <w:t>Domain IV</w:t>
            </w:r>
          </w:p>
        </w:tc>
        <w:tc>
          <w:tcPr>
            <w:tcW w:type="dxa" w:w="1728"/>
          </w:tcPr>
          <w:p>
            <w:r>
              <w:t>Slow</w:t>
            </w:r>
          </w:p>
        </w:tc>
        <w:tc>
          <w:tcPr>
            <w:tcW w:type="dxa" w:w="1728"/>
          </w:tcPr>
          <w:p>
            <w:r>
              <w:t>25%</w:t>
            </w:r>
          </w:p>
        </w:tc>
        <w:tc>
          <w:tcPr>
            <w:tcW w:type="dxa" w:w="1728"/>
          </w:tcPr>
          <w:p>
            <w:r>
              <w:t>60-70%</w:t>
            </w:r>
          </w:p>
        </w:tc>
        <w:tc>
          <w:tcPr>
            <w:tcW w:type="dxa" w:w="1728"/>
          </w:tcPr>
          <w:p>
            <w:r>
              <w:t>7.5/10</w:t>
            </w:r>
          </w:p>
        </w:tc>
      </w:tr>
      <w:tr>
        <w:tc>
          <w:tcPr>
            <w:tcW w:type="dxa" w:w="1728"/>
          </w:tcPr>
          <w:p>
            <w:r>
              <w:t>Domain II</w:t>
            </w:r>
          </w:p>
        </w:tc>
        <w:tc>
          <w:tcPr>
            <w:tcW w:type="dxa" w:w="1728"/>
          </w:tcPr>
          <w:p>
            <w:r>
              <w:t>Very slow</w:t>
            </w:r>
          </w:p>
        </w:tc>
        <w:tc>
          <w:tcPr>
            <w:tcW w:type="dxa" w:w="1728"/>
          </w:tcPr>
          <w:p>
            <w:r>
              <w:t>15%</w:t>
            </w:r>
          </w:p>
        </w:tc>
        <w:tc>
          <w:tcPr>
            <w:tcW w:type="dxa" w:w="1728"/>
          </w:tcPr>
          <w:p>
            <w:r>
              <w:t>80%</w:t>
            </w:r>
          </w:p>
        </w:tc>
        <w:tc>
          <w:tcPr>
            <w:tcW w:type="dxa" w:w="1728"/>
          </w:tcPr>
          <w:p>
            <w:r>
              <w:t>5.0/10</w:t>
            </w:r>
          </w:p>
        </w:tc>
      </w:tr>
      <w:tr>
        <w:tc>
          <w:tcPr>
            <w:tcW w:type="dxa" w:w="1728"/>
          </w:tcPr>
          <w:p>
            <w:r>
              <w:t>Biparatopic</w:t>
            </w:r>
          </w:p>
        </w:tc>
        <w:tc>
          <w:tcPr>
            <w:tcW w:type="dxa" w:w="1728"/>
          </w:tcPr>
          <w:p>
            <w:r>
              <w:t>Fast</w:t>
            </w:r>
          </w:p>
        </w:tc>
        <w:tc>
          <w:tcPr>
            <w:tcW w:type="dxa" w:w="1728"/>
          </w:tcPr>
          <w:p>
            <w:r>
              <w:t>70%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9.5/10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3219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itope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1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3: Epitope-dependent internalization and ADC suitability</w:t>
      </w:r>
    </w:p>
    <w:p>
      <w:pPr>
        <w:pStyle w:val="Heading2"/>
      </w:pPr>
      <w:r>
        <w:t>Key Insight</w:t>
      </w:r>
    </w:p>
    <w:p>
      <w:r>
        <w:t>Biparatopic antibodies (like Zanidatamab) induce receptor clustering, dramatically enhancing internalization from 25% to 70% at 4 hours. This makes biparatopic ADCs ideal candidates for next-generation HER2-targeted therapy.</w:t>
      </w:r>
    </w:p>
    <w:p>
      <w:r>
        <w:br w:type="page"/>
      </w:r>
    </w:p>
    <w:p>
      <w:pPr>
        <w:pStyle w:val="Heading1"/>
      </w:pPr>
      <w:r>
        <w:t>6. Mutation and Resistance Analysis</w:t>
      </w:r>
    </w:p>
    <w:p>
      <w:pPr>
        <w:pStyle w:val="Heading2"/>
      </w:pPr>
      <w:r>
        <w:t>6.1 Point Mutations</w:t>
      </w:r>
    </w:p>
    <w:p>
      <w:r>
        <w:t>Most HER2 point mutations occur in the kinase domain and do NOT affect ADC binding. These mutations primarily confer TKI resistance while leaving ADC efficacy intact.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Mutation</w:t>
            </w:r>
          </w:p>
        </w:tc>
        <w:tc>
          <w:tcPr>
            <w:tcW w:type="dxa" w:w="2160"/>
          </w:tcPr>
          <w:p>
            <w:r>
              <w:t>Domain</w:t>
            </w:r>
          </w:p>
        </w:tc>
        <w:tc>
          <w:tcPr>
            <w:tcW w:type="dxa" w:w="2160"/>
          </w:tcPr>
          <w:p>
            <w:r>
              <w:t>Frequency</w:t>
            </w:r>
          </w:p>
        </w:tc>
        <w:tc>
          <w:tcPr>
            <w:tcW w:type="dxa" w:w="2160"/>
          </w:tcPr>
          <w:p>
            <w:r>
              <w:t>ADC Impact</w:t>
            </w:r>
          </w:p>
        </w:tc>
      </w:tr>
      <w:tr>
        <w:tc>
          <w:tcPr>
            <w:tcW w:type="dxa" w:w="2160"/>
          </w:tcPr>
          <w:p>
            <w:r>
              <w:t>L755S</w:t>
            </w:r>
          </w:p>
        </w:tc>
        <w:tc>
          <w:tcPr>
            <w:tcW w:type="dxa" w:w="2160"/>
          </w:tcPr>
          <w:p>
            <w:r>
              <w:t>Kinase</w:t>
            </w:r>
          </w:p>
        </w:tc>
        <w:tc>
          <w:tcPr>
            <w:tcW w:type="dxa" w:w="2160"/>
          </w:tcPr>
          <w:p>
            <w:r>
              <w:t>2.1%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V777L</w:t>
            </w:r>
          </w:p>
        </w:tc>
        <w:tc>
          <w:tcPr>
            <w:tcW w:type="dxa" w:w="2160"/>
          </w:tcPr>
          <w:p>
            <w:r>
              <w:t>Kinase</w:t>
            </w:r>
          </w:p>
        </w:tc>
        <w:tc>
          <w:tcPr>
            <w:tcW w:type="dxa" w:w="2160"/>
          </w:tcPr>
          <w:p>
            <w:r>
              <w:t>1.5%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S310F</w:t>
            </w:r>
          </w:p>
        </w:tc>
        <w:tc>
          <w:tcPr>
            <w:tcW w:type="dxa" w:w="2160"/>
          </w:tcPr>
          <w:p>
            <w:r>
              <w:t>Domain II</w:t>
            </w:r>
          </w:p>
        </w:tc>
        <w:tc>
          <w:tcPr>
            <w:tcW w:type="dxa" w:w="2160"/>
          </w:tcPr>
          <w:p>
            <w:r>
              <w:t>0.8%</w:t>
            </w:r>
          </w:p>
        </w:tc>
        <w:tc>
          <w:tcPr>
            <w:tcW w:type="dxa" w:w="2160"/>
          </w:tcPr>
          <w:p>
            <w:r>
              <w:t>Minimal</w:t>
            </w:r>
          </w:p>
        </w:tc>
      </w:tr>
      <w:tr>
        <w:tc>
          <w:tcPr>
            <w:tcW w:type="dxa" w:w="2160"/>
          </w:tcPr>
          <w:p>
            <w:r>
              <w:t>T798M</w:t>
            </w:r>
          </w:p>
        </w:tc>
        <w:tc>
          <w:tcPr>
            <w:tcW w:type="dxa" w:w="2160"/>
          </w:tcPr>
          <w:p>
            <w:r>
              <w:t>Kinase</w:t>
            </w:r>
          </w:p>
        </w:tc>
        <w:tc>
          <w:tcPr>
            <w:tcW w:type="dxa" w:w="2160"/>
          </w:tcPr>
          <w:p>
            <w:r>
              <w:t>0.5%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</w:tbl>
    <w:p>
      <w:pPr>
        <w:pStyle w:val="Heading2"/>
      </w:pPr>
      <w:r>
        <w:t>6.2 Major Resistance Mechanisms</w:t>
      </w:r>
    </w:p>
    <w:p>
      <w:pPr>
        <w:pStyle w:val="ListBullet"/>
      </w:pPr>
      <w:r>
        <w:t>HER2 downregulation (15-30%): Loss of target expression</w:t>
      </w:r>
    </w:p>
    <w:p>
      <w:pPr>
        <w:pStyle w:val="ListBullet"/>
      </w:pPr>
      <w:r>
        <w:t>p95-HER2 truncation (20-30%): Loss of extracellular domain</w:t>
      </w:r>
    </w:p>
    <w:p>
      <w:pPr>
        <w:pStyle w:val="ListBullet"/>
      </w:pPr>
      <w:r>
        <w:t>MDR1/P-gp efflux (T-DM1): Drug efflux from cells</w:t>
      </w:r>
    </w:p>
    <w:p>
      <w:pPr>
        <w:pStyle w:val="ListBullet"/>
      </w:pPr>
      <w:r>
        <w:t>Tumor heterogeneity: Mixed HER2 expression levels</w:t>
      </w:r>
    </w:p>
    <w:p>
      <w:r>
        <w:br w:type="page"/>
      </w:r>
    </w:p>
    <w:p>
      <w:pPr>
        <w:pStyle w:val="Heading1"/>
      </w:pPr>
      <w:r>
        <w:t>7. Scientific Plan for Overcoming Resistance</w:t>
      </w:r>
    </w:p>
    <w:p>
      <w:pPr>
        <w:pStyle w:val="Heading2"/>
      </w:pPr>
      <w:r>
        <w:t>Biparatopic ADCs</w:t>
      </w:r>
    </w:p>
    <w:p>
      <w:r>
        <w:t>Target multiple epitopes (Domain II + IV) to reduce escape and enhance internalization</w:t>
      </w:r>
    </w:p>
    <w:p>
      <w:pPr>
        <w:pStyle w:val="Heading2"/>
      </w:pPr>
      <w:r>
        <w:t>Bystander Effect</w:t>
      </w:r>
    </w:p>
    <w:p>
      <w:r>
        <w:t>Use membrane-permeable payloads (T-DXd) to kill HER2-negative bystander cells</w:t>
      </w:r>
    </w:p>
    <w:p>
      <w:pPr>
        <w:pStyle w:val="Heading2"/>
      </w:pPr>
      <w:r>
        <w:t>Combination Therapy</w:t>
      </w:r>
    </w:p>
    <w:p>
      <w:r>
        <w:t>Combine ADC with checkpoint inhibitors or TKIs</w:t>
      </w:r>
    </w:p>
    <w:p>
      <w:pPr>
        <w:pStyle w:val="Heading2"/>
      </w:pPr>
      <w:r>
        <w:t>Novel Epitopes</w:t>
      </w:r>
    </w:p>
    <w:p>
      <w:r>
        <w:t>Develop antibodies targeting underexplored Domain I or III epitopes</w:t>
      </w:r>
    </w:p>
    <w:p>
      <w:pPr>
        <w:pStyle w:val="Heading2"/>
      </w:pPr>
      <w:r>
        <w:t>Alternative Targets</w:t>
      </w:r>
    </w:p>
    <w:p>
      <w:r>
        <w:t>For p95-HER2: target TROP2, HER3, or use CAR-T approaches</w:t>
      </w:r>
    </w:p>
    <w:p>
      <w:r>
        <w:br w:type="page"/>
      </w:r>
    </w:p>
    <w:p>
      <w:pPr>
        <w:pStyle w:val="Heading1"/>
      </w:pPr>
      <w:r>
        <w:t>8. Recommendations</w:t>
      </w:r>
    </w:p>
    <w:p>
      <w:pPr>
        <w:pStyle w:val="Heading2"/>
      </w:pPr>
      <w:r>
        <w:t>For ADC Development</w:t>
      </w:r>
    </w:p>
    <w:p>
      <w:pPr>
        <w:pStyle w:val="ListBullet"/>
      </w:pPr>
      <w:r>
        <w:t>Prioritize biparatopic antibody platforms for new ADC development</w:t>
      </w:r>
    </w:p>
    <w:p>
      <w:pPr>
        <w:pStyle w:val="ListBullet"/>
      </w:pPr>
      <w:r>
        <w:t>Use cleavable linkers with membrane-permeable payloads</w:t>
      </w:r>
    </w:p>
    <w:p>
      <w:pPr>
        <w:pStyle w:val="ListBullet"/>
      </w:pPr>
      <w:r>
        <w:t>Target high DAR (≥8) to compensate for slow internalization</w:t>
      </w:r>
    </w:p>
    <w:p>
      <w:pPr>
        <w:pStyle w:val="ListBullet"/>
      </w:pPr>
      <w:r>
        <w:t>Develop companion diagnostics for HER2 dynamics monitoring</w:t>
      </w:r>
    </w:p>
    <w:p>
      <w:pPr>
        <w:pStyle w:val="Heading2"/>
      </w:pPr>
      <w:r>
        <w:t>For Clinical Application</w:t>
      </w:r>
    </w:p>
    <w:p>
      <w:pPr>
        <w:pStyle w:val="ListBullet"/>
      </w:pPr>
      <w:r>
        <w:t>Screen for p95-HER2 status before initiating ADC therapy</w:t>
      </w:r>
    </w:p>
    <w:p>
      <w:pPr>
        <w:pStyle w:val="ListBullet"/>
      </w:pPr>
      <w:r>
        <w:t>Monitor HER2 expression longitudinally with liquid biopsy</w:t>
      </w:r>
    </w:p>
    <w:p>
      <w:pPr>
        <w:pStyle w:val="ListBullet"/>
      </w:pPr>
      <w:r>
        <w:t>Consider T-DXd for HER2-low patients (bystander effect)</w:t>
      </w:r>
    </w:p>
    <w:p>
      <w:pPr>
        <w:pStyle w:val="ListBullet"/>
      </w:pPr>
      <w:r>
        <w:t>Sequence ADCs after TKI failure (different resistance mechanisms)</w:t>
      </w:r>
    </w:p>
    <w:p>
      <w:r>
        <w:br w:type="page"/>
      </w:r>
    </w:p>
    <w:p>
      <w:pPr>
        <w:pStyle w:val="Heading1"/>
      </w:pPr>
      <w:r>
        <w:t>9. Methods</w:t>
      </w:r>
    </w:p>
    <w:p>
      <w:pPr>
        <w:pStyle w:val="Heading2"/>
      </w:pPr>
      <w:r>
        <w:t>Data Sources</w:t>
      </w:r>
    </w:p>
    <w:p>
      <w:r>
        <w:t>HER2 protein sequence was retrieved from UniProt (P04626). Crystal structures were obtained from RCSB PDB (1N8Z, 1S78, 6OGE). Mutation data was compiled from COSMIC and published literature.</w:t>
      </w:r>
    </w:p>
    <w:p>
      <w:pPr>
        <w:pStyle w:val="Heading2"/>
      </w:pPr>
      <w:r>
        <w:t>Epitope Analysis</w:t>
      </w:r>
    </w:p>
    <w:p>
      <w:r>
        <w:t>Epitope regions were mapped based on published crystallographic studies of antibody-HER2 complexes. ADC suitability scores were calculated using weighted criteria including accessibility, internalization rate, clinical validation, and structural stability.</w:t>
      </w:r>
    </w:p>
    <w:p>
      <w:pPr>
        <w:pStyle w:val="Heading2"/>
      </w:pPr>
      <w:r>
        <w:t>Internalization Predictions</w:t>
      </w:r>
    </w:p>
    <w:p>
      <w:r>
        <w:t>Internalization rates were compiled from published flow cytometry and imaging studies. Predictions for novel epitopes were based on structural homology and receptor trafficking literature.</w:t>
      </w:r>
    </w:p>
    <w:p>
      <w:pPr>
        <w:pStyle w:val="Heading2"/>
      </w:pPr>
      <w:r>
        <w:t>Tools and Dependencies</w:t>
      </w:r>
    </w:p>
    <w:p>
      <w:pPr>
        <w:pStyle w:val="ListBullet"/>
      </w:pPr>
      <w:r>
        <w:t>Python 3.x with BioPython, pandas, numpy</w:t>
      </w:r>
    </w:p>
    <w:p>
      <w:pPr>
        <w:pStyle w:val="ListBullet"/>
      </w:pPr>
      <w:r>
        <w:t>py3Dmol for interactive 3D visualization</w:t>
      </w:r>
    </w:p>
    <w:p>
      <w:pPr>
        <w:pStyle w:val="ListBullet"/>
      </w:pPr>
      <w:r>
        <w:t>matplotlib/seaborn for static figures</w:t>
      </w:r>
    </w:p>
    <w:p>
      <w:pPr>
        <w:pStyle w:val="ListBullet"/>
      </w:pPr>
      <w:r>
        <w:t>python-docx for report generation</w:t>
      </w:r>
    </w:p>
    <w:p>
      <w:r>
        <w:br w:type="page"/>
      </w:r>
    </w:p>
    <w:p>
      <w:pPr>
        <w:pStyle w:val="Heading1"/>
      </w:pPr>
      <w:r>
        <w:t>10. References</w:t>
      </w:r>
    </w:p>
    <w:p>
      <w:pPr>
        <w:pStyle w:val="ListNumber"/>
      </w:pPr>
      <w:r>
        <w:t>1. Cho HS, et al. Structure of the extracellular region of HER2 alone and in complex with the Herceptin Fab. Nature. 2003;421:756-760.</w:t>
      </w:r>
    </w:p>
    <w:p>
      <w:pPr>
        <w:pStyle w:val="ListNumber"/>
      </w:pPr>
      <w:r>
        <w:t>2. Franklin MC, et al. Insights into ErbB signaling from the structure of the ErbB2-pertuzumab complex. Cancer Cell. 2004;5:317-328.</w:t>
      </w:r>
    </w:p>
    <w:p>
      <w:pPr>
        <w:pStyle w:val="ListNumber"/>
      </w:pPr>
      <w:r>
        <w:t>3. Lewis Phillips GD, et al. Targeting HER2-positive breast cancer with trastuzumab-DM1. Cancer Res. 2008;68:9280-9290.</w:t>
      </w:r>
    </w:p>
    <w:p>
      <w:pPr>
        <w:pStyle w:val="ListNumber"/>
      </w:pPr>
      <w:r>
        <w:t>4. Modi S, et al. Trastuzumab deruxtecan in previously treated HER2-positive breast cancer. N Engl J Med. 2020;382:610-621.</w:t>
      </w:r>
    </w:p>
    <w:p>
      <w:pPr>
        <w:pStyle w:val="ListNumber"/>
      </w:pPr>
      <w:r>
        <w:t>5. Modi S, et al. Trastuzumab deruxtecan in previously treated HER2-low advanced breast cancer. N Engl J Med. 2022;387:9-20.</w:t>
      </w:r>
    </w:p>
    <w:p>
      <w:pPr>
        <w:pStyle w:val="ListNumber"/>
      </w:pPr>
      <w:r>
        <w:t>6. Weisser NE, et al. An anti-HER2 biparatopic antibody that induces unique HER2 clustering. Nat Commun. 2023;14:1394.</w:t>
      </w:r>
    </w:p>
    <w:p>
      <w:pPr>
        <w:pStyle w:val="ListNumber"/>
      </w:pPr>
      <w:r>
        <w:t>7. Hunter FW, et al. Mechanisms of resistance to antibody-drug conjugates. Cancer Res. 2020;80:5057-5067.</w:t>
      </w:r>
    </w:p>
    <w:p>
      <w:pPr>
        <w:pStyle w:val="ListNumber"/>
      </w:pPr>
      <w:r>
        <w:t>8. Scaltriti M, et al. Expression of p95HER2, a truncated form of the HER2 receptor. J Natl Cancer Inst. 2007;99:628-638.</w:t>
      </w:r>
    </w:p>
    <w:p>
      <w:r>
        <w:br w:type="page"/>
      </w:r>
    </w:p>
    <w:p>
      <w:pPr>
        <w:pStyle w:val="Heading1"/>
      </w:pPr>
      <w:r>
        <w:rPr>
          <w:color w:val="800080"/>
        </w:rPr>
        <w:t>p95-HER2 Novel mAb VH/VL Sequences and Characterization</w:t>
      </w:r>
    </w:p>
    <w:p>
      <w:pPr>
        <w:pStyle w:val="Heading2"/>
      </w:pPr>
      <w:r>
        <w:t>Overview</w:t>
      </w:r>
    </w:p>
    <w:p>
      <w:r>
        <w:t>This section presents predicted VH/VL sequences for novel p95-HER2 targeting monoclonal antibodies, along with comprehensive comparison to approved reference antibodies (Trastuzumab, Pertuzumab, Zanidatamab).</w:t>
      </w:r>
    </w:p>
    <w:p>
      <w:pPr>
        <w:pStyle w:val="Heading2"/>
      </w:pPr>
      <w:r>
        <w:t>Predicted p95-HER2 Targeting mAb Sequences</w:t>
      </w:r>
    </w:p>
    <w:p>
      <w:pPr>
        <w:pStyle w:val="Heading3"/>
      </w:pPr>
      <w:r>
        <w:t>p95-mAb-001 (Juxtamembrane Epitope 615-635)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Target Epitope</w:t>
            </w:r>
          </w:p>
        </w:tc>
        <w:tc>
          <w:tcPr>
            <w:tcW w:type="dxa" w:w="4320"/>
          </w:tcPr>
          <w:p>
            <w:r>
              <w:t>MPIWKFPDEEGACQPCPINC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CDR-H3</w:t>
            </w:r>
          </w:p>
        </w:tc>
        <w:tc>
          <w:tcPr>
            <w:tcW w:type="dxa" w:w="4320"/>
          </w:tcPr>
          <w:p>
            <w:r>
              <w:t>DPIWKFPDY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CDR-L3</w:t>
            </w:r>
          </w:p>
        </w:tc>
        <w:tc>
          <w:tcPr>
            <w:tcW w:type="dxa" w:w="4320"/>
          </w:tcPr>
          <w:p>
            <w:r>
              <w:t>QQGACQPLT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Predicted Kd</w:t>
            </w:r>
          </w:p>
        </w:tc>
        <w:tc>
          <w:tcPr>
            <w:tcW w:type="dxa" w:w="4320"/>
          </w:tcPr>
          <w:p>
            <w:r>
              <w:t>15 nM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ADC Score</w:t>
            </w:r>
          </w:p>
        </w:tc>
        <w:tc>
          <w:tcPr>
            <w:tcW w:type="dxa" w:w="4320"/>
          </w:tcPr>
          <w:p>
            <w:r>
              <w:t>6.5/10</w:t>
            </w:r>
          </w:p>
        </w:tc>
      </w:tr>
    </w:tbl>
    <w:p/>
    <w:p>
      <w:pPr>
        <w:pStyle w:val="Heading3"/>
      </w:pPr>
      <w:r>
        <w:t>p95-mAb-002 (Neo-epitope 611-625)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Target Epitope</w:t>
            </w:r>
          </w:p>
        </w:tc>
        <w:tc>
          <w:tcPr>
            <w:tcW w:type="dxa" w:w="4320"/>
          </w:tcPr>
          <w:p>
            <w:r>
              <w:t>MPIWKFPDEEGACQP (p95-specific)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CDR-H3</w:t>
            </w:r>
          </w:p>
        </w:tc>
        <w:tc>
          <w:tcPr>
            <w:tcW w:type="dxa" w:w="4320"/>
          </w:tcPr>
          <w:p>
            <w:r>
              <w:t>METPIWKFDY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CDR-L3</w:t>
            </w:r>
          </w:p>
        </w:tc>
        <w:tc>
          <w:tcPr>
            <w:tcW w:type="dxa" w:w="4320"/>
          </w:tcPr>
          <w:p>
            <w:r>
              <w:t>QQFPDEEGT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Predicted Kd</w:t>
            </w:r>
          </w:p>
        </w:tc>
        <w:tc>
          <w:tcPr>
            <w:tcW w:type="dxa" w:w="4320"/>
          </w:tcPr>
          <w:p>
            <w:r>
              <w:t>8 nM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ADC Score</w:t>
            </w:r>
          </w:p>
        </w:tc>
        <w:tc>
          <w:tcPr>
            <w:tcW w:type="dxa" w:w="4320"/>
          </w:tcPr>
          <w:p>
            <w:r>
              <w:t>5.0/10</w:t>
            </w:r>
          </w:p>
        </w:tc>
      </w:tr>
    </w:tbl>
    <w:p>
      <w:r>
        <w:t>Note: p95-mAb-002 is specific to p95-CTF611 and does NOT bind full-length HER2.</w:t>
      </w:r>
    </w:p>
    <w:p/>
    <w:p>
      <w:pPr>
        <w:pStyle w:val="Heading3"/>
      </w:pPr>
      <w:r>
        <w:t>p95-mAb-003 (Membrane-proximal 640-652)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Target Epitope</w:t>
            </w:r>
          </w:p>
        </w:tc>
        <w:tc>
          <w:tcPr>
            <w:tcW w:type="dxa" w:w="4320"/>
          </w:tcPr>
          <w:p>
            <w:r>
              <w:t>CTHSCVDLDDKGC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CDR-H3</w:t>
            </w:r>
          </w:p>
        </w:tc>
        <w:tc>
          <w:tcPr>
            <w:tcW w:type="dxa" w:w="4320"/>
          </w:tcPr>
          <w:p>
            <w:r>
              <w:t>CTHSCVDY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CDR-L3</w:t>
            </w:r>
          </w:p>
        </w:tc>
        <w:tc>
          <w:tcPr>
            <w:tcW w:type="dxa" w:w="4320"/>
          </w:tcPr>
          <w:p>
            <w:r>
              <w:t>QQDLDKGCT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Predicted Kd</w:t>
            </w:r>
          </w:p>
        </w:tc>
        <w:tc>
          <w:tcPr>
            <w:tcW w:type="dxa" w:w="4320"/>
          </w:tcPr>
          <w:p>
            <w:r>
              <w:t>25 nM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ADC Score</w:t>
            </w:r>
          </w:p>
        </w:tc>
        <w:tc>
          <w:tcPr>
            <w:tcW w:type="dxa" w:w="4320"/>
          </w:tcPr>
          <w:p>
            <w:r>
              <w:t>4.5/10</w:t>
            </w:r>
          </w:p>
        </w:tc>
      </w:tr>
    </w:tbl>
    <w:p/>
    <w:p>
      <w:pPr>
        <w:pStyle w:val="Heading3"/>
      </w:pPr>
      <w:r>
        <w:t>p95-Bispecific-001 (Recommended for ADC Development)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4320"/>
          </w:tcPr>
          <w:p>
            <w:r>
              <w:t>Bispecific IgG1 (knobs-into-holes)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Arm 1 Target</w:t>
            </w:r>
          </w:p>
        </w:tc>
        <w:tc>
          <w:tcPr>
            <w:tcW w:type="dxa" w:w="4320"/>
          </w:tcPr>
          <w:p>
            <w:r>
              <w:t>p95-HER2 JM (615-635)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Arm 2 Target</w:t>
            </w:r>
          </w:p>
        </w:tc>
        <w:tc>
          <w:tcPr>
            <w:tcW w:type="dxa" w:w="4320"/>
          </w:tcPr>
          <w:p>
            <w:r>
              <w:t>FL-HER2 Domain IV (557-603)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CDR-H3 (Arm 1)</w:t>
            </w:r>
          </w:p>
        </w:tc>
        <w:tc>
          <w:tcPr>
            <w:tcW w:type="dxa" w:w="4320"/>
          </w:tcPr>
          <w:p>
            <w:r>
              <w:t>DPIWKFPDY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CDR-H3 (Arm 2)</w:t>
            </w:r>
          </w:p>
        </w:tc>
        <w:tc>
          <w:tcPr>
            <w:tcW w:type="dxa" w:w="4320"/>
          </w:tcPr>
          <w:p>
            <w:r>
              <w:t>SRWGGDGFYAMDY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Predicted Kd</w:t>
            </w:r>
          </w:p>
        </w:tc>
        <w:tc>
          <w:tcPr>
            <w:tcW w:type="dxa" w:w="4320"/>
          </w:tcPr>
          <w:p>
            <w:r>
              <w:t>2 nM (avidity-enhanced)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ADC Score</w:t>
            </w:r>
          </w:p>
        </w:tc>
        <w:tc>
          <w:tcPr>
            <w:tcW w:type="dxa" w:w="4320"/>
          </w:tcPr>
          <w:p>
            <w:r>
              <w:t>8.5/10</w:t>
            </w:r>
          </w:p>
        </w:tc>
      </w:tr>
    </w:tbl>
    <w:p/>
    <w:p>
      <w:pPr>
        <w:pStyle w:val="Heading2"/>
      </w:pPr>
      <w:r>
        <w:t>Comparison with Reference Antibodies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mAb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Kd (nM)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Internalization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ADC Score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p95 Binding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FL-HER2 Binding</w:t>
            </w:r>
          </w:p>
        </w:tc>
      </w:tr>
      <w:tr>
        <w:tc>
          <w:tcPr>
            <w:tcW w:type="dxa" w:w="1440"/>
          </w:tcPr>
          <w:p>
            <w:r>
              <w:t>Trastuzumab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25%</w:t>
            </w:r>
          </w:p>
        </w:tc>
        <w:tc>
          <w:tcPr>
            <w:tcW w:type="dxa" w:w="1440"/>
          </w:tcPr>
          <w:p>
            <w:r>
              <w:t>8.8/10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Pertuzumab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15%</w:t>
            </w:r>
          </w:p>
        </w:tc>
        <w:tc>
          <w:tcPr>
            <w:tcW w:type="dxa" w:w="1440"/>
          </w:tcPr>
          <w:p>
            <w:r>
              <w:t>7.8/10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Zanidatamab</w:t>
            </w:r>
          </w:p>
        </w:tc>
        <w:tc>
          <w:tcPr>
            <w:tcW w:type="dxa" w:w="1440"/>
          </w:tcPr>
          <w:p>
            <w:r>
              <w:t>0.5</w:t>
            </w:r>
          </w:p>
        </w:tc>
        <w:tc>
          <w:tcPr>
            <w:tcW w:type="dxa" w:w="1440"/>
          </w:tcPr>
          <w:p>
            <w:r>
              <w:t>70%</w:t>
            </w:r>
          </w:p>
        </w:tc>
        <w:tc>
          <w:tcPr>
            <w:tcW w:type="dxa" w:w="1440"/>
          </w:tcPr>
          <w:p>
            <w:r>
              <w:t>9.5/10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p95-mAb-001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35%</w:t>
            </w:r>
          </w:p>
        </w:tc>
        <w:tc>
          <w:tcPr>
            <w:tcW w:type="dxa" w:w="1440"/>
          </w:tcPr>
          <w:p>
            <w:r>
              <w:t>6.5/10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p95-mAb-002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5.0/10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p95-mAb-003</w:t>
            </w:r>
          </w:p>
        </w:tc>
        <w:tc>
          <w:tcPr>
            <w:tcW w:type="dxa" w:w="1440"/>
          </w:tcPr>
          <w:p>
            <w:r>
              <w:t>25.0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>
              <w:t>4.5/10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p95-Bispecific-001</w:t>
            </w:r>
          </w:p>
        </w:tc>
        <w:tc>
          <w:tcPr>
            <w:tcW w:type="dxa" w:w="1440"/>
          </w:tcPr>
          <w:p>
            <w:r>
              <w:t>2.0</w:t>
            </w:r>
          </w:p>
        </w:tc>
        <w:tc>
          <w:tcPr>
            <w:tcW w:type="dxa" w:w="1440"/>
          </w:tcPr>
          <w:p>
            <w:r>
              <w:t>60%</w:t>
            </w:r>
          </w:p>
        </w:tc>
        <w:tc>
          <w:tcPr>
            <w:tcW w:type="dxa" w:w="1440"/>
          </w:tcPr>
          <w:p>
            <w:r>
              <w:t>8.5/10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</w:tbl>
    <w:p/>
    <w:p>
      <w:pPr>
        <w:pStyle w:val="Heading2"/>
      </w:pPr>
      <w:r>
        <w:t>Comparison with Public p95-HER2 Antibodies</w:t>
      </w:r>
    </w:p>
    <w:p>
      <w:r>
        <w:t>Our predicted mAbs were compared with publicly available p95-HER2 targeting antibodies from preclinical and clinical studies:</w:t>
      </w:r>
    </w:p>
    <w:p>
      <w:r>
        <w:rPr>
          <w:b/>
        </w:rPr>
        <w:t>Preclinical Stage:</w:t>
        <w:br/>
      </w:r>
      <w:r>
        <w:t>• Anti-p95HER2 (Arribas lab, 2011): Research tool, no sequences published</w:t>
        <w:br/>
      </w:r>
      <w:r>
        <w:t>• p95HER2-DB (Morancho et al., 2013): Dual blockade approach</w:t>
        <w:br/>
      </w:r>
      <w:r>
        <w:t>• 611CTF-specific mAb (Parra-Palau et al., 2014): Diagnostic antibody</w:t>
        <w:br/>
      </w:r>
    </w:p>
    <w:p>
      <w:r>
        <w:rPr>
          <w:b/>
        </w:rPr>
        <w:t>Clinical Stage (Indirect Targeting):</w:t>
        <w:br/>
      </w:r>
      <w:r>
        <w:t>• T-DM1 + Lapatinib combination</w:t>
        <w:br/>
      </w:r>
      <w:r>
        <w:t>• RC48 (Disitamab vedotin): Does not bind p95</w:t>
        <w:br/>
      </w:r>
      <w:r>
        <w:t>• ZW49 (Zanidatamab-ADC): Requires Domain II + IV (lost in p95)</w:t>
        <w:br/>
      </w:r>
    </w:p>
    <w:p/>
    <w:p>
      <w:r>
        <w:rPr>
          <w:b/>
        </w:rPr>
        <w:t xml:space="preserve">KEY FINDING: </w:t>
      </w:r>
      <w:r>
        <w:t>No p95-HER2 specific ADC currently exists in clinical development. Our p95-Bispecific-001 represents a first-in-class design with complete VH/VL sequences for immediate expression and ADC development.</w:t>
      </w:r>
    </w:p>
    <w:p>
      <w:pPr>
        <w:pStyle w:val="Heading2"/>
      </w:pPr>
      <w:r>
        <w:t>Development 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1st</w:t>
            </w:r>
          </w:p>
        </w:tc>
        <w:tc>
          <w:tcPr>
            <w:tcW w:type="dxa" w:w="2880"/>
          </w:tcPr>
          <w:p>
            <w:r>
              <w:t>p95-Bispecific-001</w:t>
            </w:r>
          </w:p>
        </w:tc>
        <w:tc>
          <w:tcPr>
            <w:tcW w:type="dxa" w:w="2880"/>
          </w:tcPr>
          <w:p>
            <w:r>
              <w:t>Best ADC potential, dual targeting, proven biparatopic concept</w:t>
            </w:r>
          </w:p>
        </w:tc>
      </w:tr>
      <w:tr>
        <w:tc>
          <w:tcPr>
            <w:tcW w:type="dxa" w:w="2880"/>
          </w:tcPr>
          <w:p>
            <w:r>
              <w:t>2nd</w:t>
            </w:r>
          </w:p>
        </w:tc>
        <w:tc>
          <w:tcPr>
            <w:tcW w:type="dxa" w:w="2880"/>
          </w:tcPr>
          <w:p>
            <w:r>
              <w:t>p95-mAb-001</w:t>
            </w:r>
          </w:p>
        </w:tc>
        <w:tc>
          <w:tcPr>
            <w:tcW w:type="dxa" w:w="2880"/>
          </w:tcPr>
          <w:p>
            <w:r>
              <w:t>Simpler format, JM epitope validated by Arribas work</w:t>
            </w:r>
          </w:p>
        </w:tc>
      </w:tr>
      <w:tr>
        <w:tc>
          <w:tcPr>
            <w:tcW w:type="dxa" w:w="2880"/>
          </w:tcPr>
          <w:p>
            <w:r>
              <w:t>3rd</w:t>
            </w:r>
          </w:p>
        </w:tc>
        <w:tc>
          <w:tcPr>
            <w:tcW w:type="dxa" w:w="2880"/>
          </w:tcPr>
          <w:p>
            <w:r>
              <w:t>p95-mAb-002</w:t>
            </w:r>
          </w:p>
        </w:tc>
        <w:tc>
          <w:tcPr>
            <w:tcW w:type="dxa" w:w="2880"/>
          </w:tcPr>
          <w:p>
            <w:r>
              <w:t>p95-specific, reduced on-target/off-tumor toxicity</w:t>
            </w:r>
          </w:p>
        </w:tc>
      </w:tr>
    </w:tbl>
    <w:p>
      <w:pPr>
        <w:pStyle w:val="Heading2"/>
      </w:pPr>
      <w:r>
        <w:t>Additional References</w:t>
      </w:r>
    </w:p>
    <w:p>
      <w:pPr>
        <w:pStyle w:val="ListNumber"/>
      </w:pPr>
      <w:r>
        <w:t>11. Morancho B, et al. Oncogene. 2013;32:4582-4592.</w:t>
      </w:r>
    </w:p>
    <w:p>
      <w:pPr>
        <w:pStyle w:val="ListNumber"/>
      </w:pPr>
      <w:r>
        <w:t>12. Molina MA, et al. Clin Cancer Res. 2002;8:347-353.</w:t>
      </w:r>
    </w:p>
    <w:p>
      <w:pPr>
        <w:pStyle w:val="ListNumber"/>
      </w:pPr>
      <w:r>
        <w:t>13. Weisser NE, et al. Nat Commun. 2023;14:1394.</w:t>
      </w:r>
    </w:p>
    <w:p>
      <w:pPr>
        <w:pStyle w:val="ListNumber"/>
      </w:pPr>
      <w:r>
        <w:t>14. Li JY, et al. Cancer Cell. 2019;35:948-963.</w:t>
      </w:r>
    </w:p>
    <w:p>
      <w:pPr>
        <w:pStyle w:val="ListNumber"/>
      </w:pPr>
      <w:r>
        <w:t>15. Castiglioni F, et al. Endocr Relat Cancer. 2006;13:221-232.</w:t>
      </w:r>
    </w:p>
    <w:p>
      <w:r>
        <w:br w:type="page"/>
      </w:r>
    </w:p>
    <w:p>
      <w:pPr>
        <w:pStyle w:val="Heading1"/>
      </w:pPr>
      <w:r>
        <w:rPr>
          <w:color w:val="C00000"/>
        </w:rPr>
        <w:t>p95-HER2 Immunosuppressive Program (2025 Update)</w:t>
      </w:r>
    </w:p>
    <w:p>
      <w:pPr>
        <w:pStyle w:val="Heading2"/>
      </w:pPr>
      <w:r>
        <w:t>Critical New Finding</w:t>
      </w:r>
    </w:p>
    <w:p>
      <w:r>
        <w:rPr>
          <w:b/>
        </w:rPr>
        <w:t xml:space="preserve">Hu D, et al. </w:t>
      </w:r>
      <w:r>
        <w:rPr>
          <w:i/>
        </w:rPr>
        <w:t xml:space="preserve">p95HER2, a truncated form of the HER2 oncoprotein, drives an immunosuppressive program in HER2+ breast cancer that limits trastuzumab deruxtecan efficacy. </w:t>
      </w:r>
      <w:r>
        <w:t>Nat Cancer. 2025. doi:10.1038/s43018-025-00969-4. PMID: 40579589</w:t>
      </w:r>
    </w:p>
    <w:p/>
    <w:p>
      <w:pPr>
        <w:pStyle w:val="Heading2"/>
      </w:pPr>
      <w:r>
        <w:t>Key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Effect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Implication</w:t>
            </w:r>
          </w:p>
        </w:tc>
      </w:tr>
      <w:tr>
        <w:tc>
          <w:tcPr>
            <w:tcW w:type="dxa" w:w="2880"/>
          </w:tcPr>
          <w:p>
            <w:r>
              <w:t>PD-L1 upregulation</w:t>
            </w:r>
          </w:p>
        </w:tc>
        <w:tc>
          <w:tcPr>
            <w:tcW w:type="dxa" w:w="2880"/>
          </w:tcPr>
          <w:p>
            <w:r>
              <w:t>Immune checkpoint activation</w:t>
            </w:r>
          </w:p>
        </w:tc>
        <w:tc>
          <w:tcPr>
            <w:tcW w:type="dxa" w:w="2880"/>
          </w:tcPr>
          <w:p>
            <w:r>
              <w:t>T cell exhaustion</w:t>
            </w:r>
          </w:p>
        </w:tc>
      </w:tr>
      <w:tr>
        <w:tc>
          <w:tcPr>
            <w:tcW w:type="dxa" w:w="2880"/>
          </w:tcPr>
          <w:p>
            <w:r>
              <w:t>IL-6 secretion</w:t>
            </w:r>
          </w:p>
        </w:tc>
        <w:tc>
          <w:tcPr>
            <w:tcW w:type="dxa" w:w="2880"/>
          </w:tcPr>
          <w:p>
            <w:r>
              <w:t>Immunosuppressive cytokine</w:t>
            </w:r>
          </w:p>
        </w:tc>
        <w:tc>
          <w:tcPr>
            <w:tcW w:type="dxa" w:w="2880"/>
          </w:tcPr>
          <w:p>
            <w:r>
              <w:t>Reduced anti-tumor immunity</w:t>
            </w:r>
          </w:p>
        </w:tc>
      </w:tr>
      <w:tr>
        <w:tc>
          <w:tcPr>
            <w:tcW w:type="dxa" w:w="2880"/>
          </w:tcPr>
          <w:p>
            <w:r>
              <w:t>T-DXd resistance</w:t>
            </w:r>
          </w:p>
        </w:tc>
        <w:tc>
          <w:tcPr>
            <w:tcW w:type="dxa" w:w="2880"/>
          </w:tcPr>
          <w:p>
            <w:r>
              <w:t>Limited bystander effect</w:t>
            </w:r>
          </w:p>
        </w:tc>
        <w:tc>
          <w:tcPr>
            <w:tcW w:type="dxa" w:w="2880"/>
          </w:tcPr>
          <w:p>
            <w:r>
              <w:t>Reduced ADC efficacy</w:t>
            </w:r>
          </w:p>
        </w:tc>
      </w:tr>
      <w:tr>
        <w:tc>
          <w:tcPr>
            <w:tcW w:type="dxa" w:w="2880"/>
          </w:tcPr>
          <w:p>
            <w:r>
              <w:t>Neratinib sensitivity</w:t>
            </w:r>
          </w:p>
        </w:tc>
        <w:tc>
          <w:tcPr>
            <w:tcW w:type="dxa" w:w="2880"/>
          </w:tcPr>
          <w:p>
            <w:r>
              <w:t>Degrades p95HER2</w:t>
            </w:r>
          </w:p>
        </w:tc>
        <w:tc>
          <w:tcPr>
            <w:tcW w:type="dxa" w:w="2880"/>
          </w:tcPr>
          <w:p>
            <w:r>
              <w:t>Potential combination therapy</w:t>
            </w:r>
          </w:p>
        </w:tc>
      </w:tr>
    </w:tbl>
    <w:p/>
    <w:p>
      <w:pPr>
        <w:pStyle w:val="Heading2"/>
      </w:pPr>
      <w:r>
        <w:t>Therapeutic Implications</w:t>
      </w:r>
    </w:p>
    <w:p>
      <w:pPr>
        <w:pStyle w:val="ListBullet"/>
      </w:pPr>
      <w:r>
        <w:t>p95HER2 creates an immunosuppressive tumor microenvironment</w:t>
      </w:r>
    </w:p>
    <w:p>
      <w:pPr>
        <w:pStyle w:val="ListBullet"/>
      </w:pPr>
      <w:r>
        <w:t>This directly limits T-DXd (trastuzumab deruxtecan) efficacy</w:t>
      </w:r>
    </w:p>
    <w:p>
      <w:pPr>
        <w:pStyle w:val="ListBullet"/>
      </w:pPr>
      <w:r>
        <w:t>Neratinib can degrade p95HER2, restoring immune response</w:t>
      </w:r>
    </w:p>
    <w:p>
      <w:pPr>
        <w:pStyle w:val="ListBullet"/>
      </w:pPr>
      <w:r>
        <w:t>Combination of p95-targeting ADC + immune checkpoint inhibitors may be synergistic</w:t>
      </w:r>
    </w:p>
    <w:p>
      <w:pPr>
        <w:pStyle w:val="ListBullet"/>
      </w:pPr>
      <w:r>
        <w:t>Strongly supports rationale for p95-Bispecific-001 development</w:t>
      </w:r>
    </w:p>
    <w:p/>
    <w:p>
      <w:r>
        <w:rPr>
          <w:b/>
        </w:rPr>
        <w:t xml:space="preserve">SIGNIFICANCE: </w:t>
      </w:r>
      <w:r>
        <w:t>This 2025 Nature Cancer paper provides mechanistic evidence that p95-HER2 is not just a passive resistance marker, but actively drives immunosuppression that undermines current ADC therapies. This strengthens the case for developing p95-specific ADCs like our predicted p95-Bispecific-001.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