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E85A1F"/>
        </w:rPr>
        <w:t>Cementos Portales S.A.</w:t>
      </w:r>
    </w:p>
    <w:p>
      <w:r>
        <w:rPr>
          <w:i/>
        </w:rPr>
        <w:t>Confidential Information Memorandum · Q1 2026 · Datos sintéticos para ejercicio educativo</w:t>
      </w:r>
    </w:p>
    <w:p>
      <w:pPr>
        <w:pStyle w:val="Heading1"/>
      </w:pPr>
      <w:r>
        <w:rPr>
          <w:color w:val="E85A1F"/>
        </w:rPr>
        <w:t>1. Resumen ejecutivo</w:t>
      </w:r>
    </w:p>
    <w:p>
      <w:r>
        <w:t>Cementos Portales (en adelante, 'la Compañía') es un productor regional de cemento gris y mortero con operaciones en Colombia, Perú y Ecuador. Fundada en 1978 en Medellín, opera 3 plantas integradas y 14 centros de distribución. Capacidad instalada: 2.4 Mt/año. Utilización 2025: 71%.</w:t>
      </w:r>
    </w:p>
    <w:p>
      <w:r>
        <w:t>El accionista controlante (Familia Portales, 62%) ha mandatado la búsqueda de un socio estratégico o comprador del 100% para apoyar la expansión a Centroamérica y refinanciar deuda corporativa.</w:t>
      </w:r>
    </w:p>
    <w:p>
      <w:pPr>
        <w:pStyle w:val="Heading1"/>
      </w:pPr>
      <w:r>
        <w:rPr>
          <w:color w:val="E85A1F"/>
        </w:rPr>
        <w:t>2. Performance financiero (cifras en COP miles de millones)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Concepto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</w:tr>
      <w:tr>
        <w:tc>
          <w:tcPr>
            <w:tcW w:type="dxa" w:w="1728"/>
          </w:tcPr>
          <w:p>
            <w:r>
              <w:t>Ingresos</w:t>
            </w:r>
          </w:p>
        </w:tc>
        <w:tc>
          <w:tcPr>
            <w:tcW w:type="dxa" w:w="1728"/>
          </w:tcPr>
          <w:p>
            <w:r>
              <w:t>612</w:t>
            </w:r>
          </w:p>
        </w:tc>
        <w:tc>
          <w:tcPr>
            <w:tcW w:type="dxa" w:w="1728"/>
          </w:tcPr>
          <w:p>
            <w:r>
              <w:t>684</w:t>
            </w:r>
          </w:p>
        </w:tc>
        <w:tc>
          <w:tcPr>
            <w:tcW w:type="dxa" w:w="1728"/>
          </w:tcPr>
          <w:p>
            <w:r>
              <w:t>729</w:t>
            </w:r>
          </w:p>
        </w:tc>
        <w:tc>
          <w:tcPr>
            <w:tcW w:type="dxa" w:w="1728"/>
          </w:tcPr>
          <w:p>
            <w:r>
              <w:t>751</w:t>
            </w:r>
          </w:p>
        </w:tc>
      </w:tr>
      <w:tr>
        <w:tc>
          <w:tcPr>
            <w:tcW w:type="dxa" w:w="1728"/>
          </w:tcPr>
          <w:p>
            <w:r>
              <w:t>EBITDA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104</w:t>
            </w:r>
          </w:p>
        </w:tc>
      </w:tr>
      <w:tr>
        <w:tc>
          <w:tcPr>
            <w:tcW w:type="dxa" w:w="1728"/>
          </w:tcPr>
          <w:p>
            <w:r>
              <w:t>Margen EBITDA</w:t>
            </w:r>
          </w:p>
        </w:tc>
        <w:tc>
          <w:tcPr>
            <w:tcW w:type="dxa" w:w="1728"/>
          </w:tcPr>
          <w:p>
            <w:r>
              <w:t>16.0%</w:t>
            </w:r>
          </w:p>
        </w:tc>
        <w:tc>
          <w:tcPr>
            <w:tcW w:type="dxa" w:w="1728"/>
          </w:tcPr>
          <w:p>
            <w:r>
              <w:t>15.8%</w:t>
            </w:r>
          </w:p>
        </w:tc>
        <w:tc>
          <w:tcPr>
            <w:tcW w:type="dxa" w:w="1728"/>
          </w:tcPr>
          <w:p>
            <w:r>
              <w:t>15.4%</w:t>
            </w:r>
          </w:p>
        </w:tc>
        <w:tc>
          <w:tcPr>
            <w:tcW w:type="dxa" w:w="1728"/>
          </w:tcPr>
          <w:p>
            <w:r>
              <w:t>13.8%</w:t>
            </w:r>
          </w:p>
        </w:tc>
      </w:tr>
      <w:tr>
        <w:tc>
          <w:tcPr>
            <w:tcW w:type="dxa" w:w="1728"/>
          </w:tcPr>
          <w:p>
            <w:r>
              <w:t>Deuda neta</w:t>
            </w:r>
          </w:p>
        </w:tc>
        <w:tc>
          <w:tcPr>
            <w:tcW w:type="dxa" w:w="1728"/>
          </w:tcPr>
          <w:p>
            <w:r>
              <w:t>298</w:t>
            </w:r>
          </w:p>
        </w:tc>
        <w:tc>
          <w:tcPr>
            <w:tcW w:type="dxa" w:w="1728"/>
          </w:tcPr>
          <w:p>
            <w:r>
              <w:t>312</w:t>
            </w:r>
          </w:p>
        </w:tc>
        <w:tc>
          <w:tcPr>
            <w:tcW w:type="dxa" w:w="1728"/>
          </w:tcPr>
          <w:p>
            <w:r>
              <w:t>336</w:t>
            </w:r>
          </w:p>
        </w:tc>
        <w:tc>
          <w:tcPr>
            <w:tcW w:type="dxa" w:w="1728"/>
          </w:tcPr>
          <w:p>
            <w:r>
              <w:t>356</w:t>
            </w:r>
          </w:p>
        </w:tc>
      </w:tr>
      <w:tr>
        <w:tc>
          <w:tcPr>
            <w:tcW w:type="dxa" w:w="1728"/>
          </w:tcPr>
          <w:p>
            <w:r>
              <w:t>Net Debt / EBITDA</w:t>
            </w:r>
          </w:p>
        </w:tc>
        <w:tc>
          <w:tcPr>
            <w:tcW w:type="dxa" w:w="1728"/>
          </w:tcPr>
          <w:p>
            <w:r>
              <w:t>3.04x</w:t>
            </w:r>
          </w:p>
        </w:tc>
        <w:tc>
          <w:tcPr>
            <w:tcW w:type="dxa" w:w="1728"/>
          </w:tcPr>
          <w:p>
            <w:r>
              <w:t>2.89x</w:t>
            </w:r>
          </w:p>
        </w:tc>
        <w:tc>
          <w:tcPr>
            <w:tcW w:type="dxa" w:w="1728"/>
          </w:tcPr>
          <w:p>
            <w:r>
              <w:t>3.00x</w:t>
            </w:r>
          </w:p>
        </w:tc>
        <w:tc>
          <w:tcPr>
            <w:tcW w:type="dxa" w:w="1728"/>
          </w:tcPr>
          <w:p>
            <w:r>
              <w:t>3.42x</w:t>
            </w:r>
          </w:p>
        </w:tc>
      </w:tr>
      <w:tr>
        <w:tc>
          <w:tcPr>
            <w:tcW w:type="dxa" w:w="1728"/>
          </w:tcPr>
          <w:p>
            <w:r>
              <w:t>DSO (días)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78</w:t>
            </w:r>
          </w:p>
        </w:tc>
      </w:tr>
      <w:tr>
        <w:tc>
          <w:tcPr>
            <w:tcW w:type="dxa" w:w="1728"/>
          </w:tcPr>
          <w:p>
            <w:r>
              <w:t>Capex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29</w:t>
            </w:r>
          </w:p>
        </w:tc>
      </w:tr>
    </w:tbl>
    <w:p>
      <w:pPr>
        <w:pStyle w:val="Heading1"/>
      </w:pPr>
      <w:r>
        <w:rPr>
          <w:color w:val="E85A1F"/>
        </w:rPr>
        <w:t>3. Riesgos identificados por el management</w:t>
      </w:r>
    </w:p>
    <w:p>
      <w:pPr>
        <w:pStyle w:val="ListBullet"/>
      </w:pPr>
      <w:r>
        <w:rPr>
          <w:b/>
        </w:rPr>
        <w:t xml:space="preserve">Mercado: </w:t>
      </w:r>
      <w:r>
        <w:t>Caída de demanda residencial en Lima (-12% YoY) por desaceleración del sector construcción.</w:t>
      </w:r>
    </w:p>
    <w:p>
      <w:pPr>
        <w:pStyle w:val="ListBullet"/>
      </w:pPr>
      <w:r>
        <w:rPr>
          <w:b/>
        </w:rPr>
        <w:t xml:space="preserve">Operacional: </w:t>
      </w:r>
      <w:r>
        <w:t>Una de las plantas (Cundinamarca) opera con horno de 1996 — eficiencia energética 18% por debajo de pares regionales.</w:t>
      </w:r>
    </w:p>
    <w:p>
      <w:pPr>
        <w:pStyle w:val="ListBullet"/>
      </w:pPr>
      <w:r>
        <w:rPr>
          <w:b/>
        </w:rPr>
        <w:t xml:space="preserve">Financiero: </w:t>
      </w:r>
      <w:r>
        <w:t>Covenant Net Debt/EBITDA con Bancolombia: 3.50x. Cierre 2025: 3.42x. Margen: 0.08x.</w:t>
      </w:r>
    </w:p>
    <w:p>
      <w:pPr>
        <w:pStyle w:val="ListBullet"/>
      </w:pPr>
      <w:r>
        <w:rPr>
          <w:b/>
        </w:rPr>
        <w:t xml:space="preserve">Regulatorio: </w:t>
      </w:r>
      <w:r>
        <w:t>DIAN notificó ajuste fiscal por COP 8.200 millones el 12-feb-2026. La Compañía no provisionó.</w:t>
      </w:r>
    </w:p>
    <w:p>
      <w:pPr>
        <w:pStyle w:val="ListBullet"/>
      </w:pPr>
      <w:r>
        <w:rPr>
          <w:b/>
        </w:rPr>
        <w:t xml:space="preserve">Reputacional: </w:t>
      </w:r>
      <w:r>
        <w:t>Demanda colectiva pendiente en Loja (Ecuador) por contaminación de aguas. Provisión: COP 1.500M.</w:t>
      </w:r>
    </w:p>
    <w:p>
      <w:pPr>
        <w:pStyle w:val="Heading1"/>
      </w:pPr>
      <w:r>
        <w:rPr>
          <w:color w:val="E85A1F"/>
        </w:rPr>
        <w:t>4. Tesis del banquero asesor</w:t>
      </w:r>
    </w:p>
    <w:p>
      <w:r>
        <w:t>Los múltiplos de transacciones recientes en cemento LatAm (mediana EV/EBITDA: 8.2x; rango: 6.1x–11.3x) implican un Enterprise Value entre COP 634mm y COP 1.176mm. La Compañía requiere ajustes por: (i) covenant tight con Bancolombia, (ii) contingencia DIAN no provisionada, (iii) gap de eficiencia en planta Cundinamarca.</w:t>
      </w:r>
    </w:p>
    <w:p>
      <w:pPr>
        <w:pStyle w:val="Heading1"/>
      </w:pPr>
      <w:r>
        <w:rPr>
          <w:color w:val="E85A1F"/>
        </w:rPr>
        <w:t>5. Información que se entrega en data room</w:t>
      </w:r>
    </w:p>
    <w:p>
      <w:pPr>
        <w:pStyle w:val="ListNumber"/>
      </w:pPr>
      <w:r>
        <w:t>Estados financieros auditados 2022–2025 (KPMG)</w:t>
      </w:r>
    </w:p>
    <w:p>
      <w:pPr>
        <w:pStyle w:val="ListNumber"/>
      </w:pPr>
      <w:r>
        <w:t>Modelo financiero Excel con proyecciones 2026–2030</w:t>
      </w:r>
    </w:p>
    <w:p>
      <w:pPr>
        <w:pStyle w:val="ListNumber"/>
      </w:pPr>
      <w:r>
        <w:t>Term sheet propuesto (sección 4.2 menciona covenant trigger)</w:t>
      </w:r>
    </w:p>
    <w:p>
      <w:pPr>
        <w:pStyle w:val="ListNumber"/>
      </w:pPr>
      <w:r>
        <w:t>Legal opinion de Brigard Urrutia (sección 7: contingencia DIAN)</w:t>
      </w:r>
    </w:p>
    <w:p>
      <w:pPr>
        <w:pStyle w:val="ListNumber"/>
      </w:pPr>
      <w:r>
        <w:t>10 contratos materiales con clientes top</w:t>
      </w:r>
    </w:p>
    <w:p>
      <w:pPr>
        <w:pStyle w:val="ListNumber"/>
      </w:pPr>
      <w:r>
        <w:t>Audits ambientales 2023–2025</w:t>
      </w:r>
    </w:p>
    <w:p>
      <w:pPr>
        <w:pStyle w:val="ListNumber"/>
      </w:pPr>
      <w:r>
        <w:t>Reportes de operación mensuales por planta</w:t>
      </w:r>
    </w:p>
    <w:p>
      <w:pPr>
        <w:pStyle w:val="Heading1"/>
      </w:pPr>
      <w:r>
        <w:rPr>
          <w:color w:val="E85A1F"/>
        </w:rPr>
        <w:t>6. Cronograma transaccional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Hito</w:t>
            </w:r>
          </w:p>
        </w:tc>
        <w:tc>
          <w:tcPr>
            <w:tcW w:type="dxa" w:w="4320"/>
          </w:tcPr>
          <w:p>
            <w:r>
              <w:t>Fecha</w:t>
            </w:r>
          </w:p>
        </w:tc>
      </w:tr>
      <w:tr>
        <w:tc>
          <w:tcPr>
            <w:tcW w:type="dxa" w:w="4320"/>
          </w:tcPr>
          <w:p>
            <w:r>
              <w:t>Lanzamiento de teaser</w:t>
            </w:r>
          </w:p>
        </w:tc>
        <w:tc>
          <w:tcPr>
            <w:tcW w:type="dxa" w:w="4320"/>
          </w:tcPr>
          <w:p>
            <w:r>
              <w:t>15-may-2026</w:t>
            </w:r>
          </w:p>
        </w:tc>
      </w:tr>
      <w:tr>
        <w:tc>
          <w:tcPr>
            <w:tcW w:type="dxa" w:w="4320"/>
          </w:tcPr>
          <w:p>
            <w:r>
              <w:t>Entrada al data room (Round 1)</w:t>
            </w:r>
          </w:p>
        </w:tc>
        <w:tc>
          <w:tcPr>
            <w:tcW w:type="dxa" w:w="4320"/>
          </w:tcPr>
          <w:p>
            <w:r>
              <w:t>01-jun-2026</w:t>
            </w:r>
          </w:p>
        </w:tc>
      </w:tr>
      <w:tr>
        <w:tc>
          <w:tcPr>
            <w:tcW w:type="dxa" w:w="4320"/>
          </w:tcPr>
          <w:p>
            <w:r>
              <w:t>Entrega de NBO (Non-Binding Offer)</w:t>
            </w:r>
          </w:p>
        </w:tc>
        <w:tc>
          <w:tcPr>
            <w:tcW w:type="dxa" w:w="4320"/>
          </w:tcPr>
          <w:p>
            <w:r>
              <w:t>01-jul-2026</w:t>
            </w:r>
          </w:p>
        </w:tc>
      </w:tr>
      <w:tr>
        <w:tc>
          <w:tcPr>
            <w:tcW w:type="dxa" w:w="4320"/>
          </w:tcPr>
          <w:p>
            <w:r>
              <w:t>Management presentations</w:t>
            </w:r>
          </w:p>
        </w:tc>
        <w:tc>
          <w:tcPr>
            <w:tcW w:type="dxa" w:w="4320"/>
          </w:tcPr>
          <w:p>
            <w:r>
              <w:t>15-jul-2026</w:t>
            </w:r>
          </w:p>
        </w:tc>
      </w:tr>
      <w:tr>
        <w:tc>
          <w:tcPr>
            <w:tcW w:type="dxa" w:w="4320"/>
          </w:tcPr>
          <w:p>
            <w:r>
              <w:t>Entrega de Binding Offer</w:t>
            </w:r>
          </w:p>
        </w:tc>
        <w:tc>
          <w:tcPr>
            <w:tcW w:type="dxa" w:w="4320"/>
          </w:tcPr>
          <w:p>
            <w:r>
              <w:t>30-ago-2026</w:t>
            </w:r>
          </w:p>
        </w:tc>
      </w:tr>
      <w:tr>
        <w:tc>
          <w:tcPr>
            <w:tcW w:type="dxa" w:w="4320"/>
          </w:tcPr>
          <w:p>
            <w:r>
              <w:t>Cierre target</w:t>
            </w:r>
          </w:p>
        </w:tc>
        <w:tc>
          <w:tcPr>
            <w:tcW w:type="dxa" w:w="4320"/>
          </w:tcPr>
          <w:p>
            <w:r>
              <w:t>30-nov-2026</w:t>
            </w:r>
          </w:p>
        </w:tc>
      </w:tr>
    </w:tbl>
    <w:p>
      <w:r>
        <w:rPr>
          <w:i/>
        </w:rPr>
        <w:br/>
        <w:t>— Documento sintético para ejercicio educativo. Cualquier semejanza con compañías reales es coincidencia.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