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52D5"/>
        </w:rPr>
        <w:t>Pack de fuentes · Telco LatAm Q1 2026</w:t>
      </w:r>
    </w:p>
    <w:p>
      <w:r>
        <w:rPr>
          <w:i/>
        </w:rPr>
        <w:t>18 fuentes seleccionadas para briefing sectorial. Sube este documento a NotebookLM (o usa los enlaces) para construir el research base. Datos sintéticos para ejercicio.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Nota clave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Tigo Colombia · Q4 2025</w:t>
            </w:r>
          </w:p>
        </w:tc>
        <w:tc>
          <w:tcPr>
            <w:tcW w:type="dxa" w:w="2880"/>
          </w:tcPr>
          <w:p>
            <w:r>
              <w:t>Reporte: ARPU móvil COP 17,400 (-3.2% YoY); CAPEX 5G postergado a 2H-2026; deuda en revisión.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Claro Colombia · Q4 2025</w:t>
            </w:r>
          </w:p>
        </w:tc>
        <w:tc>
          <w:tcPr>
            <w:tcW w:type="dxa" w:w="2880"/>
          </w:tcPr>
          <w:p>
            <w:r>
              <w:t>ARPU COP 19,200; subscriber adds 1.2M; presión competitiva por WOM y operadores virtuales.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Movistar Colombia · Q4 2025</w:t>
            </w:r>
          </w:p>
        </w:tc>
        <w:tc>
          <w:tcPr>
            <w:tcW w:type="dxa" w:w="2880"/>
          </w:tcPr>
          <w:p>
            <w:r>
              <w:t>Pérdida operacional por divestment FTTH; foco en B2B; reorganización corporativa.</w:t>
            </w:r>
          </w:p>
        </w:tc>
      </w:tr>
      <w:tr>
        <w:tc>
          <w:tcPr>
            <w:tcW w:type="dxa" w:w="2880"/>
          </w:tcPr>
          <w:p>
            <w:r>
              <w:t>Reporte regulador</w:t>
            </w:r>
          </w:p>
        </w:tc>
        <w:tc>
          <w:tcPr>
            <w:tcW w:type="dxa" w:w="2880"/>
          </w:tcPr>
          <w:p>
            <w:r>
              <w:t>CRC · Informe trimestral 4T-2025</w:t>
            </w:r>
          </w:p>
        </w:tc>
        <w:tc>
          <w:tcPr>
            <w:tcW w:type="dxa" w:w="2880"/>
          </w:tcPr>
          <w:p>
            <w:r>
              <w:t>Penetración móvil 138.5%; FTTH en hogares: 36.8%; concentración HHI 3.420.</w:t>
            </w:r>
          </w:p>
        </w:tc>
      </w:tr>
      <w:tr>
        <w:tc>
          <w:tcPr>
            <w:tcW w:type="dxa" w:w="2880"/>
          </w:tcPr>
          <w:p>
            <w:r>
              <w:t>Reporte regulador</w:t>
            </w:r>
          </w:p>
        </w:tc>
        <w:tc>
          <w:tcPr>
            <w:tcW w:type="dxa" w:w="2880"/>
          </w:tcPr>
          <w:p>
            <w:r>
              <w:t>MinTIC · Política 5G 2026</w:t>
            </w:r>
          </w:p>
        </w:tc>
        <w:tc>
          <w:tcPr>
            <w:tcW w:type="dxa" w:w="2880"/>
          </w:tcPr>
          <w:p>
            <w:r>
              <w:t>Subasta de espectro 3.5 GHz programada Q3-2026; bloque mínimo 50 MHz.</w:t>
            </w:r>
          </w:p>
        </w:tc>
      </w:tr>
      <w:tr>
        <w:tc>
          <w:tcPr>
            <w:tcW w:type="dxa" w:w="2880"/>
          </w:tcPr>
          <w:p>
            <w:r>
              <w:t>Paper académico</w:t>
            </w:r>
          </w:p>
        </w:tc>
        <w:tc>
          <w:tcPr>
            <w:tcW w:type="dxa" w:w="2880"/>
          </w:tcPr>
          <w:p>
            <w:r>
              <w:t>BID · Conectividad y desarrollo en LatAm 2025</w:t>
            </w:r>
          </w:p>
        </w:tc>
        <w:tc>
          <w:tcPr>
            <w:tcW w:type="dxa" w:w="2880"/>
          </w:tcPr>
          <w:p>
            <w:r>
              <w:t>Brecha urbano-rural sigue en 28 pp; correlación 0.62 entre FTTH y crecimiento PYME.</w:t>
            </w:r>
          </w:p>
        </w:tc>
      </w:tr>
      <w:tr>
        <w:tc>
          <w:tcPr>
            <w:tcW w:type="dxa" w:w="2880"/>
          </w:tcPr>
          <w:p>
            <w:r>
              <w:t>Reporte de research</w:t>
            </w:r>
          </w:p>
        </w:tc>
        <w:tc>
          <w:tcPr>
            <w:tcW w:type="dxa" w:w="2880"/>
          </w:tcPr>
          <w:p>
            <w:r>
              <w:t>Itaú BBA · Telco LatAm Outlook 2026</w:t>
            </w:r>
          </w:p>
        </w:tc>
        <w:tc>
          <w:tcPr>
            <w:tcW w:type="dxa" w:w="2880"/>
          </w:tcPr>
          <w:p>
            <w:r>
              <w:t>Buy ratings: AMX, TIM Brasil. Hold: Tigo, Vivo. Cobertura sectorial mediana EV/EBITDA 5.4x.</w:t>
            </w:r>
          </w:p>
        </w:tc>
      </w:tr>
      <w:tr>
        <w:tc>
          <w:tcPr>
            <w:tcW w:type="dxa" w:w="2880"/>
          </w:tcPr>
          <w:p>
            <w:r>
              <w:t>Reporte de research</w:t>
            </w:r>
          </w:p>
        </w:tc>
        <w:tc>
          <w:tcPr>
            <w:tcW w:type="dxa" w:w="2880"/>
          </w:tcPr>
          <w:p>
            <w:r>
              <w:t>BTG Pactual · Sector Telco 2026</w:t>
            </w:r>
          </w:p>
        </w:tc>
        <w:tc>
          <w:tcPr>
            <w:tcW w:type="dxa" w:w="2880"/>
          </w:tcPr>
          <w:p>
            <w:r>
              <w:t>Tesis principal: consolidación de torres; cap rate 7.8% para infraestructura.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AMX Mexico · Q4 2025</w:t>
            </w:r>
          </w:p>
        </w:tc>
        <w:tc>
          <w:tcPr>
            <w:tcW w:type="dxa" w:w="2880"/>
          </w:tcPr>
          <w:p>
            <w:r>
              <w:t>ARPU móvil USD 8.20; capex/sales 16.5%; foco en convergencia fija-móvil.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TIM Brasil · Q4 2025</w:t>
            </w:r>
          </w:p>
        </w:tc>
        <w:tc>
          <w:tcPr>
            <w:tcW w:type="dxa" w:w="2880"/>
          </w:tcPr>
          <w:p>
            <w:r>
              <w:t>Crecimiento orgánico 4.8%; Net Debt/EBITDA 1.85x; spin-off de torres en evaluación.</w:t>
            </w:r>
          </w:p>
        </w:tc>
      </w:tr>
      <w:tr>
        <w:tc>
          <w:tcPr>
            <w:tcW w:type="dxa" w:w="2880"/>
          </w:tcPr>
          <w:p>
            <w:r>
              <w:t>Reporte regulador</w:t>
            </w:r>
          </w:p>
        </w:tc>
        <w:tc>
          <w:tcPr>
            <w:tcW w:type="dxa" w:w="2880"/>
          </w:tcPr>
          <w:p>
            <w:r>
              <w:t>ANATEL Brasil · Q4 2025</w:t>
            </w:r>
          </w:p>
        </w:tc>
        <w:tc>
          <w:tcPr>
            <w:tcW w:type="dxa" w:w="2880"/>
          </w:tcPr>
          <w:p>
            <w:r>
              <w:t>Migración 2G/3G a 4G/5G acelerada; 22% del parque móvil aún en 2G.</w:t>
            </w:r>
          </w:p>
        </w:tc>
      </w:tr>
      <w:tr>
        <w:tc>
          <w:tcPr>
            <w:tcW w:type="dxa" w:w="2880"/>
          </w:tcPr>
          <w:p>
            <w:r>
              <w:t>Reporte de research</w:t>
            </w:r>
          </w:p>
        </w:tc>
        <w:tc>
          <w:tcPr>
            <w:tcW w:type="dxa" w:w="2880"/>
          </w:tcPr>
          <w:p>
            <w:r>
              <w:t>BNP Paribas · LatAm Telecom 2026</w:t>
            </w:r>
          </w:p>
        </w:tc>
        <w:tc>
          <w:tcPr>
            <w:tcW w:type="dxa" w:w="2880"/>
          </w:tcPr>
          <w:p>
            <w:r>
              <w:t>Tesis: precio fijo es bottom; recuperación ARPU 2H-2026 estimada en +2.5%.</w:t>
            </w:r>
          </w:p>
        </w:tc>
      </w:tr>
      <w:tr>
        <w:tc>
          <w:tcPr>
            <w:tcW w:type="dxa" w:w="2880"/>
          </w:tcPr>
          <w:p>
            <w:r>
              <w:t>Nota prensa</w:t>
            </w:r>
          </w:p>
        </w:tc>
        <w:tc>
          <w:tcPr>
            <w:tcW w:type="dxa" w:w="2880"/>
          </w:tcPr>
          <w:p>
            <w:r>
              <w:t>Cinco Días · WOM Colombia adquiere 12% del mercado móvil</w:t>
            </w:r>
          </w:p>
        </w:tc>
        <w:tc>
          <w:tcPr>
            <w:tcW w:type="dxa" w:w="2880"/>
          </w:tcPr>
          <w:p>
            <w:r>
              <w:t>Estrategia low-cost; operación rentable a partir de 2H-2026.</w:t>
            </w:r>
          </w:p>
        </w:tc>
      </w:tr>
      <w:tr>
        <w:tc>
          <w:tcPr>
            <w:tcW w:type="dxa" w:w="2880"/>
          </w:tcPr>
          <w:p>
            <w:r>
              <w:t>Nota prensa</w:t>
            </w:r>
          </w:p>
        </w:tc>
        <w:tc>
          <w:tcPr>
            <w:tcW w:type="dxa" w:w="2880"/>
          </w:tcPr>
          <w:p>
            <w:r>
              <w:t>Bloomberg · Tower companies LatAm consolidación</w:t>
            </w:r>
          </w:p>
        </w:tc>
        <w:tc>
          <w:tcPr>
            <w:tcW w:type="dxa" w:w="2880"/>
          </w:tcPr>
          <w:p>
            <w:r>
              <w:t>American Tower y SBA negociando portafolios en Colombia, Perú y Chile.</w:t>
            </w:r>
          </w:p>
        </w:tc>
      </w:tr>
      <w:tr>
        <w:tc>
          <w:tcPr>
            <w:tcW w:type="dxa" w:w="2880"/>
          </w:tcPr>
          <w:p>
            <w:r>
              <w:t>Earnings call transcript</w:t>
            </w:r>
          </w:p>
        </w:tc>
        <w:tc>
          <w:tcPr>
            <w:tcW w:type="dxa" w:w="2880"/>
          </w:tcPr>
          <w:p>
            <w:r>
              <w:t>Telecom Argentina · Q4 2025</w:t>
            </w:r>
          </w:p>
        </w:tc>
        <w:tc>
          <w:tcPr>
            <w:tcW w:type="dxa" w:w="2880"/>
          </w:tcPr>
          <w:p>
            <w:r>
              <w:t>Crisis de margen por inflación; renegociación de tarifas con regulador en curso.</w:t>
            </w:r>
          </w:p>
        </w:tc>
      </w:tr>
      <w:tr>
        <w:tc>
          <w:tcPr>
            <w:tcW w:type="dxa" w:w="2880"/>
          </w:tcPr>
          <w:p>
            <w:r>
              <w:t>Reporte académico</w:t>
            </w:r>
          </w:p>
        </w:tc>
        <w:tc>
          <w:tcPr>
            <w:tcW w:type="dxa" w:w="2880"/>
          </w:tcPr>
          <w:p>
            <w:r>
              <w:t>CEPAL · Brecha digital LatAm 2025</w:t>
            </w:r>
          </w:p>
        </w:tc>
        <w:tc>
          <w:tcPr>
            <w:tcW w:type="dxa" w:w="2880"/>
          </w:tcPr>
          <w:p>
            <w:r>
              <w:t>Penetración FTTH disparidad 12pp entre quintiles 1 y 5 en Colombia.</w:t>
            </w:r>
          </w:p>
        </w:tc>
      </w:tr>
      <w:tr>
        <w:tc>
          <w:tcPr>
            <w:tcW w:type="dxa" w:w="2880"/>
          </w:tcPr>
          <w:p>
            <w:r>
              <w:t>Reporte de research</w:t>
            </w:r>
          </w:p>
        </w:tc>
        <w:tc>
          <w:tcPr>
            <w:tcW w:type="dxa" w:w="2880"/>
          </w:tcPr>
          <w:p>
            <w:r>
              <w:t>JP Morgan · Telecom LatAm 2026</w:t>
            </w:r>
          </w:p>
        </w:tc>
        <w:tc>
          <w:tcPr>
            <w:tcW w:type="dxa" w:w="2880"/>
          </w:tcPr>
          <w:p>
            <w:r>
              <w:t>Posicionamiento defensivo; preferencia por integrados con towers spin-off.</w:t>
            </w:r>
          </w:p>
        </w:tc>
      </w:tr>
      <w:tr>
        <w:tc>
          <w:tcPr>
            <w:tcW w:type="dxa" w:w="2880"/>
          </w:tcPr>
          <w:p>
            <w:r>
              <w:t>Nota prensa</w:t>
            </w:r>
          </w:p>
        </w:tc>
        <w:tc>
          <w:tcPr>
            <w:tcW w:type="dxa" w:w="2880"/>
          </w:tcPr>
          <w:p>
            <w:r>
              <w:t>Reuters · Liberty Latin America consolidation</w:t>
            </w:r>
          </w:p>
        </w:tc>
        <w:tc>
          <w:tcPr>
            <w:tcW w:type="dxa" w:w="2880"/>
          </w:tcPr>
          <w:p>
            <w:r>
              <w:t>Adquisición de Cabletica en Costa Rica completada; rumor de movimiento similar en CO.</w:t>
            </w:r>
          </w:p>
        </w:tc>
      </w:tr>
    </w:tbl>
    <w:p>
      <w:pPr>
        <w:pStyle w:val="Heading2"/>
      </w:pPr>
      <w:r>
        <w:rPr>
          <w:color w:val="E85A1F"/>
        </w:rPr>
        <w:t>Tarea sugerida para el agente</w:t>
      </w:r>
    </w:p>
    <w:p>
      <w:pPr>
        <w:pStyle w:val="ListNumber"/>
      </w:pPr>
      <w:r>
        <w:t>Cargar este documento + 5 PDFs adicionales (a tu elección) a un Notebook de NotebookLM.</w:t>
      </w:r>
    </w:p>
    <w:p>
      <w:pPr>
        <w:pStyle w:val="ListNumber"/>
      </w:pPr>
      <w:r>
        <w:t>Pedir un briefing de 1 página sobre la tesis sectorial telco LatAm 2026.</w:t>
      </w:r>
    </w:p>
    <w:p>
      <w:pPr>
        <w:pStyle w:val="ListNumber"/>
      </w:pPr>
      <w:r>
        <w:t>Generar un Audio Overview de 12-15 minutos.</w:t>
      </w:r>
    </w:p>
    <w:p>
      <w:pPr>
        <w:pStyle w:val="ListNumber"/>
      </w:pPr>
      <w:r>
        <w:t>Pedir un mapa de tesis convergentes vs divergentes entre los analistas.</w:t>
      </w:r>
    </w:p>
    <w:p>
      <w:pPr>
        <w:pStyle w:val="ListNumber"/>
      </w:pPr>
      <w:r>
        <w:t>Identificar 3 catalysts que moverían los precios en H2 2026.</w:t>
      </w:r>
    </w:p>
    <w:p>
      <w:r>
        <w:rPr>
          <w:i/>
        </w:rPr>
        <w:br/>
        <w:t>— Datos sintéticos para ejercicio educativo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