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E5A0"/>
        </w:rPr>
        <w:t>Earnings Call Transcript · Banco Andino S.A. · Q1 2026</w:t>
      </w:r>
    </w:p>
    <w:p>
      <w:r>
        <w:rPr>
          <w:i/>
        </w:rPr>
        <w:t>Transcript completo · Sintético · Aproximadamente 18.000 palabras. Diseñado para probar análisis de documentos largos en Kimi K2 (2M tokens), Claude (1M) o Gemini (1M).</w:t>
      </w:r>
    </w:p>
    <w:p>
      <w:pPr>
        <w:pStyle w:val="Heading2"/>
      </w:pPr>
      <w:r>
        <w:rPr>
          <w:color w:val="E85A1F"/>
        </w:rPr>
        <w:t>Operador</w:t>
      </w:r>
    </w:p>
    <w:p>
      <w:r>
        <w:t>Buenos días y bienvenidos al earnings call del primer trimestre 2026 de Banco Andino. Hoy nos acompañan María Camila Restrepo, CEO; Andrés Felipe Gutiérrez, CFO; y Diana Patricia Vélez, Chief Risk Officer. Después de las observaciones preparadas, abriremos el espacio para preguntas. La sesión está siendo grabada.</w:t>
      </w:r>
    </w:p>
    <w:p>
      <w:pPr>
        <w:pStyle w:val="Heading1"/>
      </w:pPr>
      <w:r>
        <w:rPr>
          <w:color w:val="E85A1F"/>
        </w:rPr>
        <w:t>CEO opening remarks · María Camila Restrepo</w:t>
      </w:r>
    </w:p>
    <w:p>
      <w:r>
        <w:t>Gracias y buenos días a todos. El primer trimestre de 2026 marca un punto de inflexión para Banco Andino. Cerramos con utilidad neta de COP 487 mil millones, un crecimiento de 12.4% año contra año. La cartera total alcanzó COP 142 billones, con un crecimiento de 8.2% impulsado principalmente por el segmento de banca empresarial y por el portafolio hipotecario. La calidad del activo se mantiene saludable: la tasa de mora de 90 días o más cerró en 2.8%, tres puntos básicos por debajo del trimestre anterior.</w:t>
      </w:r>
    </w:p>
    <w:p>
      <w:r>
        <w:t>Quiero destacar tres logros estratégicos del trimestre. Primero, completamos la migración del core bancario al nuevo sistema basado en cloud, lo que nos permite reducir el time-to-market de productos en 40%. Segundo, lanzamos nuestra plataforma de banca abierta con seis fintechs colombianas, y ya tenemos 180,000 clientes activos en estas integraciones. Tercero, anunciamos en febrero la adquisición del 60% de Crediágil, una fintech de microcrédito con 1.2 millones de usuarios activos.</w:t>
      </w:r>
    </w:p>
    <w:p>
      <w:r>
        <w:t>En cuanto al entorno macroeconómico, vemos señales mixtas. Por un lado, la inflación continúa cediendo, cerrando marzo en 4.2%, dentro del rango meta del Banco de la República. Esto debería traducirse en mayor demanda de crédito en el segundo semestre. Por otro lado, persiste incertidumbre en torno a la reforma laboral y los posibles efectos sobre la formalización del empleo. Estamos monitoreando de cerca estos desarrollos.</w:t>
      </w:r>
    </w:p>
    <w:p>
      <w:r>
        <w:t>Nuestra guía para el año 2026 se mantiene: crecimiento de cartera entre 9% y 11%, ROE entre 14.5% y 15.5%, y costo de riesgo entre 1.8% y 2.0%.</w:t>
      </w:r>
    </w:p>
    <w:p>
      <w:pPr>
        <w:pStyle w:val="Heading1"/>
      </w:pPr>
      <w:r>
        <w:rPr>
          <w:color w:val="E85A1F"/>
        </w:rPr>
        <w:t>CFO financial review · Andrés Felipe Gutiérrez</w:t>
      </w:r>
    </w:p>
    <w:p>
      <w:r>
        <w:t>Gracias María Camila. Voy a desglosar los resultados financieros del trimestre. Los ingresos por intereses totalizaron COP 3.42 billones, un crecimiento de 7.8% año contra año. El margen neto de intereses se ubicó en 6.85%, comprimido en 12 puntos básicos respecto al cuarto trimestre por la baja del tasa de política monetaria y la rotación natural del libro hacia spreads más estrechos.</w:t>
      </w:r>
    </w:p>
    <w:p>
      <w:r>
        <w:t>Los ingresos por comisiones crecieron 14.2% año contra año, alcanzando COP 612 mil millones. Este crecimiento fue impulsado por las comisiones de banca de inversión en transacciones M&amp;A asesoradas durante el trimestre, así como por el incremento en transacciones digitales que pasaron de 380 millones a 472 millones en el trimestre.</w:t>
      </w:r>
    </w:p>
    <w:p>
      <w:r>
        <w:t>Los gastos operacionales totalizaron COP 1.62 billones, un crecimiento de 6.4% año contra año, ligeramente por encima de la inflación pero por debajo del crecimiento de ingresos. El índice de eficiencia mejoró a 42.8% desde 44.1% en el trimestre comparable. Tenemos previsto continuar la mejora del índice durante el año hasta ubicarlo cerca de 41% al cierre.</w:t>
      </w:r>
    </w:p>
    <w:p>
      <w:r>
        <w:t>En términos de capital, el ratio de solvencia total cerró en 13.8%, con CET1 de 11.4%. Estos niveles se comparan favorablemente con los requerimientos regulatorios actuales de 9% y 7% respectivamente, y nos dejan un colchón suficiente para absorber el crecimiento esperado de cartera y la consolidación de Crediágil.</w:t>
      </w:r>
    </w:p>
    <w:p>
      <w:r>
        <w:t>Sobre el costo de riesgo: provisionamos COP 612 mil millones en el trimestre, equivalente a 1.72% sobre cartera promedio, ligeramente por debajo de nuestra guía. La cobertura de provisiones sobre cartera vencida cerró en 158%, un nivel conservador.</w:t>
      </w:r>
    </w:p>
    <w:p>
      <w:r>
        <w:t>Quiero hacer una mención específica al portafolio de tarjetas de crédito. Hemos visto un deterioro en la cosecha del segundo semestre 2024 que está impactando los add-ons del trimestre actual. Hemos endurecido los criterios de originación desde noviembre de 2025 y esperamos que el impacto se modere a partir del tercer trimestre.</w:t>
      </w:r>
    </w:p>
    <w:p>
      <w:pPr>
        <w:pStyle w:val="Heading1"/>
      </w:pPr>
      <w:r>
        <w:rPr>
          <w:color w:val="E85A1F"/>
        </w:rPr>
        <w:t>CRO risk review · Diana Patricia Vélez</w:t>
      </w:r>
    </w:p>
    <w:p>
      <w:r>
        <w:t>Gracias Andrés. Voy a profundizar en los aspectos de riesgo del trimestre. La cartera vencida total cerró en COP 4.02 billones, equivalente a 2.83% del total. Esto representa una reducción de 5 puntos básicos respecto al trimestre anterior y de 12 puntos básicos respecto al mismo trimestre del año pasado.</w:t>
      </w:r>
    </w:p>
    <w:p>
      <w:r>
        <w:t>Por segmento, el panorama es heterogéneo. Banca empresarial mantiene una mora muy controlada en 1.45%, sin cambios significativos. Banca hipotecaria también se mantiene saludable en 2.10%, con una leve mejora respecto al cuarto trimestre. Sin embargo, en el segmento de consumo —específicamente en tarjetas de crédito— vemos tensión: la mora subió de 4.85% a 5.12% en el trimestre.</w:t>
      </w:r>
    </w:p>
    <w:p>
      <w:r>
        <w:t>Hemos identificado tres factores explicativos para el deterioro en tarjetas. Primero, la cosecha del segundo semestre 2024 que se originó con criterios más laxos para apoyar el crecimiento de cartera tras la baja de tasas. Segundo, el efecto rezagado de la reducción de los plazos de gracia que ofrecimos en pandemia. Tercero, un incremento estacional típico del primer trimestre en consumo.</w:t>
      </w:r>
    </w:p>
    <w:p>
      <w:r>
        <w:t>Como medidas correctivas hemos endurecido los criterios de originación desde noviembre. Específicamente: elevamos el score mínimo de 580 a 620; reducimos el cupo inicial promedio en 18%; y reforzamos los procesos de verificación de ingresos. Estimamos que estos ajustes se reflejarán en mejor calidad de las cosechas a partir del segundo trimestre de 2026.</w:t>
      </w:r>
    </w:p>
    <w:p>
      <w:r>
        <w:t>En el lado positivo, el portafolio de microcrédito muestra mora de 3.85%, una mejora significativa respecto al 4.20% del cierre 2025. Esto se debe a la implementación de modelos de scoring basados en machine learning que incorporan variables alternativas como uso de billetera digital y comportamiento transaccional.</w:t>
      </w:r>
    </w:p>
    <w:p>
      <w:r>
        <w:t>Sobre riesgo de mercado: el VaR del libro de tesorería se mantiene dentro de límites, con un VaR diario promedio de COP 28 mil millones, equivalente a 0.04% del patrimonio. La duración del portafolio es 2.8 años.</w:t>
      </w:r>
    </w:p>
    <w:p>
      <w:r>
        <w:t>Sobre riesgo operacional, hemos invertido COP 142 mil millones en el trimestre en reforzamiento de ciberseguridad, incluyendo la implementación de controles adicionales para prevenir fraude en banca móvil. Las pérdidas operacionales del trimestre fueron COP 38 mil millones, dentro de la apetito de riesgo aprobado.</w:t>
      </w:r>
    </w:p>
    <w:p>
      <w:r>
        <w:t>Finalmente, sobre riesgo de liquidez: el LCR cerró en 168%, muy por encima del mínimo regulatorio de 100%. El NSFR en 122%. Tenemos liquidez suficiente para enfrentar escenarios adversos.</w:t>
      </w:r>
    </w:p>
    <w:p>
      <w:pPr>
        <w:pStyle w:val="Heading1"/>
      </w:pPr>
      <w:r>
        <w:rPr>
          <w:color w:val="E85A1F"/>
        </w:rPr>
        <w:t>Sesión de preguntas y respuestas</w:t>
      </w:r>
    </w:p>
    <w:p>
      <w:r>
        <w:rPr>
          <w:b/>
          <w:color w:val="E85A1F"/>
        </w:rPr>
        <w:t xml:space="preserve">Analista de Bancolombia: </w:t>
      </w:r>
      <w:r>
        <w:t>Buenos días. Tengo dos preguntas. La primera es sobre el deterioro en tarjetas. ¿Cuándo deberíamos esperar que el costo de riesgo del segmento normalice? Y segundo, sobre Crediágil: ¿pueden compartir más detalle sobre los múltiplos pagados y las sinergias esperadas?</w:t>
      </w:r>
    </w:p>
    <w:p>
      <w:r>
        <w:rPr>
          <w:b/>
          <w:color w:val="00E5A0"/>
        </w:rPr>
        <w:t xml:space="preserve">Respuesta: </w:t>
      </w:r>
      <w:r>
        <w:t>Diana sobre tarjetas: esperamos que la mora del segmento haga peak en el segundo trimestre, alrededor de 5.40%, y luego inicie una mejora gradual hasta cerrar el año cerca de 4.70%. Andrés sobre Crediágil: pagamos un múltiplo de 8.5x EBITDA proyectado 2026, lo que consideramos razonable dado el track record de la fintech y las sinergias que estimamos en COP 85 mil millones anuales recurrentes a partir del año 3. La consolidación contable inicia el segundo trimestre.</w:t>
      </w:r>
    </w:p>
    <w:p>
      <w:r>
        <w:rPr>
          <w:b/>
          <w:color w:val="E85A1F"/>
        </w:rPr>
        <w:t xml:space="preserve">Analista de Itaú BBA: </w:t>
      </w:r>
      <w:r>
        <w:t>Gracias por la presentación. ¿Cómo ven el ambiente competitivo en banca empresarial? Hemos visto a Davivienda siendo agresivo en pricing.</w:t>
      </w:r>
    </w:p>
    <w:p>
      <w:r>
        <w:rPr>
          <w:b/>
          <w:color w:val="00E5A0"/>
        </w:rPr>
        <w:t xml:space="preserve">Respuesta: </w:t>
      </w:r>
      <w:r>
        <w:t>María Camila: efectivamente vemos compresión de spreads en banca empresarial. Nuestra estrategia ha sido no competir en pricing sino en velocidad de respuesta y producto integrado. Hemos crecido 9% en cartera empresarial manteniendo nuestro spread en niveles aceptables. Vemos a competidores otorgando crédito a tasas que no creemos rentables ajustadas por riesgo.</w:t>
      </w:r>
    </w:p>
    <w:p>
      <w:r>
        <w:rPr>
          <w:b/>
          <w:color w:val="E85A1F"/>
        </w:rPr>
        <w:t xml:space="preserve">Analista de JP Morgan: </w:t>
      </w:r>
      <w:r>
        <w:t>Sobre el M&amp;A potencial en el sector: hay rumores de consolidación regional. ¿Cuál es la postura de Banco Andino?</w:t>
      </w:r>
    </w:p>
    <w:p>
      <w:r>
        <w:rPr>
          <w:b/>
          <w:color w:val="00E5A0"/>
        </w:rPr>
        <w:t xml:space="preserve">Respuesta: </w:t>
      </w:r>
      <w:r>
        <w:t>María Camila: somos disciplinados en M&amp;A. Estamos abiertos a evaluar oportunidades pero solo si crean valor claramente. Crediágil es un buen ejemplo: una fintech con tracción comprobada, complementaria a nuestra base, y a un múltiplo razonable. No vemos próximas transacciones de tamaño significativo en el horizonte cercano.</w:t>
      </w:r>
    </w:p>
    <w:p>
      <w:r>
        <w:rPr>
          <w:b/>
          <w:color w:val="E85A1F"/>
        </w:rPr>
        <w:t xml:space="preserve">Analista de BTG Pactual: </w:t>
      </w:r>
      <w:r>
        <w:t>Diana, sobre el modelo de scoring de microcrédito que mencionaste: ¿es desarrollo propio o vendor? ¿Y cómo manejan el risk de modelo en este contexto?</w:t>
      </w:r>
    </w:p>
    <w:p>
      <w:r>
        <w:rPr>
          <w:b/>
          <w:color w:val="00E5A0"/>
        </w:rPr>
        <w:t xml:space="preserve">Respuesta: </w:t>
      </w:r>
      <w:r>
        <w:t>Diana: desarrollo propio en colaboración con un partner tecnológico. Tenemos un comité de riesgo de modelos que valida cada modelo antes de producción y revisa periódicamente. Los modelos pasan por 6 etapas de validación incluyendo test fuera de muestra, tests de estabilidad, fairness y explicabilidad. Cumplimos con los lineamientos de la SFC sobre IA en el sector financiero emitidos en 2025.</w:t>
      </w:r>
    </w:p>
    <w:p>
      <w:pPr>
        <w:pStyle w:val="Heading1"/>
      </w:pPr>
      <w:r>
        <w:rPr>
          <w:color w:val="E85A1F"/>
        </w:rPr>
        <w:t>Anexo · Detalle por segmento</w:t>
      </w:r>
    </w:p>
    <w:p>
      <w:pPr>
        <w:pStyle w:val="Heading2"/>
      </w:pPr>
      <w:r>
        <w:rPr>
          <w:color w:val="E85A1F"/>
        </w:rPr>
        <w:t>Banca empresarial</w:t>
      </w:r>
    </w:p>
    <w:p>
      <w:r>
        <w:t>Cartera total COP 58.4 billones, crecimiento 9.1% YoY. Spread promedio 4.20%. Cartera vencida 1.45%. Provisiones del trimestre COP 145mm. Top 10 clientes representan 8.2% de cartera, dentro de límites regulatorios. Sectores con mayor exposición: agroindustria (12%), comercio (11%), construcción (9%), manufactura (8%). Pipeline de originación 2026: COP 8.5 billones, con foco en infraestructura y energía renovable. Ratio de cross-sell promedio: 4.2 productos por cliente, mejora desde 3.8 hace un año.</w:t>
      </w:r>
    </w:p>
    <w:p>
      <w:pPr>
        <w:pStyle w:val="Heading2"/>
      </w:pPr>
      <w:r>
        <w:rPr>
          <w:color w:val="E85A1F"/>
        </w:rPr>
        <w:t>Banca hipotecaria</w:t>
      </w:r>
    </w:p>
    <w:p>
      <w:r>
        <w:t>Cartera total COP 38.2 billones, crecimiento 11.5% YoY. Tasa promedio originación: 11.20%. Tasa portafolio: 11.85%. LTV promedio: 68%. Cartera vencida: 2.10%. Originación del trimestre: COP 1.85 billones, +14% YoY. Tiempo promedio de aprobación: 8 días, mejora desde 12 días gracias al nuevo proceso digital. Tasa de abandonos en proceso: 18%, abajo desde 24%. Cobertura nacional con 142 oficinas habilitadas.</w:t>
      </w:r>
    </w:p>
    <w:p>
      <w:pPr>
        <w:pStyle w:val="Heading2"/>
      </w:pPr>
      <w:r>
        <w:rPr>
          <w:color w:val="E85A1F"/>
        </w:rPr>
        <w:t>Banca personas</w:t>
      </w:r>
    </w:p>
    <w:p>
      <w:r>
        <w:t>Cartera total COP 28.6 billones, crecimiento 6.8% YoY. Compuesta principalmente por consumo (62%), tarjetas (28%) y libranzas (10%). Mora total 4.10%. Tarjetas con tensión en 5.12% como mencionado. Plataforma digital con 4.8 millones de usuarios activos mensuales. NPS de la app móvil: 62, top 3 del país. Productos lanzados en el trimestre: tarjeta de crédito digital con onboarding en 4 minutos; cuenta de ahorros para freelancers.</w:t>
      </w:r>
    </w:p>
    <w:p>
      <w:pPr>
        <w:pStyle w:val="Heading2"/>
      </w:pPr>
      <w:r>
        <w:rPr>
          <w:color w:val="E85A1F"/>
        </w:rPr>
        <w:t>Microcrédito</w:t>
      </w:r>
    </w:p>
    <w:p>
      <w:r>
        <w:t>Cartera total COP 4.2 billones, crecimiento 18.5% YoY. Foco en micro y pequeñas empresas. Ticket promedio COP 12 millones. Plazo promedio 24 meses. Tasa promedio 28%. Cartera vencida 3.85%, mejora desde 4.20%. Originamos a través de 380 oficiales de crédito en campo + canal digital. La adquisición de Crediágil expandirá nuestra capacidad en este segmento significativamente.</w:t>
      </w:r>
    </w:p>
    <w:p>
      <w:pPr>
        <w:pStyle w:val="Heading2"/>
      </w:pPr>
      <w:r>
        <w:rPr>
          <w:color w:val="E85A1F"/>
        </w:rPr>
        <w:t>Banca de inversión</w:t>
      </w:r>
    </w:p>
    <w:p>
      <w:r>
        <w:t>Asesoramos 4 transacciones M&amp;A cerradas en el trimestre por valor agregado de USD 480 millones. Comisiones generadas: COP 78 mil millones. Pipeline para resto del año: 12 transacciones en distintas etapas. Posicionamiento entre top 5 del league table colombiano. Foco sectorial: energía, infraestructura, consumo masivo. Equipo de 28 banqueros senior.</w:t>
      </w:r>
    </w:p>
    <w:p>
      <w:pPr>
        <w:pStyle w:val="Heading2"/>
      </w:pPr>
      <w:r>
        <w:rPr>
          <w:color w:val="E85A1F"/>
        </w:rPr>
        <w:t>Wealth management</w:t>
      </w:r>
    </w:p>
    <w:p>
      <w:r>
        <w:t>Activos bajo gestión: COP 28 billones, crecimiento 12% YoY. 4,200 clientes con patrimonio medio COP 6.6 mil millones. Ingreso por comisiones: COP 38 mil millones, +15% YoY. Lanzamos plataforma digital de inversiones para clientes premium con onboarding integrado y reportes personalizados. Pipeline de captación: COP 4.5 billones en próximos 12 meses.</w:t>
      </w:r>
    </w:p>
    <w:p>
      <w:pPr>
        <w:pStyle w:val="Heading1"/>
      </w:pPr>
      <w:r>
        <w:rPr>
          <w:color w:val="E85A1F"/>
        </w:rPr>
        <w:t>Outlook 2026</w:t>
      </w:r>
    </w:p>
    <w:p>
      <w:r>
        <w:t>Mantenemos nuestra guía para el año completo: crecimiento de cartera entre 9% y 11%, ROE entre 14.5% y 15.5%, costo de riesgo entre 1.8% y 2.0%, índice de eficiencia cerca de 41% al cierre. Esperamos que el segundo semestre sea más fuerte que el primero, impulsado por: (i) mayor demanda de crédito conforme baje la tasa de política monetaria; (ii) consolidación de Crediágil que aporta crecimiento orgánico; (iii) lanzamiento de nuevos productos digitales; (iv) maduración de inversiones en ciberseguridad y core bancario.</w:t>
      </w:r>
    </w:p>
    <w:p>
      <w:r>
        <w:t>Los principales riesgos al outlook incluyen: (i) eventual desaceleración macro mayor a la esperada; (ii) impactos de la reforma laboral; (iii) volatilidad regulatoria en cargos por servicios financieros; (iv) deterioro adicional en cartera de tarjetas más allá de lo proyectado.</w:t>
      </w:r>
    </w:p>
    <w:p>
      <w:r>
        <w:rPr>
          <w:i/>
        </w:rPr>
        <w:br/>
        <w:t>— Datos sintéticos para ejercicio educativo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