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D4E5"/>
        </w:rPr>
        <w:t>Utilities Colombia 2026 · Research Brief</w:t>
      </w:r>
    </w:p>
    <w:p>
      <w:pPr>
        <w:jc w:val="center"/>
      </w:pPr>
      <w:r>
        <w:rPr>
          <w:b/>
          <w:color w:val="E85A1F"/>
          <w:sz w:val="18"/>
        </w:rPr>
        <w:t>DATOS SINTÉTICOS — Insumo didáctico Sesión 6 · BTG × NODO EAFIT</w:t>
      </w:r>
    </w:p>
    <w:p>
      <w:r>
        <w:rPr>
          <w:b w:val="0"/>
          <w:i/>
          <w:sz w:val="20"/>
        </w:rPr>
        <w:t>Documento consolidado de cinco fuentes equivalentes (reportes trimestrales de ISA, EPM, Celsia, informe sectorial de research bursátil y transcripción de panel sectorial). Pensado para cargarse en NotebookLM como base única, simulando un dataroom corto.</w:t>
      </w:r>
    </w:p>
    <w:p>
      <w:pPr>
        <w:pStyle w:val="Heading1"/>
      </w:pPr>
      <w:r>
        <w:rPr>
          <w:color w:val="00D4E5"/>
        </w:rPr>
        <w:t>1. Panorama sectorial (síntesis)</w:t>
      </w:r>
    </w:p>
    <w:p>
      <w:r>
        <w:rPr>
          <w:b w:val="0"/>
          <w:i w:val="0"/>
          <w:sz w:val="22"/>
        </w:rPr>
        <w:t>El sector utilities colombiano cerró 2025 con un Ebitda agregado de COP 18,4 billones (+9,1% a/a) y un capex agregado de COP 11,2 billones, concentrado en transmisión (45%) y renovables (32%). La inflación promedio anual del IPP energético fue de 6,8%, ligeramente por encima del 5,9% del IPC, con un efecto neto positivo sobre tarifas indexadas. La tasa BanRep cerró en 9,25% (TPM) y el consenso de research la proyecta en 7,25% a diciembre 2026.</w:t>
      </w:r>
    </w:p>
    <w:p>
      <w:pPr>
        <w:pStyle w:val="Heading1"/>
      </w:pPr>
      <w:r>
        <w:rPr>
          <w:color w:val="00D4E5"/>
        </w:rPr>
        <w:t>2. Emisores cubiertos</w:t>
      </w:r>
    </w:p>
    <w:p>
      <w:r>
        <w:rPr>
          <w:b/>
          <w:i w:val="0"/>
          <w:color w:val="E85A1F"/>
          <w:sz w:val="22"/>
        </w:rPr>
        <w:t>ISA — Transmisión LatAm</w:t>
      </w:r>
    </w:p>
    <w:p>
      <w:r>
        <w:rPr>
          <w:b w:val="0"/>
          <w:i w:val="0"/>
          <w:sz w:val="22"/>
        </w:rPr>
        <w:t>Backbone regional. Capex 2025: COP 4,1 B (Brasil 52%, Colombia 28%, Perú/Chile 20%). EBITDA margen 71%. Cobertura intereses 5,2x. Riesgo regulatorio bajo, FX hedging 78% deuda. Próximo bullet 2027: USD 500 M senior unsecured.</w:t>
      </w:r>
    </w:p>
    <w:p>
      <w:r>
        <w:rPr>
          <w:b/>
          <w:i w:val="0"/>
          <w:color w:val="E85A1F"/>
          <w:sz w:val="22"/>
        </w:rPr>
        <w:t>EPM — Multi-utility integrado</w:t>
      </w:r>
    </w:p>
    <w:p>
      <w:r>
        <w:rPr>
          <w:b w:val="0"/>
          <w:i w:val="0"/>
          <w:sz w:val="22"/>
        </w:rPr>
        <w:t>Hidroituango sumando 1.200 MW al SIN. Subsidios cruzados generación–distribución bajo revisión por CREG. Deuda/EBITDA 3,8x (objetivo ≤3,5x a 2027). Calificación BB+ S&amp;P (perspectiva estable). Riesgo: presión política sobre tarifas en estratos 1-3.</w:t>
      </w:r>
    </w:p>
    <w:p>
      <w:r>
        <w:rPr>
          <w:b/>
          <w:i w:val="0"/>
          <w:color w:val="E85A1F"/>
          <w:sz w:val="22"/>
        </w:rPr>
        <w:t>Celsia — Generación + distribución</w:t>
      </w:r>
    </w:p>
    <w:p>
      <w:r>
        <w:rPr>
          <w:b w:val="0"/>
          <w:i w:val="0"/>
          <w:sz w:val="22"/>
        </w:rPr>
        <w:t>Mix 67% renovable. Granjas solares Yumbo, Bolívar, Tolima. PPA promedio 8,2 años. Margen EBITDA 41%. Próxima emisión local COP 600 mil M para refi 2027.</w:t>
      </w:r>
    </w:p>
    <w:p>
      <w:r>
        <w:rPr>
          <w:b/>
          <w:i w:val="0"/>
          <w:color w:val="E85A1F"/>
          <w:sz w:val="22"/>
        </w:rPr>
        <w:t>Promigas — Gas natural · transporte y distribución</w:t>
      </w:r>
    </w:p>
    <w:p>
      <w:r>
        <w:rPr>
          <w:b w:val="0"/>
          <w:i w:val="0"/>
          <w:sz w:val="22"/>
        </w:rPr>
        <w:t>Caja recurrente alta, pero exposición a declinación de reservas (Guajira). Inversión en regasificación Buenaventura. Cobertura intereses 4,1x. Rating BBB– Fitch.</w:t>
      </w:r>
    </w:p>
    <w:p>
      <w:r>
        <w:rPr>
          <w:b/>
          <w:i w:val="0"/>
          <w:color w:val="E85A1F"/>
          <w:sz w:val="22"/>
        </w:rPr>
        <w:t>Enel Colombia — Generación + comercialización</w:t>
      </w:r>
    </w:p>
    <w:p>
      <w:r>
        <w:rPr>
          <w:b w:val="0"/>
          <w:i w:val="0"/>
          <w:sz w:val="22"/>
        </w:rPr>
        <w:t>Foco en respaldo térmico y renovables nuevas. Plan capex 2026-30: USD 2,4 B. Sensibilidad alta a precios spot durante El Niño.</w:t>
      </w:r>
    </w:p>
    <w:p>
      <w:pPr>
        <w:pStyle w:val="Heading1"/>
      </w:pPr>
      <w:r>
        <w:rPr>
          <w:color w:val="00D4E5"/>
        </w:rPr>
        <w:t>3. Riesgos regulatorios 2026</w:t>
      </w:r>
    </w:p>
    <w:p>
      <w:r>
        <w:rPr>
          <w:b w:val="0"/>
          <w:i w:val="0"/>
          <w:sz w:val="22"/>
        </w:rPr>
        <w:t>R1. Revisión tarifaria CREG Resolución 015/2018 — recalibración WACC regulado, posible recorte 60-90 bps.</w:t>
      </w:r>
    </w:p>
    <w:p>
      <w:r>
        <w:rPr>
          <w:b w:val="0"/>
          <w:i w:val="0"/>
          <w:sz w:val="22"/>
        </w:rPr>
        <w:t>R2. Aplazamiento subasta cargo por confiabilidad — afecta valoración de plantas térmicas marginales.</w:t>
      </w:r>
    </w:p>
    <w:p>
      <w:r>
        <w:rPr>
          <w:b w:val="0"/>
          <w:i w:val="0"/>
          <w:sz w:val="22"/>
        </w:rPr>
        <w:t>R3. Discusión congresal Ley 142 — riesgo de topes a contribución de solidaridad estratos 5-6.</w:t>
      </w:r>
    </w:p>
    <w:p>
      <w:r>
        <w:rPr>
          <w:b w:val="0"/>
          <w:i w:val="0"/>
          <w:sz w:val="22"/>
        </w:rPr>
        <w:t>R4. PND 2026-30 — meta 25% renovables no convencionales sobre matriz, exige fast-track ambiental.</w:t>
      </w:r>
    </w:p>
    <w:p>
      <w:r>
        <w:rPr>
          <w:b w:val="0"/>
          <w:i w:val="0"/>
          <w:sz w:val="22"/>
        </w:rPr>
        <w:t>R5. Tarifa de transmisión STN — ajuste por demanda real 2024-25 podría revisar ingresos regulados de ISA Intercolombia.</w:t>
      </w:r>
    </w:p>
    <w:p>
      <w:pPr>
        <w:pStyle w:val="Heading1"/>
      </w:pPr>
      <w:r>
        <w:rPr>
          <w:color w:val="00D4E5"/>
        </w:rPr>
        <w:t>4. Indicadores clave (cierre 2025)</w:t>
      </w:r>
    </w:p>
    <w:p>
      <w:r>
        <w:rPr>
          <w:b w:val="0"/>
          <w:i w:val="0"/>
          <w:sz w:val="22"/>
        </w:rPr>
        <w:t>Demanda SIN: 80,4 TWh (+3,1% a/a). Generación hidráulica 64,2%; térmica 18,1%; renovables no convencionales 12,8%; otras 4,9%. Aporte hídrico al embalse: 102% del promedio histórico. Tarifa promedio CU regulado: COP 869/kWh (+8,2% a/a). Pérdidas técnicas + no técnicas: 9,4%.</w:t>
      </w:r>
    </w:p>
    <w:p>
      <w:pPr>
        <w:pStyle w:val="Heading1"/>
      </w:pPr>
      <w:r>
        <w:rPr>
          <w:color w:val="00D4E5"/>
        </w:rPr>
        <w:t>5. Vista equipo Renta Fija — qué mirar</w:t>
      </w:r>
    </w:p>
    <w:p>
      <w:pPr>
        <w:pStyle w:val="ListBullet"/>
      </w:pPr>
      <w:r>
        <w:rPr>
          <w:sz w:val="20"/>
        </w:rPr>
        <w:t>Comparar D/EBITDA ISA vs EPM vs Celsia para asignar peso relativo en portafolio investment grade.</w:t>
      </w:r>
    </w:p>
    <w:p>
      <w:pPr>
        <w:pStyle w:val="ListBullet"/>
      </w:pPr>
      <w:r>
        <w:rPr>
          <w:sz w:val="20"/>
        </w:rPr>
        <w:t>Monitorear emisión Celsia COP 600 mil M (mayo 2026): cupón y demanda son referencia para el mercado local.</w:t>
      </w:r>
    </w:p>
    <w:p>
      <w:pPr>
        <w:pStyle w:val="ListBullet"/>
      </w:pPr>
      <w:r>
        <w:rPr>
          <w:sz w:val="20"/>
        </w:rPr>
        <w:t>Hidroituango: revisar covenants de la sindicada EPM si flujo libre cae por debajo del threshold 1,1x.</w:t>
      </w:r>
    </w:p>
    <w:p>
      <w:pPr>
        <w:pStyle w:val="ListBullet"/>
      </w:pPr>
      <w:r>
        <w:rPr>
          <w:sz w:val="20"/>
        </w:rPr>
        <w:t>Riesgo regulatorio CREG — pricing del bono ISA 2032 podría requerir spread adicional 15-25 bps en escenario adverso.</w:t>
      </w:r>
    </w:p>
    <w:p>
      <w:pPr>
        <w:pStyle w:val="ListBullet"/>
      </w:pPr>
      <w:r>
        <w:rPr>
          <w:sz w:val="20"/>
        </w:rPr>
        <w:t>Curva CETIP equivalente (TES UVR) — mejor pricing referencial que LIBOR para emisores hidro indexados a IPC.</w:t>
      </w:r>
    </w:p>
    <w:p>
      <w:pPr>
        <w:pStyle w:val="Heading1"/>
      </w:pPr>
      <w:r>
        <w:rPr>
          <w:color w:val="00D4E5"/>
        </w:rPr>
        <w:t>6. Glosario de términos</w:t>
      </w:r>
    </w:p>
    <w:p>
      <w:r>
        <w:rPr>
          <w:b w:val="0"/>
          <w:i w:val="0"/>
          <w:sz w:val="22"/>
        </w:rPr>
        <w:t>CREG — Comisión de Regulación de Energía y Gas (Colombia).</w:t>
      </w:r>
    </w:p>
    <w:p>
      <w:r>
        <w:rPr>
          <w:b w:val="0"/>
          <w:i w:val="0"/>
          <w:sz w:val="22"/>
        </w:rPr>
        <w:t>SIN — Sistema Interconectado Nacional.</w:t>
      </w:r>
    </w:p>
    <w:p>
      <w:r>
        <w:rPr>
          <w:b w:val="0"/>
          <w:i w:val="0"/>
          <w:sz w:val="22"/>
        </w:rPr>
        <w:t>STN — Sistema de Transmisión Nacional.</w:t>
      </w:r>
    </w:p>
    <w:p>
      <w:r>
        <w:rPr>
          <w:b w:val="0"/>
          <w:i w:val="0"/>
          <w:sz w:val="22"/>
        </w:rPr>
        <w:t>Cargo por Confiabilidad — Subasta de respaldo firme administrada por CREG.</w:t>
      </w:r>
    </w:p>
    <w:p>
      <w:r>
        <w:rPr>
          <w:b w:val="0"/>
          <w:i w:val="0"/>
          <w:sz w:val="22"/>
        </w:rPr>
        <w:t>WACC regulado — Costo de capital reconocido en tarifa por la CREG.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