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E85A1F"/>
        </w:rPr>
        <w:t>Prospecto de Información — Bonos Hidroeléctrica del Caribe 2026</w:t>
      </w:r>
    </w:p>
    <w:p>
      <w:pPr>
        <w:jc w:val="center"/>
      </w:pPr>
      <w:r>
        <w:rPr>
          <w:b/>
          <w:color w:val="E85A1F"/>
          <w:sz w:val="18"/>
        </w:rPr>
        <w:t>EMISOR SINTÉTICO — Insumo didáctico Sesión 6 · BTG × NODO EAFIT</w:t>
      </w:r>
    </w:p>
    <w:p>
      <w:pPr>
        <w:pStyle w:val="Heading1"/>
      </w:pPr>
      <w:r>
        <w:rPr>
          <w:color w:val="00D4E5"/>
        </w:rPr>
        <w:t>Resumen de la oferta</w:t>
      </w:r>
    </w:p>
    <w:p>
      <w:r>
        <w:rPr>
          <w:b w:val="0"/>
          <w:i w:val="0"/>
          <w:sz w:val="22"/>
        </w:rPr>
        <w:t>Hidroeléctrica del Caribe S.A. ESP (en adelante 'el Emisor') ofrece bonos ordinarios denominados en pesos colombianos por un monto total de COP 800.000 millones, distribuidos en tres series. La emisión ha sido inscrita en el Registro Nacional de Valores y Emisores (RNVE) y aprobada por la Superintendencia Financiera de Colombia bajo resolución 0451 de marzo de 2026.</w:t>
      </w:r>
    </w:p>
    <w:p>
      <w:pPr>
        <w:pStyle w:val="Heading1"/>
      </w:pPr>
      <w:r>
        <w:rPr>
          <w:color w:val="00D4E5"/>
        </w:rPr>
        <w:t>1. Condiciones financieras</w:t>
      </w:r>
    </w:p>
    <w:p>
      <w:pPr>
        <w:pStyle w:val="ListBullet"/>
      </w:pPr>
      <w:r>
        <w:rPr>
          <w:sz w:val="20"/>
        </w:rPr>
        <w:t>Monto total: COP 800.000.000.000.</w:t>
      </w:r>
    </w:p>
    <w:p>
      <w:pPr>
        <w:pStyle w:val="ListBullet"/>
      </w:pPr>
      <w:r>
        <w:rPr>
          <w:sz w:val="20"/>
        </w:rPr>
        <w:t>Serie A (plazo 5 años): COP 250.000 M — Tasa cupón IBR + 285 bps, pago trimestral.</w:t>
      </w:r>
    </w:p>
    <w:p>
      <w:pPr>
        <w:pStyle w:val="ListBullet"/>
      </w:pPr>
      <w:r>
        <w:rPr>
          <w:sz w:val="20"/>
        </w:rPr>
        <w:t>Serie B (plazo 7 años): COP 300.000 M — Tasa cupón IPC + 415 bps, pago semestral.</w:t>
      </w:r>
    </w:p>
    <w:p>
      <w:pPr>
        <w:pStyle w:val="ListBullet"/>
      </w:pPr>
      <w:r>
        <w:rPr>
          <w:sz w:val="20"/>
        </w:rPr>
        <w:t>Serie C (plazo 10 años): COP 250.000 M — Tasa cupón fija 11,40% E.A., pago semestral.</w:t>
      </w:r>
    </w:p>
    <w:p>
      <w:pPr>
        <w:pStyle w:val="ListBullet"/>
      </w:pPr>
      <w:r>
        <w:rPr>
          <w:sz w:val="20"/>
        </w:rPr>
        <w:t>Calificación de la emisión: AA+ otorgada por Fitch Ratings Colombia el 04-mar-2026.</w:t>
      </w:r>
    </w:p>
    <w:p>
      <w:pPr>
        <w:pStyle w:val="ListBullet"/>
      </w:pPr>
      <w:r>
        <w:rPr>
          <w:sz w:val="20"/>
        </w:rPr>
        <w:t>Bookrunners: Corredores Davivienda, BTG Pactual S.A. Comisionista de Bolsa, Credicorp Capital.</w:t>
      </w:r>
    </w:p>
    <w:p>
      <w:pPr>
        <w:pStyle w:val="Heading1"/>
      </w:pPr>
      <w:r>
        <w:rPr>
          <w:color w:val="00D4E5"/>
        </w:rPr>
        <w:t>2. Uso de los fondos</w:t>
      </w:r>
    </w:p>
    <w:p>
      <w:r>
        <w:rPr>
          <w:b w:val="0"/>
          <w:i w:val="0"/>
          <w:sz w:val="22"/>
        </w:rPr>
        <w:t>El 62% de los recursos será destinado a refinanciar deuda bancaria sindicada con vencimiento en septiembre de 2027, el 28% financiará la expansión de la planta hidroeléctrica El Quebradón (capacidad adicional 220 MW) y el 10% restante será destinado a capital de trabajo recurrente.</w:t>
      </w:r>
    </w:p>
    <w:p>
      <w:pPr>
        <w:pStyle w:val="Heading1"/>
      </w:pPr>
      <w:r>
        <w:rPr>
          <w:color w:val="00D4E5"/>
        </w:rPr>
        <w:t>3. Información financiera del Emisor (cifras en COP miles de millones)</w:t>
      </w:r>
    </w:p>
    <w:p>
      <w:r>
        <w:rPr>
          <w:b w:val="0"/>
          <w:i w:val="0"/>
          <w:sz w:val="22"/>
        </w:rPr>
        <w:t>Ingresos operacionales 2023: 1.812 — 2024: 1.987 — 2025: 2.221 (CAGR 10,7%). EBITDA 2023: 712 — 2024: 824 — 2025: 949. Margen EBITDA 2025: 42,7%. Deuda financiera neta 2025: COP 2.846 mil M. Deuda neta / EBITDA: 3,0x. Cobertura de intereses (EBITDA / Gasto financiero): 4,1x. Caja y equivalentes al cierre 2025: COP 248 mil M.</w:t>
      </w:r>
    </w:p>
    <w:p>
      <w:pPr>
        <w:pStyle w:val="Heading1"/>
      </w:pPr>
      <w:r>
        <w:rPr>
          <w:color w:val="00D4E5"/>
        </w:rPr>
        <w:t>4. Covenants financieros (sección 4.2 del prospecto)</w:t>
      </w:r>
    </w:p>
    <w:p>
      <w:pPr>
        <w:pStyle w:val="ListNumber"/>
      </w:pPr>
      <w:r>
        <w:rPr>
          <w:sz w:val="20"/>
        </w:rPr>
        <w:t>Deuda Neta / EBITDA ≤ 4,25x medido trimestralmente sobre últimos 12 meses.</w:t>
      </w:r>
    </w:p>
    <w:p>
      <w:pPr>
        <w:pStyle w:val="ListNumber"/>
      </w:pPr>
      <w:r>
        <w:rPr>
          <w:sz w:val="20"/>
        </w:rPr>
        <w:t>Cobertura de Servicio de Deuda ≥ 1,30x al cierre de cada año fiscal.</w:t>
      </w:r>
    </w:p>
    <w:p>
      <w:pPr>
        <w:pStyle w:val="ListNumber"/>
      </w:pPr>
      <w:r>
        <w:rPr>
          <w:sz w:val="20"/>
        </w:rPr>
        <w:t>Patrimonio mínimo de COP 1.000.000 millones durante toda la vida del bono.</w:t>
      </w:r>
    </w:p>
    <w:p>
      <w:pPr>
        <w:pStyle w:val="ListNumber"/>
      </w:pPr>
      <w:r>
        <w:rPr>
          <w:sz w:val="20"/>
        </w:rPr>
        <w:t>Restricción de dividendos si Deuda Neta/EBITDA &gt; 3,75x.</w:t>
      </w:r>
    </w:p>
    <w:p>
      <w:pPr>
        <w:pStyle w:val="ListNumber"/>
      </w:pPr>
      <w:r>
        <w:rPr>
          <w:sz w:val="20"/>
        </w:rPr>
        <w:t>Cross-default con cualquier obligación superior a COP 50.000 millones.</w:t>
      </w:r>
    </w:p>
    <w:p>
      <w:pPr>
        <w:pStyle w:val="ListNumber"/>
      </w:pPr>
      <w:r>
        <w:rPr>
          <w:sz w:val="20"/>
        </w:rPr>
        <w:t>Negative pledge sobre activos productivos clave (plantas Quebradón I y II).</w:t>
      </w:r>
    </w:p>
    <w:p>
      <w:pPr>
        <w:pStyle w:val="ListNumber"/>
      </w:pPr>
      <w:r>
        <w:rPr>
          <w:sz w:val="20"/>
        </w:rPr>
        <w:t>Obligación de reporte trimestral auditado dentro de 60 días calendario.</w:t>
      </w:r>
    </w:p>
    <w:p>
      <w:pPr>
        <w:pStyle w:val="Heading1"/>
      </w:pPr>
      <w:r>
        <w:rPr>
          <w:color w:val="00D4E5"/>
        </w:rPr>
        <w:t>5. Factores de riesgo (extracto sección 5)</w:t>
      </w:r>
    </w:p>
    <w:p>
      <w:r>
        <w:rPr>
          <w:b/>
          <w:i w:val="0"/>
          <w:color w:val="E85A1F"/>
          <w:sz w:val="22"/>
        </w:rPr>
        <w:t>Riesgo hidrológico</w:t>
      </w:r>
    </w:p>
    <w:p>
      <w:r>
        <w:rPr>
          <w:b w:val="0"/>
          <w:i w:val="0"/>
          <w:sz w:val="22"/>
        </w:rPr>
        <w:t>Caudales históricamente variables por El Niño/La Niña. Stress test interno: caída 18% en generación durante El Niño severo.</w:t>
      </w:r>
    </w:p>
    <w:p>
      <w:r>
        <w:rPr>
          <w:b/>
          <w:i w:val="0"/>
          <w:color w:val="E85A1F"/>
          <w:sz w:val="22"/>
        </w:rPr>
        <w:t>Riesgo regulatorio</w:t>
      </w:r>
    </w:p>
    <w:p>
      <w:r>
        <w:rPr>
          <w:b w:val="0"/>
          <w:i w:val="0"/>
          <w:sz w:val="22"/>
        </w:rPr>
        <w:t>Posible recalibración del WACC regulado por CREG entre 2026-2028.</w:t>
      </w:r>
    </w:p>
    <w:p>
      <w:r>
        <w:rPr>
          <w:b/>
          <w:i w:val="0"/>
          <w:color w:val="E85A1F"/>
          <w:sz w:val="22"/>
        </w:rPr>
        <w:t>Riesgo cambiario</w:t>
      </w:r>
    </w:p>
    <w:p>
      <w:r>
        <w:rPr>
          <w:b w:val="0"/>
          <w:i w:val="0"/>
          <w:sz w:val="22"/>
        </w:rPr>
        <w:t>67% de la deuda financiera está en moneda local; 33% es deuda multilateral en USD con hedge parcial vía swaps.</w:t>
      </w:r>
    </w:p>
    <w:p>
      <w:r>
        <w:rPr>
          <w:b/>
          <w:i w:val="0"/>
          <w:color w:val="E85A1F"/>
          <w:sz w:val="22"/>
        </w:rPr>
        <w:t>Riesgo de contraparte</w:t>
      </w:r>
    </w:p>
    <w:p>
      <w:r>
        <w:rPr>
          <w:b w:val="0"/>
          <w:i w:val="0"/>
          <w:sz w:val="22"/>
        </w:rPr>
        <w:t>Cobranza concentrada en 6 comercializadoras mayoristas (78% ventas).</w:t>
      </w:r>
    </w:p>
    <w:p>
      <w:r>
        <w:rPr>
          <w:b/>
          <w:i w:val="0"/>
          <w:color w:val="E85A1F"/>
          <w:sz w:val="22"/>
        </w:rPr>
        <w:t>Riesgo de construcción</w:t>
      </w:r>
    </w:p>
    <w:p>
      <w:r>
        <w:rPr>
          <w:b w:val="0"/>
          <w:i w:val="0"/>
          <w:sz w:val="22"/>
        </w:rPr>
        <w:t>Ampliación El Quebradón estimada en USD 145 M con CAPEX overrun contingencia 12%.</w:t>
      </w:r>
    </w:p>
    <w:p>
      <w:pPr>
        <w:pStyle w:val="Heading1"/>
      </w:pPr>
      <w:r>
        <w:rPr>
          <w:color w:val="00D4E5"/>
        </w:rPr>
        <w:t>6. Comparables sectoriales</w:t>
      </w:r>
    </w:p>
    <w:p>
      <w:r>
        <w:rPr>
          <w:b w:val="0"/>
          <w:i w:val="0"/>
          <w:sz w:val="22"/>
        </w:rPr>
        <w:t>ISA 2032 cupón 8,90% spread vs TES 200 bps. Promigas 2030 cupón 9,75% spread 245 bps. Celsia 2028 cupón IPC + 380 bps. Esta emisión Serie C 11,40% E.A. equivale a spread aproximado de 295 bps sobre TES 10 años (referencia abril 2026).</w:t>
      </w:r>
    </w:p>
    <w:p>
      <w:pPr>
        <w:pStyle w:val="Heading1"/>
      </w:pPr>
      <w:r>
        <w:rPr>
          <w:color w:val="00D4E5"/>
        </w:rPr>
        <w:t>7. Calendario de la emisión</w:t>
      </w:r>
    </w:p>
    <w:p>
      <w:pPr>
        <w:pStyle w:val="ListBullet"/>
      </w:pPr>
      <w:r>
        <w:t>Apertura del libro: 22-abr-2026, 9:00 am.</w:t>
      </w:r>
    </w:p>
    <w:p>
      <w:pPr>
        <w:pStyle w:val="ListBullet"/>
      </w:pPr>
      <w:r>
        <w:t>Cierre del libro: 23-abr-2026, 12:00 m.</w:t>
      </w:r>
    </w:p>
    <w:p>
      <w:pPr>
        <w:pStyle w:val="ListBullet"/>
      </w:pPr>
      <w:r>
        <w:t>Asignación: 23-abr-2026, 3:00 pm.</w:t>
      </w:r>
    </w:p>
    <w:p>
      <w:pPr>
        <w:pStyle w:val="ListBullet"/>
      </w:pPr>
      <w:r>
        <w:t>Cumplimiento: 28-abr-2026 (T+3).</w:t>
      </w:r>
    </w:p>
    <w:p>
      <w:pPr>
        <w:pStyle w:val="ListBullet"/>
      </w:pPr>
      <w:r>
        <w:t>Primer pago de intereses: 28-jul-2026.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