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D4E5"/>
        </w:rPr>
        <w:t>Key Investor Information Document — Sample Paragraph (EN)</w:t>
      </w:r>
    </w:p>
    <w:p>
      <w:pPr>
        <w:jc w:val="center"/>
      </w:pPr>
      <w:r>
        <w:rPr>
          <w:b/>
          <w:color w:val="E85A1F"/>
          <w:sz w:val="18"/>
        </w:rPr>
        <w:t>SAMPLE / SYNTHETIC — Insumo didáctico Sesión 6 · BTG × NODO EAFIT</w:t>
      </w:r>
    </w:p>
    <w:p>
      <w:pPr>
        <w:pStyle w:val="Heading1"/>
      </w:pPr>
      <w:r>
        <w:rPr>
          <w:color w:val="00D4E5"/>
        </w:rPr>
        <w:t>Instructions</w:t>
      </w:r>
    </w:p>
    <w:p>
      <w:r>
        <w:rPr>
          <w:b w:val="0"/>
          <w:i/>
          <w:sz w:val="20"/>
        </w:rPr>
        <w:t>Use the paragraph below for the translation comparison task between DeepSeek, ChatGPT and Kimi. The goal is to evaluate which engine preserves financial precision and Colombian Spanish technicality.</w:t>
      </w:r>
    </w:p>
    <w:p>
      <w:pPr>
        <w:pStyle w:val="Heading1"/>
      </w:pPr>
      <w:r>
        <w:rPr>
          <w:color w:val="00D4E5"/>
        </w:rPr>
        <w:t>Paragraph 1 — Investment objective and policy</w:t>
      </w:r>
    </w:p>
    <w:p>
      <w:r>
        <w:rPr>
          <w:b w:val="0"/>
          <w:i w:val="0"/>
          <w:sz w:val="22"/>
        </w:rPr>
        <w:t>The Sub-Fund seeks to deliver long-term capital appreciation primarily through exposure to senior secured fixed-rate corporate bonds issued by Latin American utilities, with a modified duration target between 4.0 and 6.5 years. Up to 25% of net asset value may be allocated to subordinated or hybrid debt instruments, including AT1 perpetual notes, provided the issuer maintains an investment-grade local-scale rating. Derivative instruments may be used for hedging foreign exchange exposure and managing duration; their gross notional shall not exceed 100% of NAV. The Sub-Fund is actively managed and references the iBoxx LatAm Utilities USD Investment Grade Index for performance comparison purposes only.</w:t>
      </w:r>
    </w:p>
    <w:p>
      <w:pPr>
        <w:pStyle w:val="Heading1"/>
      </w:pPr>
      <w:r>
        <w:rPr>
          <w:color w:val="00D4E5"/>
        </w:rPr>
        <w:t>Paragraph 2 — Risk warning</w:t>
      </w:r>
    </w:p>
    <w:p>
      <w:r>
        <w:rPr>
          <w:b w:val="0"/>
          <w:i w:val="0"/>
          <w:sz w:val="22"/>
        </w:rPr>
        <w:t>Investors should be aware that the Sub-Fund is subject to credit, interest rate, currency, liquidity and concentration risks. The use of leverage, where permitted up to 110% of NAV via repurchase agreements, may magnify losses during periods of market stress. Bid-ask spreads on LatAm corporate debt can widen materially in stressed conditions, potentially impairing the Manager's ability to realise assets at quoted prices.</w:t>
      </w:r>
    </w:p>
    <w:p>
      <w:pPr>
        <w:pStyle w:val="Heading1"/>
      </w:pPr>
      <w:r>
        <w:rPr>
          <w:color w:val="00D4E5"/>
        </w:rPr>
        <w:t>Paragraph 3 — Charges</w:t>
      </w:r>
    </w:p>
    <w:p>
      <w:r>
        <w:rPr>
          <w:b w:val="0"/>
          <w:i w:val="0"/>
          <w:sz w:val="22"/>
        </w:rPr>
        <w:t>The Sub-Fund applies a 1.10% per annum management fee on net assets, accrued daily, plus a performance fee of 15% over the high-water mark of the reference index, subject to a hurdle rate of 250 basis points above the 1-month USD SOFR.</w:t>
      </w:r>
    </w:p>
    <w:p>
      <w:pPr>
        <w:pStyle w:val="Heading1"/>
      </w:pPr>
      <w:r>
        <w:rPr>
          <w:color w:val="00D4E5"/>
        </w:rPr>
        <w:t>Suggested prompt</w:t>
      </w:r>
    </w:p>
    <w:p>
      <w:r>
        <w:rPr>
          <w:b w:val="0"/>
          <w:i/>
          <w:sz w:val="22"/>
        </w:rPr>
        <w:t>“Traduce este KIID al español manteniendo precisión financiera, citas regulatorias colombianas (SFC) donde aplique, y unidad de medida en pesos colombianos cuando sea relevante para un inversionista institucional local.”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