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E85A1F"/>
        </w:rPr>
        <w:t>Circular Externa 008 de 2026 — Superintendencia Financiera de Colombia</w:t>
      </w:r>
    </w:p>
    <w:p>
      <w:pPr>
        <w:jc w:val="center"/>
      </w:pPr>
      <w:r>
        <w:rPr>
          <w:b/>
          <w:color w:val="E85A1F"/>
          <w:sz w:val="18"/>
        </w:rPr>
        <w:t>CIRCULAR SINTÉTICA — Insumo didáctico Sesión 6 · BTG × NODO EAFIT</w:t>
      </w:r>
    </w:p>
    <w:p>
      <w:pPr>
        <w:pStyle w:val="Heading1"/>
      </w:pPr>
      <w:r>
        <w:rPr>
          <w:color w:val="00D4E5"/>
        </w:rPr>
        <w:t>Asunto</w:t>
      </w:r>
    </w:p>
    <w:p>
      <w:r>
        <w:rPr>
          <w:b w:val="0"/>
          <w:i w:val="0"/>
          <w:sz w:val="22"/>
        </w:rPr>
        <w:t>Modificación a la Parte II, Título II, Capítulo XX del Estatuto Orgánico del Sistema Financiero, en lo referente al cómputo de la relación de solvencia adicional para establecimientos de crédito que operen con instrumentos derivados sobre tasa de interés.</w:t>
      </w:r>
    </w:p>
    <w:p>
      <w:pPr>
        <w:pStyle w:val="Heading1"/>
      </w:pPr>
      <w:r>
        <w:rPr>
          <w:color w:val="00D4E5"/>
        </w:rPr>
        <w:t>Fecha de entrada en vigor</w:t>
      </w:r>
    </w:p>
    <w:p>
      <w:r>
        <w:rPr>
          <w:b w:val="0"/>
          <w:i w:val="0"/>
          <w:sz w:val="22"/>
        </w:rPr>
        <w:t>1° de julio de 2026, con periodo de transición de 90 días calendario.</w:t>
      </w:r>
    </w:p>
    <w:p>
      <w:pPr>
        <w:pStyle w:val="Heading1"/>
      </w:pPr>
      <w:r>
        <w:rPr>
          <w:color w:val="00D4E5"/>
        </w:rPr>
        <w:t>Artículo 1 — Objeto</w:t>
      </w:r>
    </w:p>
    <w:p>
      <w:r>
        <w:rPr>
          <w:b w:val="0"/>
          <w:i w:val="0"/>
          <w:sz w:val="22"/>
        </w:rPr>
        <w:t>La presente Circular establece el ajuste al factor de ponderación de riesgo aplicable a las exposiciones netas en derivados sobre tasa de interés celebrados con contraparte central (CCP) y no contraparte central, dentro del cómputo de los activos ponderados por nivel de riesgo de crédito (APNR). El factor pasa de 4% a 2% para exposiciones con CCP y de 8% a 10% para exposiciones bilaterales no compensadas, alineándose con el marco de Basilea III revisado en su versión final 2023.</w:t>
      </w:r>
    </w:p>
    <w:p>
      <w:pPr>
        <w:pStyle w:val="Heading1"/>
      </w:pPr>
      <w:r>
        <w:rPr>
          <w:color w:val="00D4E5"/>
        </w:rPr>
        <w:t>Artículo 2 — Reporte de información</w:t>
      </w:r>
    </w:p>
    <w:p>
      <w:r>
        <w:rPr>
          <w:b w:val="0"/>
          <w:i w:val="0"/>
          <w:sz w:val="22"/>
        </w:rPr>
        <w:t>Las entidades sometidas a inspección y vigilancia deberán remitir a esta Superintendencia, a más tardar el décimo quinto día hábil de cada mes, el formato 524 actualizado con la información de exposiciones netas por contraparte, segregando CCP y no-CCP, en pesos colombianos y moneda extranjera, de acuerdo con la matriz anexa a la presente Circular.</w:t>
      </w:r>
    </w:p>
    <w:p>
      <w:pPr>
        <w:pStyle w:val="Heading1"/>
      </w:pPr>
      <w:r>
        <w:rPr>
          <w:color w:val="00D4E5"/>
        </w:rPr>
        <w:t>Artículo 3 — Régimen de transición</w:t>
      </w:r>
    </w:p>
    <w:p>
      <w:r>
        <w:rPr>
          <w:b w:val="0"/>
          <w:i w:val="0"/>
          <w:sz w:val="22"/>
        </w:rPr>
        <w:t>Las exposiciones existentes al 30 de junio de 2026 podrán continuar bajo el régimen anterior hasta su vencimiento o el 31 de diciembre de 2026, lo que ocurra primero. Toda operación nueva celebrada desde el 1° de julio de 2026 deberá aplicar inmediatamente los nuevos factores.</w:t>
      </w:r>
    </w:p>
    <w:p>
      <w:pPr>
        <w:pStyle w:val="Heading1"/>
      </w:pPr>
      <w:r>
        <w:rPr>
          <w:color w:val="00D4E5"/>
        </w:rPr>
        <w:t>Artículo 4 — Sanciones</w:t>
      </w:r>
    </w:p>
    <w:p>
      <w:r>
        <w:rPr>
          <w:b w:val="0"/>
          <w:i w:val="0"/>
          <w:sz w:val="22"/>
        </w:rPr>
        <w:t>El incumplimiento de las obligaciones de reporte y cómputo será sancionable conforme al Estatuto Orgánico del Sistema Financiero, sin perjuicio de las acciones correctivas que esta Superintendencia disponga.</w:t>
      </w:r>
    </w:p>
    <w:p>
      <w:pPr>
        <w:pStyle w:val="Heading1"/>
      </w:pPr>
      <w:r>
        <w:rPr>
          <w:color w:val="00D4E5"/>
        </w:rPr>
        <w:t>Artículo 5 — Disposiciones finales</w:t>
      </w:r>
    </w:p>
    <w:p>
      <w:r>
        <w:rPr>
          <w:b w:val="0"/>
          <w:i w:val="0"/>
          <w:sz w:val="22"/>
        </w:rPr>
        <w:t>Esta Circular deroga las disposiciones que le sean contrarias, en especial los numerales 3.2.1 y 3.2.2 de la Circular Externa 014 de 2023.</w:t>
      </w:r>
    </w:p>
    <w:p>
      <w:pPr>
        <w:pStyle w:val="Heading1"/>
      </w:pPr>
      <w:r>
        <w:rPr>
          <w:color w:val="00D4E5"/>
        </w:rPr>
        <w:t>Anexo técnico — Ejemplo de cálculo</w:t>
      </w:r>
    </w:p>
    <w:p>
      <w:r>
        <w:rPr>
          <w:b w:val="0"/>
          <w:i w:val="0"/>
          <w:sz w:val="22"/>
        </w:rPr>
        <w:t>Banco hipotético con exposición neta de COP 1.200.000 M en swaps de tasa contra CCP: APNR previo = 1.200.000 × 0,04 = COP 48.000 M. APNR nuevo = 1.200.000 × 0,02 = COP 24.000 M. Impacto en solvencia: liberación de capital regulatorio de aproximadamente COP 2.640 M (asumiendo solvencia objetivo del 11%).</w:t>
      </w:r>
    </w:p>
    <w:p>
      <w:pPr>
        <w:pStyle w:val="Heading1"/>
      </w:pPr>
      <w:r>
        <w:rPr>
          <w:color w:val="00D4E5"/>
        </w:rPr>
        <w:t>Prompt sugerido para DeepSeek</w:t>
      </w:r>
    </w:p>
    <w:p>
      <w:r>
        <w:rPr>
          <w:b w:val="0"/>
          <w:i/>
          <w:sz w:val="22"/>
        </w:rPr>
        <w:t>“Eres el chief of staff de un MD en banca. Resume esta circular SFC en 5 bullets de máximo 22 palabras cada uno, para una reunión con la junta en 1 hora. Incluye fecha de entrada en vigor, impacto directo para un banco universal colombiano y 1 acción recomendada.”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