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85A1F"/>
        </w:rPr>
        <w:t>Memoria Anual 2025 — Ecocemento Andino S.A.</w:t>
      </w:r>
    </w:p>
    <w:p>
      <w:pPr>
        <w:jc w:val="center"/>
      </w:pPr>
      <w:r>
        <w:rPr>
          <w:b/>
          <w:color w:val="E85A1F"/>
          <w:sz w:val="18"/>
        </w:rPr>
        <w:t>EMISOR SINTÉTICO — Insumo didáctico Sesión 6 · BTG × NODO EAFIT</w:t>
      </w:r>
    </w:p>
    <w:p>
      <w:pPr>
        <w:pStyle w:val="Heading1"/>
      </w:pPr>
      <w:r>
        <w:rPr>
          <w:color w:val="00D4E5"/>
        </w:rPr>
        <w:t>1. Carta del CEO</w:t>
      </w:r>
    </w:p>
    <w:p>
      <w:r>
        <w:rPr>
          <w:b w:val="0"/>
          <w:i w:val="0"/>
          <w:sz w:val="22"/>
        </w:rPr>
        <w:t>Estimados accionistas, 2025 fue un año de consolidación operativa. Cerramos con ventas de 7,1 millones de toneladas de cemento (+4,8% a/a), un EBITDA de COP 1.842 mil millones (+11,2% a/a) y una utilidad neta de COP 612 mil millones. Nuestra estrategia 'Andino Verde 2030' avanzó con tres hitos: clinker descarbonizado en planta Sogamoso, alianza con Holcim para captura de CO₂ y emisión de bono verde local por COP 600.000 millones con sobre-demanda de 2,8x.</w:t>
      </w:r>
    </w:p>
    <w:p>
      <w:pPr>
        <w:pStyle w:val="Heading1"/>
      </w:pPr>
      <w:r>
        <w:rPr>
          <w:color w:val="00D4E5"/>
        </w:rPr>
        <w:t>2. Desempeño financiero</w:t>
      </w:r>
    </w:p>
    <w:p>
      <w:r>
        <w:rPr>
          <w:b w:val="0"/>
          <w:i w:val="0"/>
          <w:sz w:val="22"/>
        </w:rPr>
        <w:t>Ingresos consolidados: COP 4.872 mil M (+9,1%). Costo de ventas: COP 3.130 mil M. Margen bruto: 35,8% (vs 33,4% en 2024). EBITDA: COP 1.842 mil M, margen 37,8%. Utilidad operacional: COP 1.121 mil M. Resultado financiero neto: −COP 312 mil M. Utilidad neta: COP 612 mil M. UPA: COP 1.842.</w:t>
      </w:r>
    </w:p>
    <w:p>
      <w:r>
        <w:rPr>
          <w:b w:val="0"/>
          <w:i w:val="0"/>
          <w:sz w:val="22"/>
        </w:rPr>
        <w:t>Inversión de capital (Capex): COP 745 mil M (15,3% de ingresos), concentrada en (i) expansión planta Sogamoso COP 412 mil M, (ii) modernización molinos planta Yumbo COP 198 mil M, (iii) infraestructura logística pacífico COP 135 mil M.</w:t>
      </w:r>
    </w:p>
    <w:p>
      <w:pPr>
        <w:pStyle w:val="Heading1"/>
      </w:pPr>
      <w:r>
        <w:rPr>
          <w:color w:val="00D4E5"/>
        </w:rPr>
        <w:t>3. Operaciones por país</w:t>
      </w:r>
    </w:p>
    <w:p>
      <w:r>
        <w:rPr>
          <w:b/>
          <w:i w:val="0"/>
          <w:color w:val="E85A1F"/>
          <w:sz w:val="22"/>
        </w:rPr>
        <w:t>Colombia</w:t>
      </w:r>
    </w:p>
    <w:p>
      <w:r>
        <w:rPr>
          <w:b w:val="0"/>
          <w:i w:val="0"/>
          <w:sz w:val="22"/>
        </w:rPr>
        <w:t>5,2 Mt despachadas. Margen EBITDA 38,9%. Capex foco Sogamoso descarbonizado.</w:t>
      </w:r>
    </w:p>
    <w:p>
      <w:r>
        <w:rPr>
          <w:b/>
          <w:i w:val="0"/>
          <w:color w:val="E85A1F"/>
          <w:sz w:val="22"/>
        </w:rPr>
        <w:t>Perú</w:t>
      </w:r>
    </w:p>
    <w:p>
      <w:r>
        <w:rPr>
          <w:b w:val="0"/>
          <w:i w:val="0"/>
          <w:sz w:val="22"/>
        </w:rPr>
        <w:t>1,1 Mt. Margen EBITDA 32,4%. Negociación colectiva cerrada sin paro.</w:t>
      </w:r>
    </w:p>
    <w:p>
      <w:r>
        <w:rPr>
          <w:b/>
          <w:i w:val="0"/>
          <w:color w:val="E85A1F"/>
          <w:sz w:val="22"/>
        </w:rPr>
        <w:t>Ecuador</w:t>
      </w:r>
    </w:p>
    <w:p>
      <w:r>
        <w:rPr>
          <w:b w:val="0"/>
          <w:i w:val="0"/>
          <w:sz w:val="22"/>
        </w:rPr>
        <w:t>0,5 Mt. Margen EBITDA 28,1%. Recuperación tras crisis fiscal 2024.</w:t>
      </w:r>
    </w:p>
    <w:p>
      <w:r>
        <w:rPr>
          <w:b/>
          <w:i w:val="0"/>
          <w:color w:val="E85A1F"/>
          <w:sz w:val="22"/>
        </w:rPr>
        <w:t>Panamá</w:t>
      </w:r>
    </w:p>
    <w:p>
      <w:r>
        <w:rPr>
          <w:b w:val="0"/>
          <w:i w:val="0"/>
          <w:sz w:val="22"/>
        </w:rPr>
        <w:t>0,3 Mt. Margen EBITDA 41,8%. Proyectos canal + infraestructura urbana.</w:t>
      </w:r>
    </w:p>
    <w:p>
      <w:pPr>
        <w:pStyle w:val="Heading1"/>
      </w:pPr>
      <w:r>
        <w:rPr>
          <w:color w:val="00D4E5"/>
        </w:rPr>
        <w:t>4. Sostenibilidad — Andino Verde 2030</w:t>
      </w:r>
    </w:p>
    <w:p>
      <w:r>
        <w:rPr>
          <w:b w:val="0"/>
          <w:i w:val="0"/>
          <w:sz w:val="22"/>
        </w:rPr>
        <w:t>Reducción emisiones específicas: 612 kg CO₂/t cemento (−6,3% a/a). Meta 2030: 480 kg/t. Energía renovable en operaciones: 47% (PPA solar Yumbo + autogeneración). Agua reciclada en procesos: 78%. Inversión social comunidades: COP 28 mil M.</w:t>
      </w:r>
    </w:p>
    <w:p>
      <w:pPr>
        <w:pStyle w:val="Heading1"/>
      </w:pPr>
      <w:r>
        <w:rPr>
          <w:color w:val="00D4E5"/>
        </w:rPr>
        <w:t>5. Gobierno corporativo</w:t>
      </w:r>
    </w:p>
    <w:p>
      <w:r>
        <w:rPr>
          <w:b w:val="0"/>
          <w:i w:val="0"/>
          <w:sz w:val="22"/>
        </w:rPr>
        <w:t>Junta directiva ampliada de 7 a 9 miembros, con cuatro independientes (44%). Nueva política de remuneración ejecutiva con 30% del bono ligado a indicadores ESG verificables. Compliance: cero incidentes materiales reportados a SFC durante el año.</w:t>
      </w:r>
    </w:p>
    <w:p>
      <w:pPr>
        <w:pStyle w:val="Heading1"/>
      </w:pPr>
      <w:r>
        <w:rPr>
          <w:color w:val="00D4E5"/>
        </w:rPr>
        <w:t>6. Factores de riesgo 2025</w:t>
      </w:r>
    </w:p>
    <w:p>
      <w:r>
        <w:rPr>
          <w:b w:val="0"/>
          <w:i w:val="0"/>
          <w:sz w:val="22"/>
        </w:rPr>
        <w:t>[Operacional] Disponibilidad de clinker tras paro 12 días en planta Cali (mitigado con stocks).</w:t>
      </w:r>
    </w:p>
    <w:p>
      <w:r>
        <w:rPr>
          <w:b w:val="0"/>
          <w:i w:val="0"/>
          <w:sz w:val="22"/>
        </w:rPr>
        <w:t>[Operacional] Costo logístico cabotaje pacífico +18% por tarifas portuarias.</w:t>
      </w:r>
    </w:p>
    <w:p>
      <w:r>
        <w:rPr>
          <w:b w:val="0"/>
          <w:i w:val="0"/>
          <w:sz w:val="22"/>
        </w:rPr>
        <w:t>[Financiero] Sensibilidad a tasa flotante: 42% deuda IBR; cada 100 bps = COP 28 mil M Ebit.</w:t>
      </w:r>
    </w:p>
    <w:p>
      <w:r>
        <w:rPr>
          <w:b w:val="0"/>
          <w:i w:val="0"/>
          <w:sz w:val="22"/>
        </w:rPr>
        <w:t>[Regulatorio] Implementación impuesto al carbono Fase II: costo estimado COP 22 mil M.</w:t>
      </w:r>
    </w:p>
    <w:p>
      <w:r>
        <w:rPr>
          <w:b w:val="0"/>
          <w:i w:val="0"/>
          <w:sz w:val="22"/>
        </w:rPr>
        <w:t>[Estratégico] Competencia importadora de cemento desde Asia, presión sobre precios premium.</w:t>
      </w:r>
    </w:p>
    <w:p>
      <w:r>
        <w:rPr>
          <w:b w:val="0"/>
          <w:i w:val="0"/>
          <w:sz w:val="22"/>
        </w:rPr>
        <w:t>[Cambio climático] Eventos hídricos extremos afectaron extracción de áridos Q2.</w:t>
      </w:r>
    </w:p>
    <w:p>
      <w:r>
        <w:rPr>
          <w:b w:val="0"/>
          <w:i w:val="0"/>
          <w:sz w:val="22"/>
        </w:rPr>
        <w:t>[Reputacional] Demanda colectiva pendiente por emisión histórica polvo planta Yumbo (provisión COP 12 mil M).</w:t>
      </w:r>
    </w:p>
    <w:p>
      <w:r>
        <w:rPr>
          <w:b w:val="0"/>
          <w:i w:val="0"/>
          <w:sz w:val="22"/>
        </w:rPr>
        <w:t>[Ciberseguridad] Intento de ransomware en filial Perú; sin pérdida de datos, contenido en 6 horas.</w:t>
      </w:r>
    </w:p>
    <w:p>
      <w:r>
        <w:rPr>
          <w:b w:val="0"/>
          <w:i w:val="0"/>
          <w:sz w:val="22"/>
        </w:rPr>
        <w:t>[Talento] Rotación senior 11,2% (vs 8,4% en 2024).</w:t>
      </w:r>
    </w:p>
    <w:p>
      <w:r>
        <w:rPr>
          <w:b w:val="0"/>
          <w:i w:val="0"/>
          <w:sz w:val="22"/>
        </w:rPr>
        <w:t>[Materialización 2025] Riesgo operacional Cali se materializó parcialmente; pérdida de margen estimada COP 18 mil M (mitigada).</w:t>
      </w:r>
    </w:p>
    <w:p>
      <w:pPr>
        <w:pStyle w:val="Heading1"/>
      </w:pPr>
      <w:r>
        <w:rPr>
          <w:color w:val="00D4E5"/>
        </w:rPr>
        <w:t>7. Comparación de riesgos 2024 vs 2025</w:t>
      </w:r>
    </w:p>
    <w:p>
      <w:pPr>
        <w:pStyle w:val="ListBullet"/>
      </w:pPr>
      <w:r>
        <w:rPr>
          <w:sz w:val="20"/>
        </w:rPr>
        <w:t>Nuevos en 2025: impuesto al carbono Fase II, demanda colectiva polvo Yumbo, intento ransomware.</w:t>
      </w:r>
    </w:p>
    <w:p>
      <w:pPr>
        <w:pStyle w:val="ListBullet"/>
      </w:pPr>
      <w:r>
        <w:rPr>
          <w:sz w:val="20"/>
        </w:rPr>
        <w:t>Salieron del top 10 en 2025: riesgo FX sobre deuda en USD (cobertura completada en agosto).</w:t>
      </w:r>
    </w:p>
    <w:p>
      <w:pPr>
        <w:pStyle w:val="ListBullet"/>
      </w:pPr>
      <w:r>
        <w:rPr>
          <w:sz w:val="20"/>
        </w:rPr>
        <w:t>Cambio de orden: riesgo logístico subió del puesto 7 al 2 por tarifas portuarias.</w:t>
      </w:r>
    </w:p>
    <w:p>
      <w:pPr>
        <w:pStyle w:val="ListBullet"/>
      </w:pPr>
      <w:r>
        <w:rPr>
          <w:sz w:val="20"/>
        </w:rPr>
        <w:t>Mantienen materialidad: hidrológico, regulatorio, talento.</w:t>
      </w:r>
    </w:p>
    <w:p>
      <w:pPr>
        <w:pStyle w:val="Heading1"/>
      </w:pPr>
      <w:r>
        <w:rPr>
          <w:color w:val="00D4E5"/>
        </w:rPr>
        <w:t>8. Estrategia 2026-2030</w:t>
      </w:r>
    </w:p>
    <w:p>
      <w:r>
        <w:rPr>
          <w:b w:val="0"/>
          <w:i w:val="0"/>
          <w:sz w:val="22"/>
        </w:rPr>
        <w:t>Cinco palancas: (1) descarbonización clinker — meta 480 kg CO₂/t a 2030; (2) expansión Centroamérica orgánica + M&amp;A selectiva; (3) cemento especializado para infraestructura vial 4G; (4) logística marítima propia ruta pacífico; (5) optimización capital de trabajo para liberar COP 180 mil M en tres años.</w:t>
      </w:r>
    </w:p>
    <w:p>
      <w:pPr>
        <w:pStyle w:val="Heading1"/>
      </w:pPr>
      <w:r>
        <w:rPr>
          <w:color w:val="00D4E5"/>
        </w:rPr>
        <w:t>9. Estados financieros — resumen</w:t>
      </w:r>
    </w:p>
    <w:p>
      <w:r>
        <w:rPr>
          <w:b w:val="0"/>
          <w:i w:val="0"/>
          <w:sz w:val="22"/>
        </w:rPr>
        <w:t>Activo total: COP 8.412 mil M. Pasivo total: COP 5.230 mil M. Patrimonio: COP 3.182 mil M. Deuda financiera bruta: COP 3.110 mil M. Deuda financiera neta: COP 2.642 mil M. Deuda neta / EBITDA: 1,43x. Cobertura intereses: 5,9x.</w:t>
      </w:r>
    </w:p>
    <w:p>
      <w:pPr>
        <w:pStyle w:val="Heading1"/>
      </w:pPr>
      <w:r>
        <w:rPr>
          <w:color w:val="00D4E5"/>
        </w:rPr>
        <w:t>10. Hechos relevantes posteriores</w:t>
      </w:r>
    </w:p>
    <w:p>
      <w:r>
        <w:rPr>
          <w:b w:val="0"/>
          <w:i w:val="0"/>
          <w:sz w:val="22"/>
        </w:rPr>
        <w:t>El 14 de febrero de 2026 se aprobó la emisión del bono verde local. El 02 de marzo de 2026 se firmó el acuerdo de captura de CO₂ con Holcim. El 19 de marzo de 2026, S&amp;P ratificó la calificación BBB con perspectiva estable.</w:t>
      </w:r>
    </w:p>
    <w:p>
      <w:pPr>
        <w:pStyle w:val="Heading1"/>
      </w:pPr>
      <w:r>
        <w:rPr>
          <w:color w:val="00D4E5"/>
        </w:rPr>
        <w:t>Prompts sugeridos (Quick Win 08)</w:t>
      </w:r>
    </w:p>
    <w:p>
      <w:r>
        <w:rPr>
          <w:b w:val="0"/>
          <w:i/>
          <w:sz w:val="22"/>
        </w:rPr>
        <w:t>1) Extrae los 10 factores de riesgo declarados en sección 6 con página, categoría y materialización.</w:t>
      </w:r>
    </w:p>
    <w:p>
      <w:r>
        <w:rPr>
          <w:b w:val="0"/>
          <w:i/>
          <w:sz w:val="22"/>
        </w:rPr>
        <w:t>2) Diff de riesgos 2024 vs 2025 según sección 7 — qué desapareció y qué es nuevo.</w:t>
      </w:r>
    </w:p>
    <w:p>
      <w:r>
        <w:rPr>
          <w:b w:val="0"/>
          <w:i/>
          <w:sz w:val="22"/>
        </w:rPr>
        <w:t>3) Tres preguntas que haría un analista senior al CFO basándose en estos cambios.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