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85A1F"/>
        </w:rPr>
        <w:t>Balance Trimestral Q1 2026 — TextilAndes S.A.</w:t>
      </w:r>
    </w:p>
    <w:p>
      <w:pPr>
        <w:jc w:val="center"/>
      </w:pPr>
      <w:r>
        <w:rPr>
          <w:b/>
          <w:color w:val="E85A1F"/>
          <w:sz w:val="18"/>
        </w:rPr>
        <w:t>EMISOR SINTÉTICO — Insumo didáctico Sesión 6 · BTG × NODO EAFIT</w:t>
      </w:r>
    </w:p>
    <w:p>
      <w:r>
        <w:rPr>
          <w:b w:val="0"/>
          <w:i/>
          <w:sz w:val="20"/>
        </w:rPr>
        <w:t>Balance de un emisor corporativo colombiano de tamaño mediano. Cifras en COP miles de millones. Datos sintéticos para el ejercicio Quick Win 09 (DeepSeek file upload + DeepThink).</w:t>
      </w:r>
    </w:p>
    <w:p>
      <w:pPr>
        <w:pStyle w:val="Heading1"/>
      </w:pPr>
      <w:r>
        <w:rPr>
          <w:color w:val="00D4E5"/>
        </w:rPr>
        <w:t>Estado de Situación Financiera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Línea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Mar-26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Dic-25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ACTIVO CORRIENTE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Efectivo y equivalentes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Cuentas por cobrar comerciales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Inventarios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Otros activos corrientes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activo corriente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1.306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1.268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ACTIVO NO CORRIENTE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Propiedad, planta y equipo, neto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Intangibles + Goodwill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Otros activos no corrientes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activo no corriente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2.746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2.708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ACTIVO TOTAL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4.052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3.976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PASIVO CORRIENTE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Cuentas por pagar comerciales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Deuda financiera corriente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Otros pasivos corrientes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pasivo corriente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PASIVO NO CORRIENTE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Deuda financiera no corriente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1.245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Pasivos por impuesto diferido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Otros pasivos no corrientes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pasivo no corriente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1.474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1.493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PASIVO TOTAL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2.370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2.333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PATRIMONIO TOTAL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1.682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1.643</w:t>
            </w:r>
          </w:p>
        </w:tc>
      </w:tr>
    </w:tbl>
    <w:p>
      <w:pPr>
        <w:pStyle w:val="Heading1"/>
      </w:pPr>
      <w:r>
        <w:rPr>
          <w:color w:val="00D4E5"/>
        </w:rPr>
        <w:t>Estado de Resultados — Q1 2026 (3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Línea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Q1 2026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Q1 2025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Ingresos operacionales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692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Costo de ventas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(498)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(471)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Utilidad bruta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244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221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Gastos administración y ventas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(118)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(112)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Depreciación y amortización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(56)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(54)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EBIT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55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Gasto financiero neto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(28)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(27)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Utilidad antes de impuestos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Impuesto a la renta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(13)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(9)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Utilidad neta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EBITDA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126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109</w:t>
            </w:r>
          </w:p>
        </w:tc>
      </w:tr>
    </w:tbl>
    <w:p>
      <w:pPr>
        <w:pStyle w:val="Heading1"/>
      </w:pPr>
      <w:r>
        <w:rPr>
          <w:color w:val="00D4E5"/>
        </w:rPr>
        <w:t>Notas relevantes</w:t>
      </w:r>
    </w:p>
    <w:p>
      <w:pPr>
        <w:pStyle w:val="ListBullet"/>
      </w:pPr>
      <w:r>
        <w:t>Línea 'Deuda financiera no corriente' incluye bono local 9,25% vencimiento 2029 por COP 800 mil M.</w:t>
      </w:r>
    </w:p>
    <w:p>
      <w:pPr>
        <w:pStyle w:val="ListBullet"/>
      </w:pPr>
      <w:r>
        <w:t>Cobertura SWAP sobre 60% de la deuda corriente.</w:t>
      </w:r>
    </w:p>
    <w:p>
      <w:pPr>
        <w:pStyle w:val="ListBullet"/>
      </w:pPr>
      <w:r>
        <w:t>Provisión riesgo crediticio sobre cartera: 3,2% del saldo bruto.</w:t>
      </w:r>
    </w:p>
    <w:p>
      <w:pPr>
        <w:pStyle w:val="ListBullet"/>
      </w:pPr>
      <w:r>
        <w:t>Inventarios valorados a costo promedio ponderado.</w:t>
      </w:r>
    </w:p>
    <w:p>
      <w:pPr>
        <w:pStyle w:val="Heading1"/>
      </w:pPr>
      <w:r>
        <w:rPr>
          <w:color w:val="00D4E5"/>
        </w:rPr>
        <w:t>Prompt sugerido (Quick Win 09)</w:t>
      </w:r>
    </w:p>
    <w:p>
      <w:r>
        <w:rPr>
          <w:b w:val="0"/>
          <w:i/>
          <w:sz w:val="22"/>
        </w:rPr>
        <w:t>“De este balance calcula: razón corriente, prueba ácida, endeudamiento total, deuda financiera neta / EBITDA, cobertura de intereses, ROE, ROA, margen EBITDA. Devuelve tabla markdown con valor, fórmula y la línea exacta del balance de donde viene cada componente.”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