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Pr="00592CFF" w:rsidRDefault="00117038" w:rsidP="00FB3146">
      <w:pPr>
        <w:rPr>
          <w:rFonts w:ascii="Trebuchet MS" w:hAnsi="Trebuchet MS"/>
          <w:b/>
          <w:bCs/>
        </w:rPr>
      </w:pPr>
      <w:r w:rsidRPr="00592CFF">
        <w:rPr>
          <w:rFonts w:ascii="Trebuchet MS" w:hAnsi="Trebuchet MS"/>
          <w:b/>
          <w:bCs/>
        </w:rPr>
        <w:t>\Chapter{Introduction}</w:t>
      </w:r>
    </w:p>
    <w:p w14:paraId="02E1AC43" w14:textId="77777777" w:rsidR="00E1269A" w:rsidRDefault="00E1269A" w:rsidP="00E1269A">
      <w:pPr>
        <w:rPr>
          <w:rFonts w:ascii="Trebuchet MS" w:hAnsi="Trebuchet MS"/>
        </w:rPr>
      </w:pPr>
    </w:p>
    <w:p w14:paraId="03E7EF82" w14:textId="51360EE7" w:rsidR="00163EAB" w:rsidRDefault="00E1269A" w:rsidP="00E1269A">
      <w:pPr>
        <w:rPr>
          <w:rFonts w:ascii="Trebuchet MS" w:hAnsi="Trebuchet MS"/>
        </w:rPr>
      </w:pPr>
      <w:r w:rsidRPr="00592CFF">
        <w:rPr>
          <w:rFonts w:ascii="Trebuchet MS" w:hAnsi="Trebuchet MS"/>
        </w:rPr>
        <w:t xml:space="preserve">Somatic mutations can occur in cells at all stages of life and in all tissues. </w:t>
      </w:r>
      <w:r w:rsidR="00DE6FAF">
        <w:rPr>
          <w:rFonts w:ascii="Trebuchet MS" w:hAnsi="Trebuchet MS"/>
        </w:rPr>
        <w:t>Somatic mutational processes in asexually reproducing cells and in the germline of sexually producing species are the source of genetic diversity upon which natural</w:t>
      </w:r>
      <w:r w:rsidR="002C043B">
        <w:rPr>
          <w:rFonts w:ascii="Trebuchet MS" w:hAnsi="Trebuchet MS"/>
        </w:rPr>
        <w:t xml:space="preserve"> and sexual</w:t>
      </w:r>
      <w:r w:rsidR="00DE6FAF">
        <w:rPr>
          <w:rFonts w:ascii="Trebuchet MS" w:hAnsi="Trebuchet MS"/>
        </w:rPr>
        <w:t xml:space="preserve"> selection acts. </w:t>
      </w:r>
      <w:r w:rsidR="00683551">
        <w:rPr>
          <w:rFonts w:ascii="Trebuchet MS" w:hAnsi="Trebuchet MS"/>
        </w:rPr>
        <w:t xml:space="preserve">The completion of the </w:t>
      </w:r>
      <w:r w:rsidR="00B37193">
        <w:rPr>
          <w:rFonts w:ascii="Trebuchet MS" w:hAnsi="Trebuchet MS"/>
        </w:rPr>
        <w:t>H</w:t>
      </w:r>
      <w:r w:rsidR="00683551">
        <w:rPr>
          <w:rFonts w:ascii="Trebuchet MS" w:hAnsi="Trebuchet MS"/>
        </w:rPr>
        <w:t xml:space="preserve">uman </w:t>
      </w:r>
      <w:r w:rsidR="00B37193">
        <w:rPr>
          <w:rFonts w:ascii="Trebuchet MS" w:hAnsi="Trebuchet MS"/>
        </w:rPr>
        <w:t>G</w:t>
      </w:r>
      <w:r w:rsidR="00683551">
        <w:rPr>
          <w:rFonts w:ascii="Trebuchet MS" w:hAnsi="Trebuchet MS"/>
        </w:rPr>
        <w:t xml:space="preserve">enome </w:t>
      </w:r>
      <w:r w:rsidR="00B37193">
        <w:rPr>
          <w:rFonts w:ascii="Trebuchet MS" w:hAnsi="Trebuchet MS"/>
        </w:rPr>
        <w:t>Pr</w:t>
      </w:r>
      <w:r w:rsidR="00683551">
        <w:rPr>
          <w:rFonts w:ascii="Trebuchet MS" w:hAnsi="Trebuchet MS"/>
        </w:rPr>
        <w:t xml:space="preserve">oject </w:t>
      </w:r>
      <w:r w:rsidR="00D3114C">
        <w:rPr>
          <w:rFonts w:ascii="Trebuchet MS" w:hAnsi="Trebuchet MS"/>
        </w:rPr>
        <w:t xml:space="preserve">(HGP) </w:t>
      </w:r>
      <w:r w:rsidR="00683551">
        <w:rPr>
          <w:rFonts w:ascii="Trebuchet MS" w:hAnsi="Trebuchet MS"/>
        </w:rPr>
        <w:t>\cite{} and the advent of next-generation sequencing platform \cite{}</w:t>
      </w:r>
      <w:r w:rsidR="00B37193">
        <w:rPr>
          <w:rFonts w:ascii="Trebuchet MS" w:hAnsi="Trebuchet MS"/>
        </w:rPr>
        <w:t xml:space="preserve"> have</w:t>
      </w:r>
      <w:r w:rsidR="00D54588">
        <w:rPr>
          <w:rFonts w:ascii="Trebuchet MS" w:hAnsi="Trebuchet MS"/>
        </w:rPr>
        <w:t xml:space="preserve"> </w:t>
      </w:r>
      <w:r w:rsidR="00D96C79">
        <w:rPr>
          <w:rFonts w:ascii="Trebuchet MS" w:hAnsi="Trebuchet MS"/>
        </w:rPr>
        <w:t xml:space="preserve">made it possible </w:t>
      </w:r>
      <w:r w:rsidR="00D54588">
        <w:rPr>
          <w:rFonts w:ascii="Trebuchet MS" w:hAnsi="Trebuchet MS"/>
        </w:rPr>
        <w:t>to detect and analyse somatic mutation</w:t>
      </w:r>
      <w:r w:rsidR="00D96C79">
        <w:rPr>
          <w:rFonts w:ascii="Trebuchet MS" w:hAnsi="Trebuchet MS"/>
        </w:rPr>
        <w:t xml:space="preserve"> landscape of thousands of tumours \cite{}.</w:t>
      </w:r>
      <w:r w:rsidR="0044200A">
        <w:rPr>
          <w:rFonts w:ascii="Trebuchet MS" w:hAnsi="Trebuchet MS"/>
        </w:rPr>
        <w:t xml:space="preserve"> In stark contrast,</w:t>
      </w:r>
      <w:r w:rsidR="00D96C79">
        <w:rPr>
          <w:rFonts w:ascii="Trebuchet MS" w:hAnsi="Trebuchet MS"/>
        </w:rPr>
        <w:t xml:space="preserve"> </w:t>
      </w:r>
      <w:r w:rsidR="0044200A">
        <w:rPr>
          <w:rFonts w:ascii="Trebuchet MS" w:hAnsi="Trebuchet MS"/>
        </w:rPr>
        <w:t>the inability to detect somatic mutations in normal tissues at scale and the high cost of constructing high-quality reference genomes has prevented the characterisation of somatic mutational processes across the Tree of Life</w:t>
      </w:r>
      <w:r w:rsidR="00EA1521">
        <w:rPr>
          <w:rFonts w:ascii="Trebuchet MS" w:hAnsi="Trebuchet MS"/>
        </w:rPr>
        <w:t xml:space="preserve">. </w:t>
      </w:r>
      <w:r w:rsidR="00D750D9">
        <w:rPr>
          <w:rFonts w:ascii="Trebuchet MS" w:hAnsi="Trebuchet MS"/>
        </w:rPr>
        <w:t xml:space="preserve">The ability to produce long and accurate reads through circular consensus sequencing (CCS) from </w:t>
      </w:r>
      <w:r w:rsidR="00292791">
        <w:rPr>
          <w:rFonts w:ascii="Trebuchet MS" w:hAnsi="Trebuchet MS"/>
        </w:rPr>
        <w:t xml:space="preserve">Pacific Biosciences (PacBio) </w:t>
      </w:r>
      <w:r w:rsidR="00D750D9">
        <w:rPr>
          <w:rFonts w:ascii="Trebuchet MS" w:hAnsi="Trebuchet MS"/>
        </w:rPr>
        <w:t xml:space="preserve">has </w:t>
      </w:r>
      <w:r w:rsidR="0036007E">
        <w:rPr>
          <w:rFonts w:ascii="Trebuchet MS" w:hAnsi="Trebuchet MS"/>
        </w:rPr>
        <w:t xml:space="preserve">recently </w:t>
      </w:r>
      <w:r w:rsidR="00D750D9">
        <w:rPr>
          <w:rFonts w:ascii="Trebuchet MS" w:hAnsi="Trebuchet MS"/>
        </w:rPr>
        <w:t xml:space="preserve">renewed interest for \textit{de novo} assembly </w:t>
      </w:r>
      <w:r w:rsidR="0036007E">
        <w:rPr>
          <w:rFonts w:ascii="Trebuchet MS" w:hAnsi="Trebuchet MS"/>
        </w:rPr>
        <w:t>of genomes for all of life \cite{}</w:t>
      </w:r>
      <w:r w:rsidR="008D4AC5">
        <w:rPr>
          <w:rFonts w:ascii="Trebuchet MS" w:hAnsi="Trebuchet MS"/>
        </w:rPr>
        <w:t xml:space="preserve">. Here, I describe a new method </w:t>
      </w:r>
      <w:r w:rsidR="00163EAB">
        <w:rPr>
          <w:rFonts w:ascii="Trebuchet MS" w:hAnsi="Trebuchet MS"/>
        </w:rPr>
        <w:t xml:space="preserve">that uses CCS reads </w:t>
      </w:r>
      <w:r w:rsidR="008D4AC5">
        <w:rPr>
          <w:rFonts w:ascii="Trebuchet MS" w:hAnsi="Trebuchet MS"/>
        </w:rPr>
        <w:t xml:space="preserve">to </w:t>
      </w:r>
      <w:r w:rsidR="00163EAB">
        <w:rPr>
          <w:rFonts w:ascii="Trebuchet MS" w:hAnsi="Trebuchet MS"/>
        </w:rPr>
        <w:t xml:space="preserve">enable the detection of </w:t>
      </w:r>
      <w:r w:rsidR="008D4AC5">
        <w:rPr>
          <w:rFonts w:ascii="Trebuchet MS" w:hAnsi="Trebuchet MS"/>
        </w:rPr>
        <w:t>somatic mutations present as a single copy from bulk normal tissue</w:t>
      </w:r>
      <w:r w:rsidR="00326445">
        <w:rPr>
          <w:rFonts w:ascii="Trebuchet MS" w:hAnsi="Trebuchet MS"/>
        </w:rPr>
        <w:t xml:space="preserve">. I also discuss </w:t>
      </w:r>
      <w:r w:rsidR="00163EAB">
        <w:rPr>
          <w:rFonts w:ascii="Trebuchet MS" w:hAnsi="Trebuchet MS"/>
        </w:rPr>
        <w:t xml:space="preserve">application of this method to discovering </w:t>
      </w:r>
      <w:r w:rsidR="00326445">
        <w:rPr>
          <w:rFonts w:ascii="Trebuchet MS" w:hAnsi="Trebuchet MS"/>
        </w:rPr>
        <w:t xml:space="preserve">new </w:t>
      </w:r>
      <w:r w:rsidR="00163EAB">
        <w:rPr>
          <w:rFonts w:ascii="Trebuchet MS" w:hAnsi="Trebuchet MS"/>
        </w:rPr>
        <w:t xml:space="preserve">somatic mutational processes across the Tree of Life. </w:t>
      </w:r>
    </w:p>
    <w:p w14:paraId="6407A613" w14:textId="5D381DAF" w:rsidR="00117038" w:rsidRPr="00592CFF" w:rsidRDefault="00117038" w:rsidP="00FB3146">
      <w:pPr>
        <w:rPr>
          <w:rFonts w:ascii="Trebuchet MS" w:hAnsi="Trebuchet MS"/>
          <w:b/>
          <w:bCs/>
        </w:rPr>
      </w:pPr>
    </w:p>
    <w:p w14:paraId="05859A4E" w14:textId="29F6B18C" w:rsidR="00C23228" w:rsidRPr="00592CFF" w:rsidRDefault="00117038" w:rsidP="00FB3146">
      <w:pPr>
        <w:rPr>
          <w:rFonts w:ascii="Trebuchet MS" w:hAnsi="Trebuchet MS"/>
          <w:b/>
          <w:bCs/>
        </w:rPr>
      </w:pPr>
      <w:r w:rsidRPr="00592CFF">
        <w:rPr>
          <w:rFonts w:ascii="Trebuchet MS" w:hAnsi="Trebuchet MS"/>
          <w:b/>
          <w:bCs/>
        </w:rPr>
        <w:t>\section{</w:t>
      </w:r>
      <w:r w:rsidR="00915E0F">
        <w:rPr>
          <w:rFonts w:ascii="Trebuchet MS" w:hAnsi="Trebuchet MS"/>
          <w:b/>
          <w:bCs/>
        </w:rPr>
        <w:t>The s</w:t>
      </w:r>
      <w:r w:rsidR="00FC520B">
        <w:rPr>
          <w:rFonts w:ascii="Trebuchet MS" w:hAnsi="Trebuchet MS"/>
          <w:b/>
          <w:bCs/>
        </w:rPr>
        <w:t>omatic mutation landscape</w:t>
      </w:r>
      <w:r w:rsidR="00915E0F">
        <w:rPr>
          <w:rFonts w:ascii="Trebuchet MS" w:hAnsi="Trebuchet MS"/>
          <w:b/>
          <w:bCs/>
        </w:rPr>
        <w:t xml:space="preserve"> of textit{H. sapiens}</w:t>
      </w:r>
      <w:r w:rsidR="00831633" w:rsidRPr="00592CFF">
        <w:rPr>
          <w:rFonts w:ascii="Trebuchet MS" w:hAnsi="Trebuchet MS"/>
          <w:b/>
          <w:bCs/>
        </w:rPr>
        <w:t>}</w:t>
      </w:r>
    </w:p>
    <w:p w14:paraId="2B9A67BF" w14:textId="77777777" w:rsidR="00780E87" w:rsidRDefault="00780E87" w:rsidP="00780E87">
      <w:pPr>
        <w:rPr>
          <w:rFonts w:ascii="Trebuchet MS" w:hAnsi="Trebuchet MS"/>
        </w:rPr>
      </w:pPr>
    </w:p>
    <w:p w14:paraId="75A7B6C2" w14:textId="7C5B7A20" w:rsidR="00A24E18" w:rsidRDefault="00780E87" w:rsidP="00E034EE">
      <w:pPr>
        <w:rPr>
          <w:rFonts w:ascii="Trebuchet MS" w:hAnsi="Trebuchet MS"/>
        </w:rPr>
      </w:pPr>
      <w:r>
        <w:rPr>
          <w:rFonts w:ascii="Trebuchet MS" w:hAnsi="Trebuchet MS"/>
        </w:rPr>
        <w:t xml:space="preserve">To date, the study of somatic mutagenesis has largely been limited to \textit{H. Sapiens} and to somatic mutations present either in clones of cells as part of an ongoing effort to describe the driver mutation landscape in tumours. </w:t>
      </w:r>
      <w:r w:rsidR="009D7E29">
        <w:rPr>
          <w:rFonts w:ascii="Trebuchet MS" w:hAnsi="Trebuchet MS"/>
        </w:rPr>
        <w:t xml:space="preserve">The contribution of somatic mutations to oncogenesis </w:t>
      </w:r>
      <w:r w:rsidR="00A66D7D">
        <w:rPr>
          <w:rFonts w:ascii="Trebuchet MS" w:hAnsi="Trebuchet MS"/>
        </w:rPr>
        <w:t>ha</w:t>
      </w:r>
      <w:r w:rsidR="001B56C1">
        <w:rPr>
          <w:rFonts w:ascii="Trebuchet MS" w:hAnsi="Trebuchet MS"/>
        </w:rPr>
        <w:t>s</w:t>
      </w:r>
      <w:r w:rsidR="00A66D7D">
        <w:rPr>
          <w:rFonts w:ascii="Trebuchet MS" w:hAnsi="Trebuchet MS"/>
        </w:rPr>
        <w:t xml:space="preserve"> been implicated as early as 1890</w:t>
      </w:r>
      <w:r w:rsidR="00A66D7D" w:rsidRPr="00A66D7D">
        <w:rPr>
          <w:rFonts w:ascii="Trebuchet MS" w:hAnsi="Trebuchet MS"/>
        </w:rPr>
        <w:t xml:space="preserve"> </w:t>
      </w:r>
      <w:r w:rsidR="00A66D7D">
        <w:rPr>
          <w:rFonts w:ascii="Trebuchet MS" w:hAnsi="Trebuchet MS"/>
        </w:rPr>
        <w:t xml:space="preserve">by Friedrich von Hansemann when he observed aberrant chromosomal alterations in cancer cells under the microscope \cite{}.  </w:t>
      </w:r>
      <w:r w:rsidR="001B56C1">
        <w:rPr>
          <w:rFonts w:ascii="Trebuchet MS" w:hAnsi="Trebuchet MS"/>
        </w:rPr>
        <w:t>T</w:t>
      </w:r>
      <w:r w:rsidR="00BF12B3">
        <w:rPr>
          <w:rFonts w:ascii="Trebuchet MS" w:hAnsi="Trebuchet MS"/>
        </w:rPr>
        <w:t xml:space="preserve">he somatic mutation theory of aging </w:t>
      </w:r>
      <w:r w:rsidR="001B56C1">
        <w:rPr>
          <w:rFonts w:ascii="Trebuchet MS" w:hAnsi="Trebuchet MS"/>
        </w:rPr>
        <w:t xml:space="preserve">also suggests that the </w:t>
      </w:r>
      <w:r w:rsidR="00BF12B3">
        <w:rPr>
          <w:rFonts w:ascii="Trebuchet MS" w:hAnsi="Trebuchet MS"/>
        </w:rPr>
        <w:t xml:space="preserve">acquisition of somatic mutations contributes to </w:t>
      </w:r>
      <w:r w:rsidR="000F4DCB">
        <w:rPr>
          <w:rFonts w:ascii="Trebuchet MS" w:hAnsi="Trebuchet MS"/>
        </w:rPr>
        <w:t>a decline in healthy cellular function and ultimately contribute</w:t>
      </w:r>
      <w:r w:rsidR="001B56C1">
        <w:rPr>
          <w:rFonts w:ascii="Trebuchet MS" w:hAnsi="Trebuchet MS"/>
        </w:rPr>
        <w:t>s</w:t>
      </w:r>
      <w:r w:rsidR="000F4DCB">
        <w:rPr>
          <w:rFonts w:ascii="Trebuchet MS" w:hAnsi="Trebuchet MS"/>
        </w:rPr>
        <w:t xml:space="preserve"> to aging</w:t>
      </w:r>
      <w:r w:rsidR="00BF12B3">
        <w:rPr>
          <w:rFonts w:ascii="Trebuchet MS" w:hAnsi="Trebuchet MS"/>
        </w:rPr>
        <w:t xml:space="preserve"> \cite{}</w:t>
      </w:r>
      <w:r w:rsidR="000F4DCB">
        <w:rPr>
          <w:rFonts w:ascii="Trebuchet MS" w:hAnsi="Trebuchet MS"/>
        </w:rPr>
        <w:t xml:space="preserve">. </w:t>
      </w:r>
      <w:r w:rsidR="00780F71">
        <w:rPr>
          <w:rFonts w:ascii="Trebuchet MS" w:hAnsi="Trebuchet MS"/>
        </w:rPr>
        <w:t>The continued decline in sequencing costs and</w:t>
      </w:r>
      <w:r w:rsidR="001B56C1">
        <w:rPr>
          <w:rFonts w:ascii="Trebuchet MS" w:hAnsi="Trebuchet MS"/>
        </w:rPr>
        <w:t xml:space="preserve"> the concurrent development of somatic mutation detection algorithms have enabled the detection somatic mutations in thousands of tumour samples \cite{} and subsequent functional studies have uncovered the precise mechanism with which these somatic mutations contributes to tumorigenesis. </w:t>
      </w:r>
      <w:r w:rsidR="00200556">
        <w:rPr>
          <w:rFonts w:ascii="Trebuchet MS" w:hAnsi="Trebuchet MS"/>
        </w:rPr>
        <w:t>In more recent times, somatic mutation detection in normal cells has become increasingly important to</w:t>
      </w:r>
      <w:r w:rsidR="00F1361A">
        <w:rPr>
          <w:rFonts w:ascii="Trebuchet MS" w:hAnsi="Trebuchet MS"/>
        </w:rPr>
        <w:t xml:space="preserve"> lineage trace embryonic development \cite{} and to understand the </w:t>
      </w:r>
      <w:r w:rsidR="00200556">
        <w:rPr>
          <w:rFonts w:ascii="Trebuchet MS" w:hAnsi="Trebuchet MS"/>
        </w:rPr>
        <w:t>transformation of normal cells to neoplastic cells</w:t>
      </w:r>
      <w:r w:rsidR="00F1361A">
        <w:rPr>
          <w:rFonts w:ascii="Trebuchet MS" w:hAnsi="Trebuchet MS"/>
        </w:rPr>
        <w:t xml:space="preserve"> \cite{}. </w:t>
      </w:r>
    </w:p>
    <w:p w14:paraId="6D38BD2F" w14:textId="77777777" w:rsidR="00C54B8C" w:rsidRPr="00780E87" w:rsidRDefault="00C54B8C" w:rsidP="00E034EE">
      <w:pPr>
        <w:rPr>
          <w:rFonts w:ascii="Trebuchet MS" w:hAnsi="Trebuchet MS"/>
        </w:rPr>
      </w:pPr>
    </w:p>
    <w:p w14:paraId="4327E430" w14:textId="77777777" w:rsidR="00C54B8C" w:rsidRPr="00592CFF" w:rsidRDefault="00C54B8C" w:rsidP="00C54B8C">
      <w:pPr>
        <w:rPr>
          <w:rFonts w:ascii="Trebuchet MS" w:hAnsi="Trebuchet MS"/>
        </w:rPr>
      </w:pPr>
      <w:r>
        <w:rPr>
          <w:rFonts w:ascii="Trebuchet MS" w:hAnsi="Trebuchet MS"/>
        </w:rPr>
        <w:t xml:space="preserve">%% </w:t>
      </w:r>
      <w:r w:rsidRPr="00592CFF">
        <w:rPr>
          <w:rFonts w:ascii="Trebuchet MS" w:hAnsi="Trebuchet MS"/>
        </w:rPr>
        <w:t xml:space="preserve">The advent of next-generation sequencing and the continued decline in sequencing 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 to use somatic mutations as timestamps and biological barcodes to lineage trace development \cite{Behjati2014-gb}, to discover complex structural rearrangements such as chromothripsis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w:t>
      </w:r>
      <w:r w:rsidRPr="00592CFF">
        <w:rPr>
          <w:rFonts w:ascii="Trebuchet MS" w:hAnsi="Trebuchet MS"/>
        </w:rPr>
        <w:lastRenderedPageBreak/>
        <w:t xml:space="preserve">Atlas (TCGA) program \cite{Weinstein2013-ko}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66D5D427" w14:textId="77777777" w:rsidR="0088707F" w:rsidRPr="00592CFF" w:rsidRDefault="0088707F" w:rsidP="0088707F">
      <w:pPr>
        <w:rPr>
          <w:rFonts w:ascii="Trebuchet MS" w:hAnsi="Trebuchet MS"/>
        </w:rPr>
      </w:pPr>
    </w:p>
    <w:p w14:paraId="3438CF09" w14:textId="77777777" w:rsidR="0088707F" w:rsidRPr="00592CFF" w:rsidRDefault="0088707F" w:rsidP="0088707F">
      <w:pPr>
        <w:rPr>
          <w:rFonts w:ascii="Trebuchet MS" w:hAnsi="Trebuchet MS"/>
          <w:b/>
          <w:bCs/>
        </w:rPr>
      </w:pPr>
      <w:r w:rsidRPr="00592CFF">
        <w:rPr>
          <w:rFonts w:ascii="Trebuchet MS" w:hAnsi="Trebuchet MS"/>
          <w:b/>
          <w:bCs/>
        </w:rPr>
        <w:t>\subsection{</w:t>
      </w:r>
      <w:r>
        <w:rPr>
          <w:rFonts w:ascii="Trebuchet MS" w:hAnsi="Trebuchet MS"/>
          <w:b/>
          <w:bCs/>
        </w:rPr>
        <w:t>Somatic m</w:t>
      </w:r>
      <w:r w:rsidRPr="00592CFF">
        <w:rPr>
          <w:rFonts w:ascii="Trebuchet MS" w:hAnsi="Trebuchet MS"/>
          <w:b/>
          <w:bCs/>
        </w:rPr>
        <w:t>utational processes}</w:t>
      </w:r>
    </w:p>
    <w:p w14:paraId="6A1715EC" w14:textId="0B96D56C" w:rsidR="0088707F" w:rsidRDefault="0088707F" w:rsidP="0088707F">
      <w:pPr>
        <w:rPr>
          <w:rFonts w:ascii="Trebuchet MS" w:hAnsi="Trebuchet MS"/>
        </w:rPr>
      </w:pPr>
    </w:p>
    <w:p w14:paraId="08B8AC30" w14:textId="7DC1C049" w:rsidR="00263BE5" w:rsidRDefault="00AF24E9" w:rsidP="0088707F">
      <w:pPr>
        <w:rPr>
          <w:rFonts w:ascii="Trebuchet MS" w:hAnsi="Trebuchet MS"/>
        </w:rPr>
      </w:pPr>
      <w:r>
        <w:rPr>
          <w:rFonts w:ascii="Trebuchet MS" w:hAnsi="Trebuchet MS"/>
        </w:rPr>
        <w:t>Somatic mutational process is a continuous process throughout life</w:t>
      </w:r>
      <w:r w:rsidR="005D3D8C">
        <w:rPr>
          <w:rFonts w:ascii="Trebuchet MS" w:hAnsi="Trebuchet MS"/>
        </w:rPr>
        <w:t>, and</w:t>
      </w:r>
      <w:r>
        <w:rPr>
          <w:rFonts w:ascii="Trebuchet MS" w:hAnsi="Trebuchet MS"/>
        </w:rPr>
        <w:t xml:space="preserve"> multiple somatic mutational processes </w:t>
      </w:r>
      <w:r w:rsidR="005D3D8C">
        <w:rPr>
          <w:rFonts w:ascii="Trebuchet MS" w:hAnsi="Trebuchet MS"/>
        </w:rPr>
        <w:t xml:space="preserve">simultaneously </w:t>
      </w:r>
      <w:r>
        <w:rPr>
          <w:rFonts w:ascii="Trebuchet MS" w:hAnsi="Trebuchet MS"/>
        </w:rPr>
        <w:t xml:space="preserve">act on </w:t>
      </w:r>
      <w:r w:rsidR="005D3D8C">
        <w:rPr>
          <w:rFonts w:ascii="Trebuchet MS" w:hAnsi="Trebuchet MS"/>
        </w:rPr>
        <w:t>the cell’s genome</w:t>
      </w:r>
      <w:r>
        <w:rPr>
          <w:rFonts w:ascii="Trebuchet MS" w:hAnsi="Trebuchet MS"/>
        </w:rPr>
        <w:t xml:space="preserve"> at any given</w:t>
      </w:r>
      <w:r w:rsidR="002665B1">
        <w:rPr>
          <w:rFonts w:ascii="Trebuchet MS" w:hAnsi="Trebuchet MS"/>
        </w:rPr>
        <w:t xml:space="preserve"> time</w:t>
      </w:r>
      <w:r w:rsidR="005D3D8C">
        <w:rPr>
          <w:rFonts w:ascii="Trebuchet MS" w:hAnsi="Trebuchet MS"/>
        </w:rPr>
        <w:t>, leading to the</w:t>
      </w:r>
      <w:r>
        <w:rPr>
          <w:rFonts w:ascii="Trebuchet MS" w:hAnsi="Trebuchet MS"/>
        </w:rPr>
        <w:t xml:space="preserve"> </w:t>
      </w:r>
      <w:r w:rsidR="005D3D8C">
        <w:rPr>
          <w:rFonts w:ascii="Trebuchet MS" w:hAnsi="Trebuchet MS"/>
        </w:rPr>
        <w:t xml:space="preserve">generation and gradual accumulation of somatic mutations. </w:t>
      </w:r>
      <w:r w:rsidR="00F04B4B">
        <w:rPr>
          <w:rFonts w:ascii="Trebuchet MS" w:hAnsi="Trebuchet MS"/>
        </w:rPr>
        <w:t xml:space="preserve"> </w:t>
      </w:r>
      <w:r>
        <w:rPr>
          <w:rFonts w:ascii="Trebuchet MS" w:hAnsi="Trebuchet MS"/>
        </w:rPr>
        <w:t xml:space="preserve">The biochemical manifestation of a somatic mutation </w:t>
      </w:r>
      <w:r w:rsidR="002665B1">
        <w:rPr>
          <w:rFonts w:ascii="Trebuchet MS" w:hAnsi="Trebuchet MS"/>
        </w:rPr>
        <w:t xml:space="preserve">occurs in </w:t>
      </w:r>
      <w:r>
        <w:rPr>
          <w:rFonts w:ascii="Trebuchet MS" w:hAnsi="Trebuchet MS"/>
        </w:rPr>
        <w:t xml:space="preserve">three distinct stages: 1) </w:t>
      </w:r>
      <w:r w:rsidR="0088707F" w:rsidRPr="00592CFF">
        <w:rPr>
          <w:rFonts w:ascii="Trebuchet MS" w:hAnsi="Trebuchet MS"/>
        </w:rPr>
        <w:t xml:space="preserve">DNA damage or modification from either endogenous or exogenous sources, </w:t>
      </w:r>
      <w:r w:rsidR="00BE336F">
        <w:rPr>
          <w:rFonts w:ascii="Trebuchet MS" w:hAnsi="Trebuchet MS"/>
        </w:rPr>
        <w:t xml:space="preserve">2) </w:t>
      </w:r>
      <w:r w:rsidR="0088707F" w:rsidRPr="00592CFF">
        <w:rPr>
          <w:rFonts w:ascii="Trebuchet MS" w:hAnsi="Trebuchet MS"/>
        </w:rPr>
        <w:t>mutation resulting from incorrect DNA damage repair and unrepaired DNA damage, and</w:t>
      </w:r>
      <w:r w:rsidR="0054639B">
        <w:rPr>
          <w:rFonts w:ascii="Trebuchet MS" w:hAnsi="Trebuchet MS"/>
        </w:rPr>
        <w:t xml:space="preserve"> 3)</w:t>
      </w:r>
      <w:r w:rsidR="0088707F" w:rsidRPr="00592CFF">
        <w:rPr>
          <w:rFonts w:ascii="Trebuchet MS" w:hAnsi="Trebuchet MS"/>
        </w:rPr>
        <w:t xml:space="preserve"> the persistence of the mutation in the</w:t>
      </w:r>
      <w:r w:rsidR="00E95E04">
        <w:rPr>
          <w:rFonts w:ascii="Trebuchet MS" w:hAnsi="Trebuchet MS"/>
        </w:rPr>
        <w:t xml:space="preserve"> cell’s genome </w:t>
      </w:r>
      <w:r w:rsidR="0088707F" w:rsidRPr="00592CFF">
        <w:rPr>
          <w:rFonts w:ascii="Trebuchet MS" w:hAnsi="Trebuchet MS"/>
        </w:rPr>
        <w:t xml:space="preserve">and its descendants \cite{Stratton2009-of}. </w:t>
      </w:r>
      <w:r w:rsidR="00C54B8C">
        <w:rPr>
          <w:rFonts w:ascii="Trebuchet MS" w:hAnsi="Trebuchet MS"/>
        </w:rPr>
        <w:t xml:space="preserve">Although most somatic mutations are </w:t>
      </w:r>
      <w:r w:rsidR="000606CD">
        <w:rPr>
          <w:rFonts w:ascii="Trebuchet MS" w:hAnsi="Trebuchet MS"/>
        </w:rPr>
        <w:t xml:space="preserve">considered </w:t>
      </w:r>
      <w:r w:rsidR="00C54B8C">
        <w:rPr>
          <w:rFonts w:ascii="Trebuchet MS" w:hAnsi="Trebuchet MS"/>
        </w:rPr>
        <w:t xml:space="preserve">benign (passenger mutations), </w:t>
      </w:r>
      <w:r w:rsidR="000606CD">
        <w:rPr>
          <w:rFonts w:ascii="Trebuchet MS" w:hAnsi="Trebuchet MS"/>
        </w:rPr>
        <w:t>some somatic mutations can</w:t>
      </w:r>
      <w:r w:rsidR="00C54B8C">
        <w:rPr>
          <w:rFonts w:ascii="Trebuchet MS" w:hAnsi="Trebuchet MS"/>
        </w:rPr>
        <w:t xml:space="preserve"> confer a proliferative advantage to a cell and are </w:t>
      </w:r>
      <w:r w:rsidR="000606CD">
        <w:rPr>
          <w:rFonts w:ascii="Trebuchet MS" w:hAnsi="Trebuchet MS"/>
        </w:rPr>
        <w:t>classified</w:t>
      </w:r>
      <w:r w:rsidR="00C54B8C">
        <w:rPr>
          <w:rFonts w:ascii="Trebuchet MS" w:hAnsi="Trebuchet MS"/>
        </w:rPr>
        <w:t xml:space="preserve"> as driver mutations.</w:t>
      </w:r>
      <w:r w:rsidR="00630E9E">
        <w:rPr>
          <w:rFonts w:ascii="Trebuchet MS" w:hAnsi="Trebuchet MS"/>
        </w:rPr>
        <w:t xml:space="preserve"> </w:t>
      </w:r>
      <w:r w:rsidR="003050FD">
        <w:rPr>
          <w:rFonts w:ascii="Trebuchet MS" w:hAnsi="Trebuchet MS"/>
        </w:rPr>
        <w:t xml:space="preserve">The </w:t>
      </w:r>
      <w:r w:rsidR="00263BE5">
        <w:rPr>
          <w:rFonts w:ascii="Trebuchet MS" w:hAnsi="Trebuchet MS"/>
        </w:rPr>
        <w:t>detection of these driver mutations and their subsequent characterisation</w:t>
      </w:r>
      <w:r w:rsidR="00780F71">
        <w:rPr>
          <w:rFonts w:ascii="Trebuchet MS" w:hAnsi="Trebuchet MS"/>
        </w:rPr>
        <w:t xml:space="preserve"> </w:t>
      </w:r>
      <w:r w:rsidR="00642EB9">
        <w:rPr>
          <w:rFonts w:ascii="Trebuchet MS" w:hAnsi="Trebuchet MS"/>
        </w:rPr>
        <w:t xml:space="preserve">has been one of the primary motivations for cataloguing somatic mutations in cancer genomes. </w:t>
      </w:r>
      <w:r w:rsidR="00630E9E">
        <w:rPr>
          <w:rFonts w:ascii="Trebuchet MS" w:hAnsi="Trebuchet MS"/>
        </w:rPr>
        <w:t>Somatic mutational processes discovered in \textit{H. sapiens} are further discussed in section .</w:t>
      </w:r>
    </w:p>
    <w:p w14:paraId="38E16874" w14:textId="40D838D4" w:rsidR="008F6280" w:rsidRDefault="008F6280" w:rsidP="008F6280">
      <w:pPr>
        <w:rPr>
          <w:rFonts w:ascii="Trebuchet MS" w:hAnsi="Trebuchet MS"/>
        </w:rPr>
      </w:pPr>
    </w:p>
    <w:p w14:paraId="6608ABD4" w14:textId="00AF6E08" w:rsidR="000D3E0F" w:rsidRPr="00592CFF" w:rsidRDefault="000D3E0F" w:rsidP="000D3E0F">
      <w:pPr>
        <w:rPr>
          <w:rFonts w:ascii="Trebuchet MS" w:hAnsi="Trebuchet MS"/>
          <w:b/>
          <w:bCs/>
        </w:rPr>
      </w:pPr>
      <w:r w:rsidRPr="00592CFF">
        <w:rPr>
          <w:rFonts w:ascii="Trebuchet MS" w:hAnsi="Trebuchet MS"/>
          <w:b/>
          <w:bCs/>
        </w:rPr>
        <w:t>\subsection{</w:t>
      </w:r>
      <w:r>
        <w:rPr>
          <w:rFonts w:ascii="Trebuchet MS" w:hAnsi="Trebuchet MS"/>
          <w:b/>
          <w:bCs/>
        </w:rPr>
        <w:t>Somatic mutation detection in tumours</w:t>
      </w:r>
      <w:r w:rsidRPr="00592CFF">
        <w:rPr>
          <w:rFonts w:ascii="Trebuchet MS" w:hAnsi="Trebuchet MS"/>
          <w:b/>
          <w:bCs/>
        </w:rPr>
        <w:t>}</w:t>
      </w:r>
    </w:p>
    <w:p w14:paraId="2E713EC8" w14:textId="77777777" w:rsidR="00990384" w:rsidRDefault="00990384" w:rsidP="00990384">
      <w:pPr>
        <w:rPr>
          <w:rFonts w:ascii="Trebuchet MS" w:hAnsi="Trebuchet MS"/>
        </w:rPr>
      </w:pPr>
    </w:p>
    <w:p w14:paraId="30417343" w14:textId="4CCB98B3" w:rsidR="00990384" w:rsidRDefault="00990384" w:rsidP="00990384">
      <w:pPr>
        <w:rPr>
          <w:rFonts w:ascii="Trebuchet MS" w:hAnsi="Trebuchet MS"/>
        </w:rPr>
      </w:pPr>
      <w:r w:rsidRPr="00592CFF">
        <w:rPr>
          <w:rFonts w:ascii="Trebuchet MS" w:hAnsi="Trebuchet MS"/>
        </w:rPr>
        <w:t>Cancer is often described as the disease of the genome.</w:t>
      </w:r>
      <w:r>
        <w:rPr>
          <w:rFonts w:ascii="Trebuchet MS" w:hAnsi="Trebuchet MS"/>
        </w:rPr>
        <w:t xml:space="preserve"> The acquisition of driver mutations through a single event such as chromothripsis </w:t>
      </w:r>
      <w:r w:rsidR="00A440FC">
        <w:rPr>
          <w:rFonts w:ascii="Trebuchet MS" w:hAnsi="Trebuchet MS"/>
        </w:rPr>
        <w:t>\cite{</w:t>
      </w:r>
      <w:r w:rsidR="00A440FC" w:rsidRPr="00592CFF">
        <w:rPr>
          <w:rFonts w:ascii="Trebuchet MS" w:hAnsi="Trebuchet MS"/>
        </w:rPr>
        <w:t>Stephens2011-gj</w:t>
      </w:r>
      <w:r w:rsidR="00A440FC">
        <w:rPr>
          <w:rFonts w:ascii="Trebuchet MS" w:hAnsi="Trebuchet MS"/>
        </w:rPr>
        <w:t xml:space="preserve">} </w:t>
      </w:r>
      <w:r>
        <w:rPr>
          <w:rFonts w:ascii="Trebuchet MS" w:hAnsi="Trebuchet MS"/>
        </w:rPr>
        <w:t xml:space="preserve">or gradual accumulation of somatic mutations </w:t>
      </w:r>
      <w:r w:rsidR="00A440FC" w:rsidRPr="00592CFF">
        <w:rPr>
          <w:rFonts w:ascii="Trebuchet MS" w:hAnsi="Trebuchet MS"/>
        </w:rPr>
        <w:t>\cite{Doll1954-of, Knudson1971-fg}</w:t>
      </w:r>
      <w:r w:rsidR="00A440FC">
        <w:rPr>
          <w:rFonts w:ascii="Trebuchet MS" w:hAnsi="Trebuchet MS"/>
        </w:rPr>
        <w:t xml:space="preserve"> is one of the primary contributors to tumorigenesis. Hence, somatic mutation detection is often the first step towards characterising the cancer genome. </w:t>
      </w:r>
    </w:p>
    <w:p w14:paraId="3A70F0CC" w14:textId="60047BE3" w:rsidR="008F6280" w:rsidRPr="00BF546B" w:rsidRDefault="008F6280" w:rsidP="008F6280">
      <w:pPr>
        <w:rPr>
          <w:rFonts w:ascii="Trebuchet MS" w:hAnsi="Trebuchet MS"/>
          <w:b/>
          <w:bCs/>
          <w:lang w:val="en-US"/>
        </w:rPr>
      </w:pPr>
    </w:p>
    <w:p w14:paraId="74AF2F4B" w14:textId="2F67A945" w:rsidR="00FB4374" w:rsidRDefault="00D601A7" w:rsidP="00276EBE">
      <w:pPr>
        <w:rPr>
          <w:rFonts w:ascii="Trebuchet MS" w:hAnsi="Trebuchet MS"/>
        </w:rPr>
      </w:pPr>
      <w:r>
        <w:rPr>
          <w:rFonts w:ascii="Trebuchet MS" w:hAnsi="Trebuchet MS"/>
        </w:rPr>
        <w:t>Unlike germline mutations</w:t>
      </w:r>
      <w:r w:rsidR="00E860B1">
        <w:rPr>
          <w:rFonts w:ascii="Trebuchet MS" w:hAnsi="Trebuchet MS"/>
        </w:rPr>
        <w:t xml:space="preserve">, </w:t>
      </w:r>
      <w:r>
        <w:rPr>
          <w:rFonts w:ascii="Trebuchet MS" w:hAnsi="Trebuchet MS"/>
        </w:rPr>
        <w:t xml:space="preserve">where </w:t>
      </w:r>
      <w:r w:rsidR="000D3E0F">
        <w:rPr>
          <w:rFonts w:ascii="Trebuchet MS" w:hAnsi="Trebuchet MS"/>
        </w:rPr>
        <w:t xml:space="preserve">approximately </w:t>
      </w:r>
      <w:r>
        <w:rPr>
          <w:rFonts w:ascii="Trebuchet MS" w:hAnsi="Trebuchet MS"/>
        </w:rPr>
        <w:t>50\% and 100\% of reads will support the germline mutation, somatic mutations</w:t>
      </w:r>
      <w:r w:rsidR="00E860B1">
        <w:rPr>
          <w:rFonts w:ascii="Trebuchet MS" w:hAnsi="Trebuchet MS"/>
        </w:rPr>
        <w:t xml:space="preserve"> in tumour tissues</w:t>
      </w:r>
      <w:r>
        <w:rPr>
          <w:rFonts w:ascii="Trebuchet MS" w:hAnsi="Trebuchet MS"/>
        </w:rPr>
        <w:t xml:space="preserve"> can have a variant allele fraction </w:t>
      </w:r>
      <w:r w:rsidR="000D3E0F">
        <w:rPr>
          <w:rFonts w:ascii="Trebuchet MS" w:hAnsi="Trebuchet MS"/>
        </w:rPr>
        <w:t>(VAF) that ranges from 0</w:t>
      </w:r>
      <w:r w:rsidR="00E860B1">
        <w:rPr>
          <w:rFonts w:ascii="Trebuchet MS" w:hAnsi="Trebuchet MS"/>
        </w:rPr>
        <w:t>\%</w:t>
      </w:r>
      <w:r w:rsidR="000D3E0F">
        <w:rPr>
          <w:rFonts w:ascii="Trebuchet MS" w:hAnsi="Trebuchet MS"/>
        </w:rPr>
        <w:t xml:space="preserve"> to 100%</w:t>
      </w:r>
      <w:r w:rsidR="00B90333">
        <w:rPr>
          <w:rFonts w:ascii="Trebuchet MS" w:hAnsi="Trebuchet MS"/>
        </w:rPr>
        <w:t xml:space="preserve"> based on their purity, cell clonality and changes in the number of chromosomes. </w:t>
      </w:r>
      <w:r w:rsidR="00B577B8">
        <w:rPr>
          <w:rFonts w:ascii="Trebuchet MS" w:hAnsi="Trebuchet MS"/>
        </w:rPr>
        <w:t xml:space="preserve">As tumour samples often </w:t>
      </w:r>
      <w:r w:rsidR="00F907E6">
        <w:rPr>
          <w:rFonts w:ascii="Trebuchet MS" w:hAnsi="Trebuchet MS"/>
        </w:rPr>
        <w:t xml:space="preserve">contain </w:t>
      </w:r>
      <w:r w:rsidR="00B577B8">
        <w:rPr>
          <w:rFonts w:ascii="Trebuchet MS" w:hAnsi="Trebuchet MS"/>
        </w:rPr>
        <w:t>a mixture of both normal and cancer cells, the accurate measure</w:t>
      </w:r>
      <w:r w:rsidR="008E3D7F">
        <w:rPr>
          <w:rFonts w:ascii="Trebuchet MS" w:hAnsi="Trebuchet MS"/>
        </w:rPr>
        <w:t>ment</w:t>
      </w:r>
      <w:r w:rsidR="00B577B8">
        <w:rPr>
          <w:rFonts w:ascii="Trebuchet MS" w:hAnsi="Trebuchet MS"/>
        </w:rPr>
        <w:t xml:space="preserve"> of somatic mutation VAF can </w:t>
      </w:r>
      <w:r w:rsidR="00FB4374">
        <w:rPr>
          <w:rFonts w:ascii="Trebuchet MS" w:hAnsi="Trebuchet MS"/>
        </w:rPr>
        <w:t xml:space="preserve">present </w:t>
      </w:r>
      <w:r w:rsidR="008E3D7F">
        <w:rPr>
          <w:rFonts w:ascii="Trebuchet MS" w:hAnsi="Trebuchet MS"/>
        </w:rPr>
        <w:t xml:space="preserve">a challenge. </w:t>
      </w:r>
      <w:r w:rsidR="00276EBE">
        <w:rPr>
          <w:rFonts w:ascii="Trebuchet MS" w:hAnsi="Trebuchet MS"/>
        </w:rPr>
        <w:t>In addition,</w:t>
      </w:r>
      <w:r w:rsidR="008E3D7F">
        <w:rPr>
          <w:rFonts w:ascii="Trebuchet MS" w:hAnsi="Trebuchet MS"/>
        </w:rPr>
        <w:t xml:space="preserve"> </w:t>
      </w:r>
      <w:r w:rsidR="00276EBE">
        <w:rPr>
          <w:rFonts w:ascii="Trebuchet MS" w:hAnsi="Trebuchet MS"/>
        </w:rPr>
        <w:t xml:space="preserve">the copy number of the </w:t>
      </w:r>
      <w:r w:rsidR="00FB4374">
        <w:rPr>
          <w:rFonts w:ascii="Trebuchet MS" w:hAnsi="Trebuchet MS"/>
        </w:rPr>
        <w:t xml:space="preserve">chromosome </w:t>
      </w:r>
      <w:r w:rsidR="00276EBE">
        <w:rPr>
          <w:rFonts w:ascii="Trebuchet MS" w:hAnsi="Trebuchet MS"/>
        </w:rPr>
        <w:t xml:space="preserve">can wildly fluctuate in the cancer genome as a result of chromothripsis \cite{}, </w:t>
      </w:r>
      <w:r w:rsidR="00BF546B">
        <w:rPr>
          <w:rFonts w:ascii="Trebuchet MS" w:hAnsi="Trebuchet MS"/>
        </w:rPr>
        <w:t xml:space="preserve">aberrant chromosomal alternations \cite{} </w:t>
      </w:r>
      <w:r w:rsidR="00276EBE">
        <w:rPr>
          <w:rFonts w:ascii="Trebuchet MS" w:hAnsi="Trebuchet MS"/>
        </w:rPr>
        <w:t xml:space="preserve">or loss of heterozygosity (LOH) \cite{}. </w:t>
      </w:r>
    </w:p>
    <w:p w14:paraId="71805AF5" w14:textId="77777777" w:rsidR="00FB4374" w:rsidRDefault="00FB4374" w:rsidP="00276EBE">
      <w:pPr>
        <w:rPr>
          <w:rFonts w:ascii="Trebuchet MS" w:hAnsi="Trebuchet MS"/>
        </w:rPr>
      </w:pPr>
    </w:p>
    <w:p w14:paraId="31928B14" w14:textId="1058899E" w:rsidR="00B2180D" w:rsidRDefault="00FB4374" w:rsidP="00B2180D">
      <w:pPr>
        <w:rPr>
          <w:rFonts w:ascii="Trebuchet MS" w:hAnsi="Trebuchet MS"/>
        </w:rPr>
      </w:pPr>
      <w:r>
        <w:rPr>
          <w:rFonts w:ascii="Trebuchet MS" w:hAnsi="Trebuchet MS"/>
        </w:rPr>
        <w:t>A matched tumour-normal sequencing is often performed to distinguish germline mutations from somatic mutations and to increase the confidence of each somatic mutation call.</w:t>
      </w:r>
      <w:r w:rsidR="0080361E">
        <w:rPr>
          <w:rFonts w:ascii="Trebuchet MS" w:hAnsi="Trebuchet MS"/>
        </w:rPr>
        <w:t xml:space="preserve"> The presence of a matched normal also enables the calculation of tumour purity, the proportion of cancer cells in a tumour sample, which is another critical component that determines </w:t>
      </w:r>
      <w:r w:rsidR="00AD2858">
        <w:rPr>
          <w:rFonts w:ascii="Trebuchet MS" w:hAnsi="Trebuchet MS"/>
        </w:rPr>
        <w:t xml:space="preserve">somatic mutation detection sensitivity. </w:t>
      </w:r>
      <w:r w:rsidR="00616C87">
        <w:rPr>
          <w:rFonts w:ascii="Trebuchet MS" w:hAnsi="Trebuchet MS"/>
        </w:rPr>
        <w:t xml:space="preserve"> </w:t>
      </w:r>
      <w:r>
        <w:rPr>
          <w:rFonts w:ascii="Trebuchet MS" w:hAnsi="Trebuchet MS"/>
        </w:rPr>
        <w:t xml:space="preserve">Germline mutations detected in the matched normal </w:t>
      </w:r>
      <w:r w:rsidR="0080361E">
        <w:rPr>
          <w:rFonts w:ascii="Trebuchet MS" w:hAnsi="Trebuchet MS"/>
        </w:rPr>
        <w:t>serve</w:t>
      </w:r>
      <w:r w:rsidR="00616C87">
        <w:rPr>
          <w:rFonts w:ascii="Trebuchet MS" w:hAnsi="Trebuchet MS"/>
        </w:rPr>
        <w:t>s</w:t>
      </w:r>
      <w:r w:rsidR="0080361E">
        <w:rPr>
          <w:rFonts w:ascii="Trebuchet MS" w:hAnsi="Trebuchet MS"/>
        </w:rPr>
        <w:t xml:space="preserve"> as a reference panel to </w:t>
      </w:r>
      <w:r w:rsidR="00616C87">
        <w:rPr>
          <w:rFonts w:ascii="Trebuchet MS" w:hAnsi="Trebuchet MS"/>
        </w:rPr>
        <w:t>determine whether the mutation detected in the tumour sample is a germline mutation or a somatic mutation. If a tumour sample</w:t>
      </w:r>
      <w:r w:rsidR="002D5909">
        <w:rPr>
          <w:rFonts w:ascii="Trebuchet MS" w:hAnsi="Trebuchet MS"/>
        </w:rPr>
        <w:t>, for example,</w:t>
      </w:r>
      <w:r w:rsidR="00616C87">
        <w:rPr>
          <w:rFonts w:ascii="Trebuchet MS" w:hAnsi="Trebuchet MS"/>
        </w:rPr>
        <w:t xml:space="preserve"> has a low </w:t>
      </w:r>
      <w:r w:rsidR="00616C87">
        <w:rPr>
          <w:rFonts w:ascii="Trebuchet MS" w:hAnsi="Trebuchet MS"/>
        </w:rPr>
        <w:lastRenderedPageBreak/>
        <w:t xml:space="preserve">sequence coverage or low tumour purity, heterozygous germline mutation can be misclassified as </w:t>
      </w:r>
      <w:r w:rsidR="00062077">
        <w:rPr>
          <w:rFonts w:ascii="Trebuchet MS" w:hAnsi="Trebuchet MS"/>
        </w:rPr>
        <w:t xml:space="preserve">a somatic mutation. </w:t>
      </w:r>
      <w:r w:rsidR="00687CED">
        <w:rPr>
          <w:rFonts w:ascii="Trebuchet MS" w:hAnsi="Trebuchet MS"/>
        </w:rPr>
        <w:t>Each s</w:t>
      </w:r>
      <w:r w:rsidR="00B2180D">
        <w:rPr>
          <w:rFonts w:ascii="Trebuchet MS" w:hAnsi="Trebuchet MS"/>
        </w:rPr>
        <w:t>omatic mutation detection algorithm use</w:t>
      </w:r>
      <w:r w:rsidR="00687CED">
        <w:rPr>
          <w:rFonts w:ascii="Trebuchet MS" w:hAnsi="Trebuchet MS"/>
        </w:rPr>
        <w:t>s</w:t>
      </w:r>
      <w:r w:rsidR="00B2180D">
        <w:rPr>
          <w:rFonts w:ascii="Trebuchet MS" w:hAnsi="Trebuchet MS"/>
        </w:rPr>
        <w:t xml:space="preserve"> </w:t>
      </w:r>
      <w:r w:rsidR="00687CED">
        <w:rPr>
          <w:rFonts w:ascii="Trebuchet MS" w:hAnsi="Trebuchet MS"/>
        </w:rPr>
        <w:t>a unique strategy to calculate the normal contamination in tumour \cite{}, tumour contamination in normal \cite{} and to differentiate somatic mutations from germline mutations.</w:t>
      </w:r>
      <w:r w:rsidR="005D71A6">
        <w:rPr>
          <w:rFonts w:ascii="Trebuchet MS" w:hAnsi="Trebuchet MS"/>
        </w:rPr>
        <w:t xml:space="preserve"> For instance, VarScan2 uses a hard filter \cite{}, MuTect uses a likelihood ratio \cite{</w:t>
      </w:r>
      <w:r w:rsidR="00DC1D12" w:rsidRPr="00592CFF">
        <w:rPr>
          <w:rFonts w:ascii="Trebuchet MS" w:hAnsi="Trebuchet MS"/>
        </w:rPr>
        <w:t>Cibulskis2013-gw</w:t>
      </w:r>
      <w:r w:rsidR="005D71A6">
        <w:rPr>
          <w:rFonts w:ascii="Trebuchet MS" w:hAnsi="Trebuchet MS"/>
        </w:rPr>
        <w:t xml:space="preserve">} and Strelka2 uses a mixture model \cite{} based on the number of reads supporting the </w:t>
      </w:r>
      <w:r w:rsidR="002D5909">
        <w:rPr>
          <w:rFonts w:ascii="Trebuchet MS" w:hAnsi="Trebuchet MS"/>
        </w:rPr>
        <w:t xml:space="preserve">mutation in the normal and tumour </w:t>
      </w:r>
      <w:r w:rsidR="00DC1D12">
        <w:rPr>
          <w:rFonts w:ascii="Trebuchet MS" w:hAnsi="Trebuchet MS"/>
        </w:rPr>
        <w:t xml:space="preserve">for classification of each somatic mutation candidate. </w:t>
      </w:r>
      <w:r w:rsidR="00687CED">
        <w:rPr>
          <w:rFonts w:ascii="Trebuchet MS" w:hAnsi="Trebuchet MS"/>
        </w:rPr>
        <w:t xml:space="preserve">Because each somatic mutation detection algorithm </w:t>
      </w:r>
      <w:r w:rsidR="00AA5222">
        <w:rPr>
          <w:rFonts w:ascii="Trebuchet MS" w:hAnsi="Trebuchet MS"/>
        </w:rPr>
        <w:t xml:space="preserve">exhibits varying sensitivity and specificity and </w:t>
      </w:r>
      <w:r w:rsidR="00687CED">
        <w:rPr>
          <w:rFonts w:ascii="Trebuchet MS" w:hAnsi="Trebuchet MS"/>
        </w:rPr>
        <w:t>has different strengths and weaknesses</w:t>
      </w:r>
      <w:r w:rsidR="00AA5222">
        <w:rPr>
          <w:rFonts w:ascii="Trebuchet MS" w:hAnsi="Trebuchet MS"/>
        </w:rPr>
        <w:t xml:space="preserve">, </w:t>
      </w:r>
      <w:r w:rsidR="00687CED">
        <w:rPr>
          <w:rFonts w:ascii="Trebuchet MS" w:hAnsi="Trebuchet MS"/>
        </w:rPr>
        <w:t xml:space="preserve">a consensus somatic mutation call from different somatic mutation algorithm is often used for downstream sequence analysis </w:t>
      </w:r>
      <w:r w:rsidR="00B2180D" w:rsidRPr="00592CFF">
        <w:rPr>
          <w:rFonts w:ascii="Trebuchet MS" w:hAnsi="Trebuchet MS"/>
        </w:rPr>
        <w:t>\cite{Bailey2020-ou}.</w:t>
      </w:r>
    </w:p>
    <w:p w14:paraId="0EFE0D78" w14:textId="722B0C8B" w:rsidR="00B2180D" w:rsidRDefault="00AC0A88" w:rsidP="00276EBE">
      <w:pPr>
        <w:rPr>
          <w:rFonts w:ascii="Trebuchet MS" w:hAnsi="Trebuchet MS"/>
        </w:rPr>
      </w:pPr>
      <w:r>
        <w:rPr>
          <w:rFonts w:ascii="Trebuchet MS" w:hAnsi="Trebuchet MS"/>
        </w:rPr>
        <w:t xml:space="preserve"> </w:t>
      </w:r>
    </w:p>
    <w:p w14:paraId="0BAA670E" w14:textId="0890B2A4" w:rsidR="00897178" w:rsidRPr="00986050" w:rsidRDefault="004067E8" w:rsidP="00276EBE">
      <w:pPr>
        <w:rPr>
          <w:rFonts w:ascii="Trebuchet MS" w:hAnsi="Trebuchet MS"/>
        </w:rPr>
      </w:pPr>
      <w:r>
        <w:rPr>
          <w:rFonts w:ascii="Trebuchet MS" w:hAnsi="Trebuchet MS"/>
        </w:rPr>
        <w:t xml:space="preserve">During library preparation, DNA damage is introduced to the template molecule and a </w:t>
      </w:r>
      <w:r w:rsidR="00467564">
        <w:rPr>
          <w:rFonts w:ascii="Trebuchet MS" w:hAnsi="Trebuchet MS"/>
        </w:rPr>
        <w:t xml:space="preserve">set of DNA damage repair enzymes are used to repair the DNA damage. </w:t>
      </w:r>
      <w:r w:rsidR="00BB4D95">
        <w:rPr>
          <w:rFonts w:ascii="Trebuchet MS" w:hAnsi="Trebuchet MS"/>
        </w:rPr>
        <w:t>If DNA damage is left unrepaired or incorrectly repaired, the template DNA molecule is</w:t>
      </w:r>
      <w:r w:rsidR="00AB6FA5">
        <w:rPr>
          <w:rFonts w:ascii="Trebuchet MS" w:hAnsi="Trebuchet MS"/>
        </w:rPr>
        <w:t xml:space="preserve"> permanently</w:t>
      </w:r>
      <w:r w:rsidR="00BB4D95">
        <w:rPr>
          <w:rFonts w:ascii="Trebuchet MS" w:hAnsi="Trebuchet MS"/>
        </w:rPr>
        <w:t xml:space="preserve"> altered </w:t>
      </w:r>
      <w:r w:rsidR="00D9297A">
        <w:rPr>
          <w:rFonts w:ascii="Trebuchet MS" w:hAnsi="Trebuchet MS"/>
        </w:rPr>
        <w:t>prior to sequencing.</w:t>
      </w:r>
      <w:r w:rsidR="00AB6FA5">
        <w:rPr>
          <w:rFonts w:ascii="Trebuchet MS" w:hAnsi="Trebuchet MS"/>
        </w:rPr>
        <w:t xml:space="preserve"> During sequencing, base quality (BQ) scores are assigned to individual bases to </w:t>
      </w:r>
      <w:r w:rsidR="00021A36">
        <w:rPr>
          <w:rFonts w:ascii="Trebuchet MS" w:hAnsi="Trebuchet MS"/>
        </w:rPr>
        <w:t xml:space="preserve">the uncertainty of each base call. </w:t>
      </w:r>
      <w:r w:rsidR="00AB6FA5">
        <w:rPr>
          <w:rFonts w:ascii="Trebuchet MS" w:hAnsi="Trebuchet MS"/>
        </w:rPr>
        <w:t xml:space="preserve">Somatic mutation detection algorithms </w:t>
      </w:r>
      <w:r w:rsidR="00AC0A88">
        <w:rPr>
          <w:rFonts w:ascii="Trebuchet MS" w:hAnsi="Trebuchet MS"/>
        </w:rPr>
        <w:t xml:space="preserve">depend </w:t>
      </w:r>
      <w:r w:rsidR="00AB6FA5">
        <w:rPr>
          <w:rFonts w:ascii="Trebuchet MS" w:hAnsi="Trebuchet MS"/>
        </w:rPr>
        <w:t xml:space="preserve">on </w:t>
      </w:r>
      <w:r w:rsidR="00AC0A88">
        <w:rPr>
          <w:rFonts w:ascii="Trebuchet MS" w:hAnsi="Trebuchet MS"/>
        </w:rPr>
        <w:t xml:space="preserve">sequence coverage and </w:t>
      </w:r>
      <w:r w:rsidR="00AB6FA5">
        <w:rPr>
          <w:rFonts w:ascii="Trebuchet MS" w:hAnsi="Trebuchet MS"/>
        </w:rPr>
        <w:t xml:space="preserve">BQ scores </w:t>
      </w:r>
      <w:r w:rsidR="00AC0A88">
        <w:rPr>
          <w:rFonts w:ascii="Trebuchet MS" w:hAnsi="Trebuchet MS"/>
          <w:lang w:val="en-US"/>
        </w:rPr>
        <w:t xml:space="preserve">to calculate the genotype quality (GQ) score of a germline mutation \cite{} and </w:t>
      </w:r>
      <w:r w:rsidR="00021A36">
        <w:rPr>
          <w:rFonts w:ascii="Trebuchet MS" w:hAnsi="Trebuchet MS"/>
          <w:lang w:val="en-US"/>
        </w:rPr>
        <w:t xml:space="preserve">the confidence with which the somatic mutation is called. </w:t>
      </w:r>
      <w:r w:rsidR="0082461B">
        <w:rPr>
          <w:rFonts w:ascii="Trebuchet MS" w:hAnsi="Trebuchet MS"/>
          <w:lang w:val="en-US"/>
        </w:rPr>
        <w:t xml:space="preserve">Because sequencing instruments are agnostic to whether the base in the template molecule is derived from a somatic mutation or from a library error, BQ score does not </w:t>
      </w:r>
      <w:r w:rsidR="0059074C">
        <w:rPr>
          <w:rFonts w:ascii="Trebuchet MS" w:hAnsi="Trebuchet MS"/>
          <w:lang w:val="en-US"/>
        </w:rPr>
        <w:t xml:space="preserve">necessarily </w:t>
      </w:r>
      <w:r w:rsidR="0082461B">
        <w:rPr>
          <w:rFonts w:ascii="Trebuchet MS" w:hAnsi="Trebuchet MS"/>
          <w:lang w:val="en-US"/>
        </w:rPr>
        <w:t xml:space="preserve">reflect the probability that the non-reference base </w:t>
      </w:r>
      <w:r w:rsidR="0059074C">
        <w:rPr>
          <w:rFonts w:ascii="Trebuchet MS" w:hAnsi="Trebuchet MS"/>
          <w:lang w:val="en-US"/>
        </w:rPr>
        <w:t xml:space="preserve">in </w:t>
      </w:r>
      <w:r w:rsidR="000329D0">
        <w:rPr>
          <w:rFonts w:ascii="Trebuchet MS" w:hAnsi="Trebuchet MS"/>
          <w:lang w:val="en-US"/>
        </w:rPr>
        <w:t xml:space="preserve">read is the result of a mutation. </w:t>
      </w:r>
      <w:r w:rsidR="0082461B">
        <w:rPr>
          <w:rFonts w:ascii="Trebuchet MS" w:hAnsi="Trebuchet MS"/>
          <w:lang w:val="en-US"/>
        </w:rPr>
        <w:t xml:space="preserve">Hence, </w:t>
      </w:r>
      <w:r w:rsidR="000329D0">
        <w:rPr>
          <w:rFonts w:ascii="Trebuchet MS" w:hAnsi="Trebuchet MS"/>
          <w:lang w:val="en-US"/>
        </w:rPr>
        <w:t>low frequency library errors are often misclassified as somatic mutation</w:t>
      </w:r>
      <w:r w:rsidR="00986050">
        <w:rPr>
          <w:rFonts w:ascii="Trebuchet MS" w:hAnsi="Trebuchet MS"/>
          <w:lang w:val="en-US"/>
        </w:rPr>
        <w:t xml:space="preserve">s </w:t>
      </w:r>
      <w:r w:rsidR="000329D0">
        <w:rPr>
          <w:rFonts w:ascii="Trebuchet MS" w:hAnsi="Trebuchet MS"/>
          <w:lang w:val="en-US"/>
        </w:rPr>
        <w:t>\cite{}</w:t>
      </w:r>
      <w:r w:rsidR="00986050">
        <w:rPr>
          <w:rFonts w:ascii="Trebuchet MS" w:hAnsi="Trebuchet MS"/>
          <w:lang w:val="en-US"/>
        </w:rPr>
        <w:t>, and requires specialised filters</w:t>
      </w:r>
      <w:r w:rsidR="009A4EBF">
        <w:rPr>
          <w:rFonts w:ascii="Trebuchet MS" w:hAnsi="Trebuchet MS"/>
          <w:lang w:val="en-US"/>
        </w:rPr>
        <w:t xml:space="preserve"> to minimise the number of false positive mutations</w:t>
      </w:r>
      <w:r w:rsidR="00256D76">
        <w:rPr>
          <w:rFonts w:ascii="Trebuchet MS" w:hAnsi="Trebuchet MS"/>
          <w:lang w:val="en-US"/>
        </w:rPr>
        <w:t xml:space="preserve"> \cite{}</w:t>
      </w:r>
      <w:r w:rsidR="009A4EBF">
        <w:rPr>
          <w:rFonts w:ascii="Trebuchet MS" w:hAnsi="Trebuchet MS"/>
          <w:lang w:val="en-US"/>
        </w:rPr>
        <w:t xml:space="preserve">. </w:t>
      </w:r>
    </w:p>
    <w:p w14:paraId="43968E54" w14:textId="4CFEA0FC" w:rsidR="00897178" w:rsidRDefault="00897178" w:rsidP="00276EBE">
      <w:pPr>
        <w:rPr>
          <w:rFonts w:ascii="Trebuchet MS" w:hAnsi="Trebuchet MS"/>
        </w:rPr>
      </w:pPr>
    </w:p>
    <w:p w14:paraId="5B5ECD07" w14:textId="6ACE6AD1" w:rsidR="00EB48A2" w:rsidRDefault="00F31CBD" w:rsidP="00276EBE">
      <w:pPr>
        <w:rPr>
          <w:rFonts w:ascii="Trebuchet MS" w:hAnsi="Trebuchet MS"/>
        </w:rPr>
      </w:pPr>
      <w:r>
        <w:rPr>
          <w:rFonts w:ascii="Trebuchet MS" w:hAnsi="Trebuchet MS"/>
        </w:rPr>
        <w:t>PCR amplification, DNA oxidation and DNA crosslinking (in formalin-fixed tissues)</w:t>
      </w:r>
      <w:r w:rsidR="00742D1B">
        <w:rPr>
          <w:rFonts w:ascii="Trebuchet MS" w:hAnsi="Trebuchet MS"/>
        </w:rPr>
        <w:t xml:space="preserve"> </w:t>
      </w:r>
      <w:r w:rsidR="00FF2AA4">
        <w:rPr>
          <w:rFonts w:ascii="Trebuchet MS" w:hAnsi="Trebuchet MS"/>
        </w:rPr>
        <w:t xml:space="preserve">commonly recognised </w:t>
      </w:r>
      <w:r w:rsidR="00742D1B">
        <w:rPr>
          <w:rFonts w:ascii="Trebuchet MS" w:hAnsi="Trebuchet MS"/>
        </w:rPr>
        <w:t>sources of library errors</w:t>
      </w:r>
      <w:r w:rsidR="003D6C00">
        <w:rPr>
          <w:rFonts w:ascii="Trebuchet MS" w:hAnsi="Trebuchet MS"/>
        </w:rPr>
        <w:t xml:space="preserve"> \cite{}</w:t>
      </w:r>
      <w:r w:rsidR="00FF2AA4">
        <w:rPr>
          <w:rFonts w:ascii="Trebuchet MS" w:hAnsi="Trebuchet MS"/>
        </w:rPr>
        <w:t>. The identification of oxidative DNA damage durin</w:t>
      </w:r>
      <w:r w:rsidR="00DF1A11">
        <w:rPr>
          <w:rFonts w:ascii="Trebuchet MS" w:hAnsi="Trebuchet MS"/>
        </w:rPr>
        <w:t>g DNA fragmentation through sonication, and the characterisation of read features that facilitate the differentiation of artefactual mutations from somatic mutations</w:t>
      </w:r>
      <w:r w:rsidR="00AE238D">
        <w:rPr>
          <w:rFonts w:ascii="Trebuchet MS" w:hAnsi="Trebuchet MS"/>
        </w:rPr>
        <w:t>,</w:t>
      </w:r>
      <w:r w:rsidR="00DF1A11">
        <w:rPr>
          <w:rFonts w:ascii="Trebuchet MS" w:hAnsi="Trebuchet MS"/>
        </w:rPr>
        <w:t xml:space="preserve"> serves as an illustrative example \cite{}.</w:t>
      </w:r>
      <w:r w:rsidR="00A6227C">
        <w:rPr>
          <w:rFonts w:ascii="Trebuchet MS" w:hAnsi="Trebuchet MS"/>
        </w:rPr>
        <w:t xml:space="preserve"> Acoustic shearing of DNA during DNA fragmentation oxidises guanine to 8-oxoguanine</w:t>
      </w:r>
      <w:r w:rsidR="00353C52">
        <w:rPr>
          <w:rFonts w:ascii="Trebuchet MS" w:hAnsi="Trebuchet MS"/>
        </w:rPr>
        <w:t xml:space="preserve"> (8-oxoG)</w:t>
      </w:r>
      <w:r w:rsidR="00A6227C">
        <w:rPr>
          <w:rFonts w:ascii="Trebuchet MS" w:hAnsi="Trebuchet MS"/>
        </w:rPr>
        <w:t xml:space="preserve"> and the preferential pairing of </w:t>
      </w:r>
      <w:r w:rsidR="00353C52">
        <w:rPr>
          <w:rFonts w:ascii="Trebuchet MS" w:hAnsi="Trebuchet MS"/>
        </w:rPr>
        <w:t>8-oxoG with adenine</w:t>
      </w:r>
      <w:r w:rsidR="0097520B">
        <w:rPr>
          <w:rFonts w:ascii="Trebuchet MS" w:hAnsi="Trebuchet MS"/>
        </w:rPr>
        <w:t xml:space="preserve"> \cite{}</w:t>
      </w:r>
      <w:r w:rsidR="00353C52">
        <w:rPr>
          <w:rFonts w:ascii="Trebuchet MS" w:hAnsi="Trebuchet MS"/>
        </w:rPr>
        <w:t xml:space="preserve"> is responsible for the generation of </w:t>
      </w:r>
      <w:r w:rsidR="0097520B">
        <w:rPr>
          <w:rFonts w:ascii="Trebuchet MS" w:hAnsi="Trebuchet MS"/>
        </w:rPr>
        <w:t>C</w:t>
      </w:r>
      <w:r w:rsidR="00353C52">
        <w:rPr>
          <w:rFonts w:ascii="Trebuchet MS" w:hAnsi="Trebuchet MS"/>
        </w:rPr>
        <w:t>C</w:t>
      </w:r>
      <w:r w:rsidR="0097520B">
        <w:rPr>
          <w:rFonts w:ascii="Trebuchet MS" w:hAnsi="Trebuchet MS"/>
        </w:rPr>
        <w:t>G</w:t>
      </w:r>
      <w:r w:rsidR="00353C52">
        <w:rPr>
          <w:rFonts w:ascii="Trebuchet MS" w:hAnsi="Trebuchet MS"/>
        </w:rPr>
        <w:t>&gt;</w:t>
      </w:r>
      <w:r w:rsidR="0097520B">
        <w:rPr>
          <w:rFonts w:ascii="Trebuchet MS" w:hAnsi="Trebuchet MS"/>
        </w:rPr>
        <w:t>C</w:t>
      </w:r>
      <w:r w:rsidR="00353C52">
        <w:rPr>
          <w:rFonts w:ascii="Trebuchet MS" w:hAnsi="Trebuchet MS"/>
        </w:rPr>
        <w:t>A</w:t>
      </w:r>
      <w:r w:rsidR="0097520B">
        <w:rPr>
          <w:rFonts w:ascii="Trebuchet MS" w:hAnsi="Trebuchet MS"/>
        </w:rPr>
        <w:t>G</w:t>
      </w:r>
      <w:r w:rsidR="00353C52">
        <w:rPr>
          <w:rFonts w:ascii="Trebuchet MS" w:hAnsi="Trebuchet MS"/>
        </w:rPr>
        <w:t>/</w:t>
      </w:r>
      <w:r w:rsidR="0097520B">
        <w:rPr>
          <w:rFonts w:ascii="Trebuchet MS" w:hAnsi="Trebuchet MS"/>
        </w:rPr>
        <w:t>CGG</w:t>
      </w:r>
      <w:r w:rsidR="00353C52">
        <w:rPr>
          <w:rFonts w:ascii="Trebuchet MS" w:hAnsi="Trebuchet MS"/>
        </w:rPr>
        <w:t>&gt;</w:t>
      </w:r>
      <w:r w:rsidR="0097520B">
        <w:rPr>
          <w:rFonts w:ascii="Trebuchet MS" w:hAnsi="Trebuchet MS"/>
        </w:rPr>
        <w:t>C</w:t>
      </w:r>
      <w:r w:rsidR="00353C52">
        <w:rPr>
          <w:rFonts w:ascii="Trebuchet MS" w:hAnsi="Trebuchet MS"/>
        </w:rPr>
        <w:t>T</w:t>
      </w:r>
      <w:r w:rsidR="0097520B">
        <w:rPr>
          <w:rFonts w:ascii="Trebuchet MS" w:hAnsi="Trebuchet MS"/>
        </w:rPr>
        <w:t>G</w:t>
      </w:r>
      <w:r w:rsidR="00353C52">
        <w:rPr>
          <w:rFonts w:ascii="Trebuchet MS" w:hAnsi="Trebuchet MS"/>
        </w:rPr>
        <w:t xml:space="preserve"> transversions</w:t>
      </w:r>
      <w:r w:rsidR="0097520B">
        <w:rPr>
          <w:rFonts w:ascii="Trebuchet MS" w:hAnsi="Trebuchet MS"/>
        </w:rPr>
        <w:t xml:space="preserve"> </w:t>
      </w:r>
      <w:r w:rsidR="00211BAE">
        <w:rPr>
          <w:rFonts w:ascii="Trebuchet MS" w:hAnsi="Trebuchet MS"/>
        </w:rPr>
        <w:t xml:space="preserve">during PCR amplification </w:t>
      </w:r>
      <w:r w:rsidR="0097520B">
        <w:rPr>
          <w:rFonts w:ascii="Trebuchet MS" w:hAnsi="Trebuchet MS"/>
        </w:rPr>
        <w:t>\cite{}</w:t>
      </w:r>
      <w:r w:rsidR="00825FE7">
        <w:rPr>
          <w:rFonts w:ascii="Trebuchet MS" w:hAnsi="Trebuchet MS"/>
        </w:rPr>
        <w:t>.</w:t>
      </w:r>
      <w:r w:rsidR="00AD6B9E">
        <w:rPr>
          <w:rFonts w:ascii="Trebuchet MS" w:hAnsi="Trebuchet MS"/>
        </w:rPr>
        <w:t xml:space="preserve"> The addition of DNA glycosylases </w:t>
      </w:r>
      <w:r w:rsidR="008E24CB">
        <w:rPr>
          <w:rFonts w:ascii="Trebuchet MS" w:hAnsi="Trebuchet MS"/>
        </w:rPr>
        <w:t xml:space="preserve">during library preparation </w:t>
      </w:r>
      <w:r w:rsidR="00AD6B9E">
        <w:rPr>
          <w:rFonts w:ascii="Trebuchet MS" w:hAnsi="Trebuchet MS"/>
        </w:rPr>
        <w:t xml:space="preserve">can </w:t>
      </w:r>
      <w:r w:rsidR="008E24CB">
        <w:rPr>
          <w:rFonts w:ascii="Trebuchet MS" w:hAnsi="Trebuchet MS"/>
        </w:rPr>
        <w:t>ameliorate the effect of DNA oxidation.</w:t>
      </w:r>
      <w:r w:rsidR="00A94814">
        <w:rPr>
          <w:rFonts w:ascii="Trebuchet MS" w:hAnsi="Trebuchet MS"/>
        </w:rPr>
        <w:t xml:space="preserve"> </w:t>
      </w:r>
      <w:r w:rsidR="00EB48A2">
        <w:rPr>
          <w:rFonts w:ascii="Trebuchet MS" w:hAnsi="Trebuchet MS"/>
        </w:rPr>
        <w:t xml:space="preserve">In addition, the sequence context and orientation bias of the mutation can also be assessed to determine the extent of the oxidative DNA damage in the library \cite{}. </w:t>
      </w:r>
    </w:p>
    <w:p w14:paraId="279A7BB1" w14:textId="77777777" w:rsidR="00DC6665" w:rsidRDefault="00DC6665" w:rsidP="00DC1D12">
      <w:pPr>
        <w:rPr>
          <w:rFonts w:ascii="Trebuchet MS" w:hAnsi="Trebuchet MS"/>
        </w:rPr>
      </w:pPr>
    </w:p>
    <w:p w14:paraId="153C157B" w14:textId="18122A80" w:rsidR="000D3E0F" w:rsidRDefault="00F14BDE" w:rsidP="008F6280">
      <w:pPr>
        <w:rPr>
          <w:rFonts w:ascii="Trebuchet MS" w:hAnsi="Trebuchet MS"/>
        </w:rPr>
      </w:pPr>
      <w:r>
        <w:rPr>
          <w:rFonts w:ascii="Trebuchet MS" w:hAnsi="Trebuchet MS"/>
        </w:rPr>
        <w:t xml:space="preserve">The repeat content of the reference genome is another important factor for somatic mutation detection that is often ignored. </w:t>
      </w:r>
      <w:r w:rsidR="001145B6" w:rsidRPr="00592CFF">
        <w:rPr>
          <w:rFonts w:ascii="Trebuchet MS" w:hAnsi="Trebuchet MS"/>
        </w:rPr>
        <w:t xml:space="preserve">Repetitive account for approximately 50\% of the human genome \cite{Lander2001-du}. If the repeat length is greater than the read length, read </w:t>
      </w:r>
      <w:r w:rsidR="00203F63">
        <w:rPr>
          <w:rFonts w:ascii="Trebuchet MS" w:hAnsi="Trebuchet MS"/>
        </w:rPr>
        <w:t>aligners</w:t>
      </w:r>
      <w:r w:rsidR="001145B6" w:rsidRPr="00592CFF">
        <w:rPr>
          <w:rFonts w:ascii="Trebuchet MS" w:hAnsi="Trebuchet MS"/>
        </w:rPr>
        <w:t xml:space="preserve"> cannot determine the location of the read with respect to the reference genome as the read could have originated from any copies of the repetitive sequence </w:t>
      </w:r>
      <w:r w:rsidR="006261FF">
        <w:rPr>
          <w:rFonts w:ascii="Trebuchet MS" w:hAnsi="Trebuchet MS"/>
        </w:rPr>
        <w:t xml:space="preserve">in the genome </w:t>
      </w:r>
      <w:r w:rsidR="001145B6" w:rsidRPr="00592CFF">
        <w:rPr>
          <w:rFonts w:ascii="Trebuchet MS" w:hAnsi="Trebuchet MS"/>
        </w:rPr>
        <w:t xml:space="preserve">\cite{Li2008-dt}. </w:t>
      </w:r>
      <w:r w:rsidR="00E7651B">
        <w:rPr>
          <w:rFonts w:ascii="Trebuchet MS" w:hAnsi="Trebuchet MS"/>
        </w:rPr>
        <w:t>Therefore,</w:t>
      </w:r>
      <w:r w:rsidR="006261FF">
        <w:rPr>
          <w:rFonts w:ascii="Trebuchet MS" w:hAnsi="Trebuchet MS"/>
        </w:rPr>
        <w:t xml:space="preserve"> </w:t>
      </w:r>
      <w:r w:rsidR="00E7651B">
        <w:rPr>
          <w:rFonts w:ascii="Trebuchet MS" w:hAnsi="Trebuchet MS"/>
        </w:rPr>
        <w:t>t</w:t>
      </w:r>
      <w:r w:rsidR="001145B6" w:rsidRPr="00592CFF">
        <w:rPr>
          <w:rFonts w:ascii="Trebuchet MS" w:hAnsi="Trebuchet MS"/>
        </w:rPr>
        <w:t>he accurate placement of reads</w:t>
      </w:r>
      <w:r w:rsidR="00E7651B">
        <w:rPr>
          <w:rFonts w:ascii="Trebuchet MS" w:hAnsi="Trebuchet MS"/>
        </w:rPr>
        <w:t xml:space="preserve"> </w:t>
      </w:r>
      <w:r w:rsidR="001145B6" w:rsidRPr="00592CFF">
        <w:rPr>
          <w:rFonts w:ascii="Trebuchet MS" w:hAnsi="Trebuchet MS"/>
        </w:rPr>
        <w:t>requires repetitive sequences to be flanked with unique sequences not present elsewhere in the reference genome.</w:t>
      </w:r>
      <w:r w:rsidR="00DC4C1A">
        <w:rPr>
          <w:rFonts w:ascii="Trebuchet MS" w:hAnsi="Trebuchet MS"/>
        </w:rPr>
        <w:t xml:space="preserve"> Alignment</w:t>
      </w:r>
      <w:r w:rsidR="00EC47BC">
        <w:rPr>
          <w:rFonts w:ascii="Trebuchet MS" w:hAnsi="Trebuchet MS"/>
        </w:rPr>
        <w:t xml:space="preserve"> errors in low sequence complexity regions is another common source of </w:t>
      </w:r>
      <w:r w:rsidR="00EC47BC">
        <w:rPr>
          <w:rFonts w:ascii="Trebuchet MS" w:hAnsi="Trebuchet MS"/>
        </w:rPr>
        <w:lastRenderedPageBreak/>
        <w:t>false positive mutations</w:t>
      </w:r>
      <w:r w:rsidR="00DC4C1A">
        <w:rPr>
          <w:rFonts w:ascii="Trebuchet MS" w:hAnsi="Trebuchet MS"/>
        </w:rPr>
        <w:t xml:space="preserve"> \cite{}. </w:t>
      </w:r>
      <w:r w:rsidR="00E7651B">
        <w:rPr>
          <w:rFonts w:ascii="Trebuchet MS" w:hAnsi="Trebuchet MS"/>
        </w:rPr>
        <w:t>Consequently, b</w:t>
      </w:r>
      <w:r w:rsidR="00DF3794">
        <w:rPr>
          <w:rFonts w:ascii="Trebuchet MS" w:hAnsi="Trebuchet MS"/>
        </w:rPr>
        <w:t xml:space="preserve">oth </w:t>
      </w:r>
      <w:r w:rsidR="00DC4C1A">
        <w:rPr>
          <w:rFonts w:ascii="Trebuchet MS" w:hAnsi="Trebuchet MS"/>
        </w:rPr>
        <w:t xml:space="preserve">germline and somatic mutation detection algorithms </w:t>
      </w:r>
      <w:r w:rsidR="00DF3794">
        <w:rPr>
          <w:rFonts w:ascii="Trebuchet MS" w:hAnsi="Trebuchet MS"/>
        </w:rPr>
        <w:t>discard mutations whe</w:t>
      </w:r>
      <w:r w:rsidR="00542E4E">
        <w:rPr>
          <w:rFonts w:ascii="Trebuchet MS" w:hAnsi="Trebuchet MS"/>
        </w:rPr>
        <w:t>n</w:t>
      </w:r>
      <w:r w:rsidR="00DF3794">
        <w:rPr>
          <w:rFonts w:ascii="Trebuchet MS" w:hAnsi="Trebuchet MS"/>
        </w:rPr>
        <w:t xml:space="preserve"> the </w:t>
      </w:r>
      <w:r w:rsidR="00E7651B">
        <w:rPr>
          <w:rFonts w:ascii="Trebuchet MS" w:hAnsi="Trebuchet MS"/>
        </w:rPr>
        <w:t xml:space="preserve">total </w:t>
      </w:r>
      <w:r w:rsidR="00DF3794">
        <w:rPr>
          <w:rFonts w:ascii="Trebuchet MS" w:hAnsi="Trebuchet MS"/>
        </w:rPr>
        <w:t xml:space="preserve">number of mutations </w:t>
      </w:r>
      <w:r w:rsidR="00E7651B">
        <w:rPr>
          <w:rFonts w:ascii="Trebuchet MS" w:hAnsi="Trebuchet MS"/>
        </w:rPr>
        <w:t>in close proximity to the</w:t>
      </w:r>
      <w:r w:rsidR="00DF3794">
        <w:rPr>
          <w:rFonts w:ascii="Trebuchet MS" w:hAnsi="Trebuchet MS"/>
        </w:rPr>
        <w:t xml:space="preserve"> called mutation</w:t>
      </w:r>
      <w:r w:rsidR="00E7651B">
        <w:rPr>
          <w:rFonts w:ascii="Trebuchet MS" w:hAnsi="Trebuchet MS"/>
        </w:rPr>
        <w:t xml:space="preserve">, within a defined window, </w:t>
      </w:r>
      <w:r w:rsidR="00DF3794">
        <w:rPr>
          <w:rFonts w:ascii="Trebuchet MS" w:hAnsi="Trebuchet MS"/>
        </w:rPr>
        <w:t xml:space="preserve">exceeds a </w:t>
      </w:r>
      <w:r w:rsidR="00E7651B">
        <w:rPr>
          <w:rFonts w:ascii="Trebuchet MS" w:hAnsi="Trebuchet MS"/>
        </w:rPr>
        <w:t xml:space="preserve">predefined </w:t>
      </w:r>
      <w:r w:rsidR="00DF3794">
        <w:rPr>
          <w:rFonts w:ascii="Trebuchet MS" w:hAnsi="Trebuchet MS"/>
        </w:rPr>
        <w:t>threshold</w:t>
      </w:r>
      <w:r w:rsidR="00DC4C1A">
        <w:rPr>
          <w:rFonts w:ascii="Trebuchet MS" w:hAnsi="Trebuchet MS"/>
        </w:rPr>
        <w:t xml:space="preserve"> \cite{}.</w:t>
      </w:r>
      <w:r w:rsidR="004E5433">
        <w:rPr>
          <w:rFonts w:ascii="Trebuchet MS" w:hAnsi="Trebuchet MS"/>
        </w:rPr>
        <w:t xml:space="preserve"> As a result, t</w:t>
      </w:r>
      <w:r w:rsidR="001145B6" w:rsidRPr="00592CFF">
        <w:rPr>
          <w:rFonts w:ascii="Trebuchet MS" w:hAnsi="Trebuchet MS"/>
        </w:rPr>
        <w:t>he reference genome is divided into callable region and non-callable regions based on mappability of Illumina short reads and variant calling is often restricted to the callable regions of the genome \cite{1000_Genomes_Project_Consortium2012-rj}</w:t>
      </w:r>
      <w:r w:rsidR="00E7651B">
        <w:rPr>
          <w:rFonts w:ascii="Trebuchet MS" w:hAnsi="Trebuchet MS"/>
        </w:rPr>
        <w:t xml:space="preserve"> and </w:t>
      </w:r>
      <w:r w:rsidR="006261FF">
        <w:rPr>
          <w:rFonts w:ascii="Trebuchet MS" w:hAnsi="Trebuchet MS"/>
        </w:rPr>
        <w:t>c</w:t>
      </w:r>
      <w:r w:rsidR="001145B6" w:rsidRPr="00592CFF">
        <w:rPr>
          <w:rFonts w:ascii="Trebuchet MS" w:hAnsi="Trebuchet MS"/>
        </w:rPr>
        <w:t>linically relevant genes in non-callable regions are often excluded from analysis \cite{Wagner2022-ph}.</w:t>
      </w:r>
      <w:r w:rsidR="006261FF">
        <w:rPr>
          <w:rFonts w:ascii="Trebuchet MS" w:hAnsi="Trebuchet MS"/>
        </w:rPr>
        <w:t xml:space="preserve"> </w:t>
      </w:r>
    </w:p>
    <w:p w14:paraId="7C8B5899" w14:textId="3CC0BE5C" w:rsidR="0088707F" w:rsidRDefault="0088707F" w:rsidP="008F6280">
      <w:pPr>
        <w:rPr>
          <w:rFonts w:ascii="Trebuchet MS" w:hAnsi="Trebuchet MS"/>
        </w:rPr>
      </w:pPr>
    </w:p>
    <w:p w14:paraId="6106FB13" w14:textId="20798C6C" w:rsidR="005A042B" w:rsidRPr="007A2A56" w:rsidRDefault="009B625D" w:rsidP="005A042B">
      <w:pPr>
        <w:rPr>
          <w:rFonts w:ascii="Trebuchet MS" w:hAnsi="Trebuchet MS"/>
          <w:lang w:val="en-US"/>
        </w:rPr>
      </w:pPr>
      <w:r>
        <w:rPr>
          <w:rFonts w:ascii="Trebuchet MS" w:hAnsi="Trebuchet MS"/>
        </w:rPr>
        <w:t>The</w:t>
      </w:r>
      <w:r>
        <w:rPr>
          <w:rFonts w:ascii="Trebuchet MS" w:hAnsi="Trebuchet MS"/>
        </w:rPr>
        <w:t xml:space="preserve"> completeness</w:t>
      </w:r>
      <w:r>
        <w:rPr>
          <w:rFonts w:ascii="Trebuchet MS" w:hAnsi="Trebuchet MS"/>
        </w:rPr>
        <w:t xml:space="preserve"> of the reference genome is another important consideration for somatic mutation detection. The human reference genome, for example, still remains incomplete with missing sequences, unplaced and unlocalised scaffolds </w:t>
      </w:r>
      <w:r w:rsidR="003B25E5">
        <w:rPr>
          <w:rFonts w:ascii="Trebuchet MS" w:hAnsi="Trebuchet MS"/>
        </w:rPr>
        <w:t xml:space="preserve">and misassemblies such as erroneous sequence collapse and expansion </w:t>
      </w:r>
      <w:r w:rsidR="003B25E5" w:rsidRPr="00592CFF">
        <w:rPr>
          <w:rFonts w:ascii="Trebuchet MS" w:hAnsi="Trebuchet MS"/>
        </w:rPr>
        <w:t>\cite{Schneider2017-yo}.</w:t>
      </w:r>
      <w:r w:rsidR="005427ED">
        <w:rPr>
          <w:rFonts w:ascii="Trebuchet MS" w:hAnsi="Trebuchet MS"/>
        </w:rPr>
        <w:t xml:space="preserve"> The telomere-to-telomere CHM13 (T2T-CHM13) genome, constructed from a combination of sequencing and mapping technologies, is currently the most accurate and complete human genome available to date. </w:t>
      </w:r>
      <w:r w:rsidR="002139B9">
        <w:rPr>
          <w:rFonts w:ascii="Trebuchet MS" w:hAnsi="Trebuchet MS"/>
        </w:rPr>
        <w:t xml:space="preserve">Compared to the </w:t>
      </w:r>
      <w:r w:rsidR="005427ED">
        <w:rPr>
          <w:rFonts w:ascii="Trebuchet MS" w:hAnsi="Trebuchet MS"/>
        </w:rPr>
        <w:t xml:space="preserve">human reference genome, </w:t>
      </w:r>
      <w:r w:rsidR="002139B9">
        <w:rPr>
          <w:rFonts w:ascii="Trebuchet MS" w:hAnsi="Trebuchet MS"/>
        </w:rPr>
        <w:t>the</w:t>
      </w:r>
      <w:r w:rsidR="004E064C">
        <w:rPr>
          <w:rFonts w:ascii="Trebuchet MS" w:hAnsi="Trebuchet MS"/>
        </w:rPr>
        <w:t xml:space="preserve"> </w:t>
      </w:r>
      <w:r w:rsidR="005427ED">
        <w:rPr>
          <w:rFonts w:ascii="Trebuchet MS" w:hAnsi="Trebuchet MS"/>
        </w:rPr>
        <w:t>T2T-CHM13</w:t>
      </w:r>
      <w:r w:rsidR="002139B9">
        <w:rPr>
          <w:rFonts w:ascii="Trebuchet MS" w:hAnsi="Trebuchet MS"/>
        </w:rPr>
        <w:t xml:space="preserve"> genome has fully resolved </w:t>
      </w:r>
      <w:r w:rsidR="00031DDB">
        <w:rPr>
          <w:rFonts w:ascii="Trebuchet MS" w:hAnsi="Trebuchet MS"/>
        </w:rPr>
        <w:t xml:space="preserve">sequences for </w:t>
      </w:r>
      <w:r w:rsidR="002139B9">
        <w:rPr>
          <w:rFonts w:ascii="Trebuchet MS" w:hAnsi="Trebuchet MS"/>
        </w:rPr>
        <w:t>the short</w:t>
      </w:r>
      <w:r w:rsidR="00031DDB">
        <w:rPr>
          <w:rFonts w:ascii="Trebuchet MS" w:hAnsi="Trebuchet MS"/>
        </w:rPr>
        <w:t xml:space="preserve"> </w:t>
      </w:r>
      <w:r w:rsidR="002139B9">
        <w:rPr>
          <w:rFonts w:ascii="Trebuchet MS" w:hAnsi="Trebuchet MS"/>
        </w:rPr>
        <w:t>arms of acrocentric chromosomes and centromeres of all chromosomes</w:t>
      </w:r>
      <w:r w:rsidR="00031DDB">
        <w:rPr>
          <w:rFonts w:ascii="Trebuchet MS" w:hAnsi="Trebuchet MS"/>
        </w:rPr>
        <w:t xml:space="preserve">, with the exception of </w:t>
      </w:r>
      <w:r w:rsidR="002139B9">
        <w:rPr>
          <w:rFonts w:ascii="Trebuchet MS" w:hAnsi="Trebuchet MS"/>
        </w:rPr>
        <w:t>chromosome Y</w:t>
      </w:r>
      <w:r w:rsidR="005427ED">
        <w:rPr>
          <w:rFonts w:ascii="Trebuchet MS" w:hAnsi="Trebuchet MS"/>
        </w:rPr>
        <w:t xml:space="preserve"> </w:t>
      </w:r>
      <w:r w:rsidR="002139B9">
        <w:rPr>
          <w:rFonts w:ascii="Trebuchet MS" w:hAnsi="Trebuchet MS"/>
          <w:lang w:val="en-US"/>
        </w:rPr>
        <w:t>\cite{}.</w:t>
      </w:r>
      <w:r w:rsidR="00031DDB">
        <w:rPr>
          <w:rFonts w:ascii="Trebuchet MS" w:hAnsi="Trebuchet MS"/>
          <w:lang w:val="en-US"/>
        </w:rPr>
        <w:t xml:space="preserve"> </w:t>
      </w:r>
      <w:r w:rsidR="005427ED">
        <w:rPr>
          <w:rFonts w:ascii="Trebuchet MS" w:hAnsi="Trebuchet MS"/>
        </w:rPr>
        <w:t xml:space="preserve">As expected, T2T-CHM13 improves the accuracy and precision of both read alignment and variant calling </w:t>
      </w:r>
      <w:r w:rsidR="005427ED" w:rsidRPr="00592CFF">
        <w:rPr>
          <w:rFonts w:ascii="Trebuchet MS" w:hAnsi="Trebuchet MS"/>
        </w:rPr>
        <w:t xml:space="preserve">\cite{Aganezov2022-dv}. </w:t>
      </w:r>
    </w:p>
    <w:p w14:paraId="7466B5CD" w14:textId="16D7C2B5" w:rsidR="00015AB9" w:rsidRDefault="00015AB9" w:rsidP="00783867">
      <w:pPr>
        <w:rPr>
          <w:rFonts w:ascii="Trebuchet MS" w:hAnsi="Trebuchet MS"/>
        </w:rPr>
      </w:pPr>
    </w:p>
    <w:p w14:paraId="1D4F1606" w14:textId="78F4D82C" w:rsidR="00B3626F" w:rsidRDefault="00B3626F" w:rsidP="00783867">
      <w:pPr>
        <w:rPr>
          <w:rFonts w:ascii="Trebuchet MS" w:hAnsi="Trebuchet MS"/>
        </w:rPr>
      </w:pPr>
      <w:r>
        <w:rPr>
          <w:rFonts w:ascii="Trebuchet MS" w:hAnsi="Trebuchet MS"/>
        </w:rPr>
        <w:t xml:space="preserve">To account for </w:t>
      </w:r>
      <w:r w:rsidR="0036286B">
        <w:rPr>
          <w:rFonts w:ascii="Trebuchet MS" w:hAnsi="Trebuchet MS"/>
        </w:rPr>
        <w:t>errors that can</w:t>
      </w:r>
      <w:r w:rsidR="008962B8">
        <w:rPr>
          <w:rFonts w:ascii="Trebuchet MS" w:hAnsi="Trebuchet MS"/>
        </w:rPr>
        <w:t>not</w:t>
      </w:r>
      <w:r w:rsidR="0036286B">
        <w:rPr>
          <w:rFonts w:ascii="Trebuchet MS" w:hAnsi="Trebuchet MS"/>
        </w:rPr>
        <w:t xml:space="preserve"> be eliminated through an analytical approach, a </w:t>
      </w:r>
      <w:r w:rsidR="00015AB9">
        <w:rPr>
          <w:rFonts w:ascii="Trebuchet MS" w:hAnsi="Trebuchet MS"/>
        </w:rPr>
        <w:t xml:space="preserve">panel of </w:t>
      </w:r>
      <w:r>
        <w:rPr>
          <w:rFonts w:ascii="Trebuchet MS" w:hAnsi="Trebuchet MS"/>
        </w:rPr>
        <w:t>normal</w:t>
      </w:r>
      <w:r w:rsidR="00015AB9">
        <w:rPr>
          <w:rFonts w:ascii="Trebuchet MS" w:hAnsi="Trebuchet MS"/>
        </w:rPr>
        <w:t xml:space="preserve"> (P</w:t>
      </w:r>
      <w:r w:rsidR="008962B8">
        <w:rPr>
          <w:rFonts w:ascii="Trebuchet MS" w:hAnsi="Trebuchet MS"/>
        </w:rPr>
        <w:t>o</w:t>
      </w:r>
      <w:r w:rsidR="00015AB9">
        <w:rPr>
          <w:rFonts w:ascii="Trebuchet MS" w:hAnsi="Trebuchet MS"/>
        </w:rPr>
        <w:t xml:space="preserve">N) VCF file is </w:t>
      </w:r>
      <w:r>
        <w:rPr>
          <w:rFonts w:ascii="Trebuchet MS" w:hAnsi="Trebuchet MS"/>
        </w:rPr>
        <w:t xml:space="preserve">generated from a set of normal </w:t>
      </w:r>
      <w:r w:rsidR="008962B8">
        <w:rPr>
          <w:rFonts w:ascii="Trebuchet MS" w:hAnsi="Trebuchet MS"/>
        </w:rPr>
        <w:t>samples,</w:t>
      </w:r>
      <w:r>
        <w:rPr>
          <w:rFonts w:ascii="Trebuchet MS" w:hAnsi="Trebuchet MS"/>
        </w:rPr>
        <w:t xml:space="preserve"> using the same parameters as </w:t>
      </w:r>
      <w:r w:rsidR="008962B8">
        <w:rPr>
          <w:rFonts w:ascii="Trebuchet MS" w:hAnsi="Trebuchet MS"/>
        </w:rPr>
        <w:t xml:space="preserve">those applied in </w:t>
      </w:r>
      <w:r>
        <w:rPr>
          <w:rFonts w:ascii="Trebuchet MS" w:hAnsi="Trebuchet MS"/>
        </w:rPr>
        <w:t>somatic mutation detection</w:t>
      </w:r>
      <w:r w:rsidR="008962B8">
        <w:rPr>
          <w:rFonts w:ascii="Trebuchet MS" w:hAnsi="Trebuchet MS"/>
        </w:rPr>
        <w:t xml:space="preserve">. Afterwards, somatic mutation detections found in the PoN VCF is filtered out </w:t>
      </w:r>
      <w:r>
        <w:rPr>
          <w:rFonts w:ascii="Trebuchet MS" w:hAnsi="Trebuchet MS"/>
        </w:rPr>
        <w:t>\cite{</w:t>
      </w:r>
      <w:r w:rsidRPr="00592CFF">
        <w:rPr>
          <w:rFonts w:ascii="Trebuchet MS" w:hAnsi="Trebuchet MS"/>
        </w:rPr>
        <w:t>Cibulskis2013-gw</w:t>
      </w:r>
      <w:r>
        <w:rPr>
          <w:rFonts w:ascii="Trebuchet MS" w:hAnsi="Trebuchet MS"/>
        </w:rPr>
        <w:t>}</w:t>
      </w:r>
    </w:p>
    <w:p w14:paraId="34E544A5" w14:textId="77777777" w:rsidR="00015AB9" w:rsidRPr="00592CFF" w:rsidRDefault="00015AB9" w:rsidP="00783867">
      <w:pPr>
        <w:rPr>
          <w:rFonts w:ascii="Trebuchet MS" w:hAnsi="Trebuchet MS"/>
          <w:b/>
          <w:bCs/>
        </w:rPr>
      </w:pPr>
    </w:p>
    <w:p w14:paraId="04B45A3E" w14:textId="77777777" w:rsidR="00783867" w:rsidRPr="00592CFF" w:rsidRDefault="00783867" w:rsidP="00783867">
      <w:pPr>
        <w:rPr>
          <w:rFonts w:ascii="Trebuchet MS" w:hAnsi="Trebuchet MS"/>
          <w:b/>
          <w:bCs/>
        </w:rPr>
      </w:pPr>
      <w:r w:rsidRPr="00592CFF">
        <w:rPr>
          <w:rFonts w:ascii="Trebuchet MS" w:hAnsi="Trebuchet MS"/>
          <w:b/>
          <w:bCs/>
        </w:rPr>
        <w:t>\subsection{</w:t>
      </w:r>
      <w:r>
        <w:rPr>
          <w:rFonts w:ascii="Trebuchet MS" w:hAnsi="Trebuchet MS"/>
          <w:b/>
          <w:bCs/>
        </w:rPr>
        <w:t>Somatic mutation detection in normal cells</w:t>
      </w:r>
      <w:r w:rsidRPr="00592CFF">
        <w:rPr>
          <w:rFonts w:ascii="Trebuchet MS" w:hAnsi="Trebuchet MS"/>
          <w:b/>
          <w:bCs/>
        </w:rPr>
        <w:t>}</w:t>
      </w:r>
    </w:p>
    <w:p w14:paraId="15F6BBB1" w14:textId="77777777" w:rsidR="00783867" w:rsidRPr="00592CFF" w:rsidRDefault="00783867" w:rsidP="00783867">
      <w:pPr>
        <w:rPr>
          <w:rFonts w:ascii="Trebuchet MS" w:hAnsi="Trebuchet MS"/>
          <w:b/>
          <w:bCs/>
        </w:rPr>
      </w:pPr>
    </w:p>
    <w:p w14:paraId="783C2862" w14:textId="77777777" w:rsidR="00FE4EA3" w:rsidRDefault="00FE4EA3" w:rsidP="00FE4EA3">
      <w:pPr>
        <w:rPr>
          <w:rFonts w:ascii="Trebuchet MS" w:hAnsi="Trebuchet MS"/>
        </w:rPr>
      </w:pPr>
      <w:r>
        <w:rPr>
          <w:rFonts w:ascii="Trebuchet MS" w:hAnsi="Trebuchet MS"/>
        </w:rPr>
        <w:t xml:space="preserve">Somatic mutations are present in bulk tissue often as a single copy in a normal cell </w:t>
      </w:r>
    </w:p>
    <w:p w14:paraId="12C89020" w14:textId="77777777" w:rsidR="00EC47BC" w:rsidRPr="00592CFF" w:rsidRDefault="00EC47BC" w:rsidP="00EC47BC">
      <w:pPr>
        <w:rPr>
          <w:rFonts w:ascii="Trebuchet MS" w:hAnsi="Trebuchet MS"/>
        </w:rPr>
      </w:pPr>
      <w:r w:rsidRPr="00592CFF">
        <w:rPr>
          <w:rFonts w:ascii="Trebuchet MS" w:hAnsi="Trebuchet MS"/>
        </w:rPr>
        <w:t xml:space="preserve">The base accuracy and read length of Illumina reads, most importantly, is the common technical factor that limits the resolution at which the somatic mutations can be detected. MuTect, for example, cannot differentiate Illumina sequencing errors from low variant allele fraction (VAF) somatic mutations as a typical Illumina base call has a 0.01-1\% error rate \cite{Cibulskis2013-gw}. </w:t>
      </w:r>
    </w:p>
    <w:p w14:paraId="36E63302" w14:textId="77777777" w:rsidR="00FE4EA3" w:rsidRDefault="00FE4EA3" w:rsidP="00FE4EA3">
      <w:pPr>
        <w:rPr>
          <w:rFonts w:ascii="Trebuchet MS" w:hAnsi="Trebuchet MS"/>
        </w:rPr>
      </w:pPr>
    </w:p>
    <w:p w14:paraId="383FB3DC" w14:textId="77777777" w:rsidR="00FE4EA3" w:rsidRDefault="00FE4EA3" w:rsidP="00FE4EA3">
      <w:pPr>
        <w:rPr>
          <w:rFonts w:ascii="Trebuchet MS" w:hAnsi="Trebuchet MS"/>
        </w:rPr>
      </w:pPr>
    </w:p>
    <w:p w14:paraId="7EE3DA7B" w14:textId="77777777" w:rsidR="00FE4EA3" w:rsidRDefault="00FE4EA3" w:rsidP="00FE4EA3">
      <w:pPr>
        <w:rPr>
          <w:rFonts w:ascii="Trebuchet MS" w:hAnsi="Trebuchet MS"/>
        </w:rPr>
      </w:pPr>
      <w:r>
        <w:rPr>
          <w:rFonts w:ascii="Trebuchet MS" w:hAnsi="Trebuchet MS"/>
        </w:rPr>
        <w:t>Germline mutation rate</w:t>
      </w:r>
    </w:p>
    <w:p w14:paraId="06419F8B" w14:textId="77777777" w:rsidR="00FE4EA3" w:rsidRDefault="00FE4EA3" w:rsidP="00FE4EA3">
      <w:pPr>
        <w:rPr>
          <w:rFonts w:ascii="Trebuchet MS" w:hAnsi="Trebuchet MS"/>
        </w:rPr>
      </w:pPr>
      <w:r>
        <w:rPr>
          <w:rFonts w:ascii="Trebuchet MS" w:hAnsi="Trebuchet MS"/>
        </w:rPr>
        <w:t>Somatic mutation rate</w:t>
      </w:r>
    </w:p>
    <w:p w14:paraId="1E92388B" w14:textId="77777777" w:rsidR="00FE4EA3" w:rsidRDefault="00FE4EA3" w:rsidP="00FE4EA3">
      <w:pPr>
        <w:rPr>
          <w:rFonts w:ascii="Trebuchet MS" w:hAnsi="Trebuchet MS"/>
        </w:rPr>
      </w:pPr>
    </w:p>
    <w:p w14:paraId="6A8FE3F1" w14:textId="77777777" w:rsidR="00FE4EA3" w:rsidRDefault="00FE4EA3" w:rsidP="00FE4EA3">
      <w:pPr>
        <w:rPr>
          <w:rFonts w:ascii="Trebuchet MS" w:hAnsi="Trebuchet MS"/>
        </w:rPr>
      </w:pPr>
      <w:r>
        <w:rPr>
          <w:rFonts w:ascii="Trebuchet MS" w:hAnsi="Trebuchet MS"/>
        </w:rPr>
        <w:t>outs</w:t>
      </w:r>
    </w:p>
    <w:p w14:paraId="2D287E47" w14:textId="77777777" w:rsidR="00FE4EA3" w:rsidRDefault="00FE4EA3" w:rsidP="00FE4EA3">
      <w:pPr>
        <w:rPr>
          <w:rFonts w:ascii="Trebuchet MS" w:hAnsi="Trebuchet MS"/>
        </w:rPr>
      </w:pPr>
      <w:r>
        <w:rPr>
          <w:rFonts w:ascii="Trebuchet MS" w:hAnsi="Trebuchet MS"/>
        </w:rPr>
        <w:t>Driver mutation</w:t>
      </w:r>
    </w:p>
    <w:p w14:paraId="05812896" w14:textId="77777777" w:rsidR="00FE4EA3" w:rsidRDefault="00FE4EA3" w:rsidP="00FE4EA3">
      <w:pPr>
        <w:rPr>
          <w:rFonts w:ascii="Trebuchet MS" w:hAnsi="Trebuchet MS"/>
        </w:rPr>
      </w:pPr>
      <w:r>
        <w:rPr>
          <w:rFonts w:ascii="Trebuchet MS" w:hAnsi="Trebuchet MS"/>
        </w:rPr>
        <w:t>Passenger mutations</w:t>
      </w:r>
    </w:p>
    <w:p w14:paraId="46FEBE36" w14:textId="77777777" w:rsidR="00FE4EA3" w:rsidRDefault="00FE4EA3" w:rsidP="00FE4EA3">
      <w:pPr>
        <w:rPr>
          <w:rFonts w:ascii="Trebuchet MS" w:hAnsi="Trebuchet MS"/>
        </w:rPr>
      </w:pPr>
      <w:r>
        <w:rPr>
          <w:rFonts w:ascii="Trebuchet MS" w:hAnsi="Trebuchet MS"/>
        </w:rPr>
        <w:t>Mosaic mutations</w:t>
      </w:r>
    </w:p>
    <w:p w14:paraId="35D3EE8A" w14:textId="77777777" w:rsidR="00FE4EA3" w:rsidRDefault="00FE4EA3" w:rsidP="00FE4EA3">
      <w:pPr>
        <w:rPr>
          <w:rFonts w:ascii="Trebuchet MS" w:hAnsi="Trebuchet MS"/>
          <w:b/>
          <w:bCs/>
        </w:rPr>
      </w:pPr>
      <w:r w:rsidRPr="00592CFF">
        <w:rPr>
          <w:rFonts w:ascii="Trebuchet MS" w:hAnsi="Trebuchet MS"/>
          <w:b/>
          <w:bCs/>
        </w:rPr>
        <w:t>Somatic mutation theory of aging</w:t>
      </w:r>
    </w:p>
    <w:p w14:paraId="1E730491" w14:textId="77777777" w:rsidR="00FE4EA3" w:rsidRPr="00592CFF" w:rsidRDefault="00FE4EA3" w:rsidP="00FE4EA3">
      <w:pPr>
        <w:rPr>
          <w:rFonts w:ascii="Trebuchet MS" w:hAnsi="Trebuchet MS"/>
          <w:b/>
          <w:bCs/>
        </w:rPr>
      </w:pPr>
    </w:p>
    <w:p w14:paraId="3D82FFC0" w14:textId="77777777" w:rsidR="00FE4EA3" w:rsidRDefault="00FE4EA3" w:rsidP="00FE4EA3">
      <w:pPr>
        <w:rPr>
          <w:rFonts w:ascii="Trebuchet MS" w:hAnsi="Trebuchet MS"/>
        </w:rPr>
      </w:pPr>
    </w:p>
    <w:p w14:paraId="659A30C1" w14:textId="77777777" w:rsidR="00FE4EA3" w:rsidRDefault="00FE4EA3" w:rsidP="00FE4EA3">
      <w:pPr>
        <w:rPr>
          <w:rFonts w:ascii="Trebuchet MS" w:hAnsi="Trebuchet MS"/>
        </w:rPr>
      </w:pPr>
    </w:p>
    <w:p w14:paraId="674D4B4E" w14:textId="77777777" w:rsidR="00FE4EA3" w:rsidRDefault="00FE4EA3" w:rsidP="00FE4EA3">
      <w:pPr>
        <w:rPr>
          <w:rFonts w:ascii="Trebuchet MS" w:hAnsi="Trebuchet MS"/>
        </w:rPr>
      </w:pPr>
    </w:p>
    <w:p w14:paraId="2C59D6D1" w14:textId="77777777" w:rsidR="00DC1D12" w:rsidRDefault="00DC1D12" w:rsidP="00DC1D12">
      <w:pPr>
        <w:rPr>
          <w:rFonts w:ascii="Trebuchet MS" w:hAnsi="Trebuchet MS"/>
        </w:rPr>
      </w:pPr>
    </w:p>
    <w:p w14:paraId="0D92CFC5" w14:textId="77777777" w:rsidR="00DC1D12" w:rsidRDefault="00DC1D12" w:rsidP="00DC1D12">
      <w:pPr>
        <w:rPr>
          <w:rFonts w:ascii="Trebuchet MS" w:hAnsi="Trebuchet MS"/>
        </w:rPr>
      </w:pPr>
      <w:r w:rsidRPr="00592CFF">
        <w:rPr>
          <w:rFonts w:ascii="Trebuchet MS" w:hAnsi="Trebuchet MS"/>
        </w:rPr>
        <w:t xml:space="preserve"> Newly acquired somatic mutations, therefore, are indistinguishable from background noise using conventional methods and required breakthroughs in sample and library preparation (Figure \ref{}). </w:t>
      </w:r>
    </w:p>
    <w:p w14:paraId="543962C0" w14:textId="77777777" w:rsidR="00DC1D12" w:rsidRDefault="00DC1D12" w:rsidP="00DC1D12">
      <w:pPr>
        <w:rPr>
          <w:rFonts w:ascii="Trebuchet MS" w:hAnsi="Trebuchet MS"/>
        </w:rPr>
      </w:pPr>
    </w:p>
    <w:p w14:paraId="388E43B5" w14:textId="77777777" w:rsidR="00DC1D12" w:rsidRDefault="00DC1D12" w:rsidP="00DC1D12">
      <w:pPr>
        <w:rPr>
          <w:rFonts w:ascii="Trebuchet MS" w:hAnsi="Trebuchet MS"/>
        </w:rPr>
      </w:pPr>
      <w:r w:rsidRPr="00592CFF">
        <w:rPr>
          <w:rFonts w:ascii="Trebuchet MS" w:hAnsi="Trebuchet MS"/>
        </w:rPr>
        <w:t>The detection of these somatic mutations, however, are critical for early detection of cancer, monitoring of tumour evolution during patient treatment and to enhance our understanding of the transformation of normal cells to neoplastic cells.</w:t>
      </w:r>
    </w:p>
    <w:p w14:paraId="358B2D7F" w14:textId="77777777" w:rsidR="00783867" w:rsidRPr="00592CFF" w:rsidRDefault="00783867" w:rsidP="00783867">
      <w:pPr>
        <w:rPr>
          <w:rFonts w:ascii="Trebuchet MS" w:hAnsi="Trebuchet MS"/>
        </w:rPr>
      </w:pPr>
    </w:p>
    <w:p w14:paraId="4A6FCE6F" w14:textId="77777777" w:rsidR="00D601A7" w:rsidRDefault="00D601A7" w:rsidP="00D601A7">
      <w:pPr>
        <w:rPr>
          <w:rFonts w:ascii="Verdana" w:eastAsia="Verdana" w:hAnsi="Verdana" w:cs="Verdana"/>
        </w:rPr>
      </w:pPr>
      <w:r>
        <w:rPr>
          <w:rFonts w:ascii="Verdana" w:eastAsia="Verdana" w:hAnsi="Verdana" w:cs="Verdana"/>
        </w:rPr>
        <w:t>To detect somatic mutations uniquely acquired in a single cell or present in few cells, several methods have been developed to increase either the base accuracy or the copy number of the mutant DNA above the limit of detection threshold.</w:t>
      </w:r>
    </w:p>
    <w:p w14:paraId="3E4F49FF" w14:textId="77777777" w:rsidR="00D601A7" w:rsidRDefault="00D601A7" w:rsidP="00D601A7">
      <w:pPr>
        <w:rPr>
          <w:rFonts w:ascii="Verdana" w:eastAsia="Verdana" w:hAnsi="Verdana" w:cs="Verdana"/>
        </w:rPr>
      </w:pPr>
      <w:r>
        <w:rPr>
          <w:rFonts w:ascii="Verdana" w:eastAsia="Verdana" w:hAnsi="Verdana" w:cs="Verdana"/>
        </w:rPr>
        <w:t xml:space="preserve">Somatic mutation detection is challenging as most </w:t>
      </w:r>
      <w:ins w:id="0" w:author="Richard Durbin" w:date="2021-11-09T09:13:00Z">
        <w:r>
          <w:rPr>
            <w:rFonts w:ascii="Verdana" w:eastAsia="Verdana" w:hAnsi="Verdana" w:cs="Verdana"/>
          </w:rPr>
          <w:t>somatic mutations</w:t>
        </w:r>
      </w:ins>
      <w:del w:id="1" w:author="Richard Durbin" w:date="2021-11-09T09:13:00Z">
        <w:r>
          <w:rPr>
            <w:rFonts w:ascii="Verdana" w:eastAsia="Verdana" w:hAnsi="Verdana" w:cs="Verdana"/>
          </w:rPr>
          <w:delText>of them</w:delText>
        </w:r>
      </w:del>
      <w:r>
        <w:rPr>
          <w:rFonts w:ascii="Verdana" w:eastAsia="Verdana" w:hAnsi="Verdana" w:cs="Verdana"/>
        </w:rPr>
        <w:t xml:space="preserve"> are present </w:t>
      </w:r>
      <w:ins w:id="2" w:author="Richard Durbin" w:date="2021-11-09T09:15:00Z">
        <w:r>
          <w:rPr>
            <w:rFonts w:ascii="Verdana" w:eastAsia="Verdana" w:hAnsi="Verdana" w:cs="Verdana"/>
          </w:rPr>
          <w:t>only once</w:t>
        </w:r>
      </w:ins>
      <w:del w:id="3" w:author="Richard Durbin" w:date="2021-11-09T09:15:00Z">
        <w:r>
          <w:rPr>
            <w:rFonts w:ascii="Verdana" w:eastAsia="Verdana" w:hAnsi="Verdana" w:cs="Verdana"/>
          </w:rPr>
          <w:delText>as single copies</w:delText>
        </w:r>
      </w:del>
      <w:r>
        <w:rPr>
          <w:rFonts w:ascii="Verdana" w:eastAsia="Verdana" w:hAnsi="Verdana" w:cs="Verdana"/>
        </w:rPr>
        <w:t xml:space="preserve"> in bulk tissue samples, while most single-cell or single molecule technologies have too high an error rate to identify such unique events confidently.</w:t>
      </w:r>
    </w:p>
    <w:p w14:paraId="375D43D1" w14:textId="77777777" w:rsidR="00783867" w:rsidRPr="00592CFF" w:rsidRDefault="00783867" w:rsidP="00783867">
      <w:pPr>
        <w:rPr>
          <w:rFonts w:ascii="Trebuchet MS" w:hAnsi="Trebuchet MS"/>
        </w:rPr>
      </w:pPr>
    </w:p>
    <w:p w14:paraId="0FFF8B3C" w14:textId="77777777" w:rsidR="00783867" w:rsidRPr="00592CFF" w:rsidRDefault="00783867" w:rsidP="00783867">
      <w:pPr>
        <w:rPr>
          <w:rFonts w:ascii="Trebuchet MS" w:hAnsi="Trebuchet MS"/>
        </w:rPr>
      </w:pPr>
      <w:r w:rsidRPr="00592CFF">
        <w:rPr>
          <w:rFonts w:ascii="Trebuchet MS" w:hAnsi="Trebuchet MS"/>
        </w:rPr>
        <w:t xml:space="preserve">Illumina’s technical limitations have limited somatic mutation detection to clonal or sub-clonal mutations.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whole-genome amplification \cite{Lodato2018-hh}, single-cell clone expansion \cite{Lee-Six2018-qe} and laser-capture microdissection (LCM) \cite{Ellis2021-it} and sequencing adopts the former approach. Rolling circle amplification \cite{Lizardi1998-qh, Dahl2004-tm} and duplex sequencing methods \cite{Schmitt2012-yr, Abascal2021-pk, Hoang2016-jx} adopt the latter approach where a highly accurate consensus sequence is created from multiple copies of a single molecule. </w:t>
      </w:r>
    </w:p>
    <w:p w14:paraId="598D3C43" w14:textId="77777777" w:rsidR="00783867" w:rsidRPr="00592CFF" w:rsidRDefault="00783867" w:rsidP="00783867">
      <w:pPr>
        <w:rPr>
          <w:rFonts w:ascii="Trebuchet MS" w:hAnsi="Trebuchet MS"/>
        </w:rPr>
      </w:pPr>
    </w:p>
    <w:p w14:paraId="1A4DAA69" w14:textId="77777777" w:rsidR="00783867" w:rsidRPr="00592CFF" w:rsidRDefault="00783867" w:rsidP="00783867">
      <w:pPr>
        <w:rPr>
          <w:rFonts w:ascii="Trebuchet MS" w:hAnsi="Trebuchet MS"/>
        </w:rPr>
      </w:pPr>
      <w:r w:rsidRPr="00592CFF">
        <w:rPr>
          <w:rFonts w:ascii="Trebuchet MS" w:hAnsi="Trebuchet MS"/>
        </w:rPr>
        <w:t xml:space="preserve">Single-cell clone expansion and LCM sequencing are recognized as the gold-standard methods for somatic mutation detection in single-cells or clonal tissues, respectively. These methods have enabled the study of embryogenesis, somatic mutation rate, mutational processes, clonal structure, driver mutation landscape and earliest transformation of normal cells to neoplastic cells across a range of normal tissues, including adrenal gland, blood, bladder, bronchus, cardiac muscle, colon, endometrium, oesophagus, pancreas, placenta, prostate, skin, smooth muscle, testis, thyroid, ureter, visceral fat \cite{Lee-Six2018-qe, Martincorena2015-gu, Ju2017-vw, Martincorena2018-av, Brunner2019-xg, Lee-Six2019-vt, Yoshida2020-yr, Olafsson2020-vi, Moore2020-pi, Lawson2020-em, MSpencer_Chapman2021-cq, Coorens2021-ct, Robinson2021-te, Grossmann2021-gd, Moore2021-dl, Park2021-fx, Ng2021-jd}. Duplex sequencing, however, is the most scalable option for ultra-rare somatic mutation detection and is the preferred method for circulating tumour DNA (ctDNA) based clinical applications \cite{Newman2016-cy}. </w:t>
      </w:r>
    </w:p>
    <w:p w14:paraId="12D0079E" w14:textId="77777777" w:rsidR="00783867" w:rsidRPr="00592CFF" w:rsidRDefault="00783867" w:rsidP="00783867">
      <w:pPr>
        <w:rPr>
          <w:rFonts w:ascii="Trebuchet MS" w:hAnsi="Trebuchet MS"/>
          <w:b/>
          <w:bCs/>
        </w:rPr>
      </w:pPr>
    </w:p>
    <w:p w14:paraId="51C0E761" w14:textId="77777777" w:rsidR="00783867" w:rsidRPr="00592CFF" w:rsidRDefault="00783867" w:rsidP="00783867">
      <w:pPr>
        <w:rPr>
          <w:rFonts w:ascii="Trebuchet MS" w:hAnsi="Trebuchet MS"/>
          <w:b/>
          <w:bCs/>
        </w:rPr>
      </w:pPr>
      <w:r w:rsidRPr="00592CFF">
        <w:rPr>
          <w:rFonts w:ascii="Trebuchet MS" w:hAnsi="Trebuchet MS"/>
          <w:b/>
          <w:bCs/>
        </w:rPr>
        <w:lastRenderedPageBreak/>
        <w:t>\subsection{Somatic mutations as biological barcodes}</w:t>
      </w:r>
    </w:p>
    <w:p w14:paraId="707949CE" w14:textId="77777777" w:rsidR="00783867" w:rsidRDefault="00783867" w:rsidP="00783867">
      <w:pPr>
        <w:rPr>
          <w:rFonts w:ascii="Trebuchet MS" w:hAnsi="Trebuchet MS"/>
        </w:rPr>
      </w:pPr>
    </w:p>
    <w:p w14:paraId="78114E4E" w14:textId="77777777" w:rsidR="00783867" w:rsidRDefault="00783867" w:rsidP="00783867">
      <w:pPr>
        <w:rPr>
          <w:rFonts w:ascii="Trebuchet MS" w:hAnsi="Trebuchet MS"/>
        </w:rPr>
      </w:pPr>
      <w:r w:rsidRPr="00592CFF">
        <w:rPr>
          <w:rFonts w:ascii="Trebuchet MS" w:hAnsi="Trebuchet MS"/>
        </w:rPr>
        <w:t>to use somatic mutations as timestamps and biological barcodes to lineage trace development \cite{Behjati2014-gb},</w:t>
      </w:r>
    </w:p>
    <w:p w14:paraId="51D9C3D6" w14:textId="77777777" w:rsidR="00783867" w:rsidRDefault="00783867" w:rsidP="00783867">
      <w:pPr>
        <w:rPr>
          <w:rFonts w:ascii="Trebuchet MS" w:hAnsi="Trebuchet MS"/>
        </w:rPr>
      </w:pPr>
      <w:r>
        <w:rPr>
          <w:rFonts w:ascii="Trebuchet MS" w:hAnsi="Trebuchet MS"/>
        </w:rPr>
        <w:t>Lineage tracing somatic mutation pediatric development</w:t>
      </w:r>
    </w:p>
    <w:p w14:paraId="2A3AC7D4" w14:textId="77777777" w:rsidR="00783867" w:rsidRDefault="00783867" w:rsidP="00783867">
      <w:pPr>
        <w:rPr>
          <w:rFonts w:ascii="Trebuchet MS" w:hAnsi="Trebuchet MS"/>
        </w:rPr>
      </w:pPr>
    </w:p>
    <w:p w14:paraId="44665657" w14:textId="77777777" w:rsidR="00006778" w:rsidRPr="00592CFF" w:rsidRDefault="00006778" w:rsidP="005A042B">
      <w:pPr>
        <w:rPr>
          <w:rFonts w:ascii="Trebuchet MS" w:hAnsi="Trebuchet MS"/>
        </w:rPr>
      </w:pPr>
    </w:p>
    <w:p w14:paraId="687B9B7D" w14:textId="77777777" w:rsidR="00006778" w:rsidRPr="00592CFF" w:rsidRDefault="00006778" w:rsidP="00006778">
      <w:pPr>
        <w:rPr>
          <w:rFonts w:ascii="Trebuchet MS" w:hAnsi="Trebuchet MS"/>
          <w:b/>
          <w:bCs/>
        </w:rPr>
      </w:pPr>
      <w:r w:rsidRPr="00592CFF">
        <w:rPr>
          <w:rFonts w:ascii="Trebuchet MS" w:hAnsi="Trebuchet MS"/>
          <w:b/>
          <w:bCs/>
        </w:rPr>
        <w:t>\subsection{</w:t>
      </w:r>
      <w:r>
        <w:rPr>
          <w:rFonts w:ascii="Trebuchet MS" w:hAnsi="Trebuchet MS"/>
          <w:b/>
          <w:bCs/>
        </w:rPr>
        <w:t>Somatic m</w:t>
      </w:r>
      <w:r w:rsidRPr="00592CFF">
        <w:rPr>
          <w:rFonts w:ascii="Trebuchet MS" w:hAnsi="Trebuchet MS"/>
          <w:b/>
          <w:bCs/>
        </w:rPr>
        <w:t>utational processes}</w:t>
      </w:r>
    </w:p>
    <w:p w14:paraId="6908F9E7" w14:textId="77777777" w:rsidR="00006778" w:rsidRDefault="00006778" w:rsidP="00006778">
      <w:pPr>
        <w:rPr>
          <w:rFonts w:ascii="Trebuchet MS" w:hAnsi="Trebuchet MS"/>
        </w:rPr>
      </w:pPr>
    </w:p>
    <w:p w14:paraId="3452B336" w14:textId="3FB58812" w:rsidR="00B036B0" w:rsidRDefault="00006778" w:rsidP="00006778">
      <w:pPr>
        <w:rPr>
          <w:rFonts w:ascii="Trebuchet MS" w:hAnsi="Trebuchet MS"/>
        </w:rPr>
      </w:pPr>
      <w:r w:rsidRPr="00592CFF">
        <w:rPr>
          <w:rFonts w:ascii="Trebuchet MS" w:hAnsi="Trebuchet MS"/>
        </w:rPr>
        <w:t>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w:t>
      </w:r>
    </w:p>
    <w:p w14:paraId="57ECECCB" w14:textId="77777777" w:rsidR="00B036B0" w:rsidRDefault="00B036B0" w:rsidP="00006778">
      <w:pPr>
        <w:rPr>
          <w:rFonts w:ascii="Trebuchet MS" w:hAnsi="Trebuchet MS"/>
        </w:rPr>
      </w:pPr>
    </w:p>
    <w:p w14:paraId="31B965E5" w14:textId="77777777" w:rsidR="00B036B0" w:rsidRDefault="00B036B0" w:rsidP="00006778">
      <w:pPr>
        <w:rPr>
          <w:rFonts w:ascii="Trebuchet MS" w:hAnsi="Trebuchet MS"/>
        </w:rPr>
      </w:pPr>
    </w:p>
    <w:p w14:paraId="67908D86" w14:textId="2BB3F48C" w:rsidR="00006778" w:rsidRPr="00592CFF" w:rsidRDefault="00006778" w:rsidP="00006778">
      <w:pPr>
        <w:rPr>
          <w:rFonts w:ascii="Trebuchet MS" w:hAnsi="Trebuchet MS"/>
        </w:rPr>
      </w:pPr>
      <w:r w:rsidRPr="00592CFF">
        <w:rPr>
          <w:rFonts w:ascii="Trebuchet MS" w:hAnsi="Trebuchet MS"/>
        </w:rPr>
        <w:t xml:space="preserve"> to discover complex structural rearrangements such as chromothripsis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Atlas (TCGA) program \cite{Weinstein2013-ko}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2F923B73" w14:textId="77777777" w:rsidR="00006778" w:rsidRPr="00592CFF" w:rsidRDefault="00006778" w:rsidP="00006778">
      <w:pPr>
        <w:rPr>
          <w:rFonts w:ascii="Trebuchet MS" w:hAnsi="Trebuchet MS"/>
          <w:b/>
          <w:bCs/>
        </w:rPr>
      </w:pPr>
    </w:p>
    <w:p w14:paraId="17FF8897" w14:textId="77777777" w:rsidR="00006778" w:rsidRPr="00592CFF" w:rsidRDefault="00006778" w:rsidP="00006778">
      <w:pPr>
        <w:rPr>
          <w:rFonts w:ascii="Trebuchet MS" w:hAnsi="Trebuchet MS"/>
          <w:b/>
          <w:bCs/>
        </w:rPr>
      </w:pPr>
      <w:r w:rsidRPr="00592CFF">
        <w:rPr>
          <w:rFonts w:ascii="Trebuchet MS" w:hAnsi="Trebuchet MS"/>
        </w:rPr>
        <w:t>Multiple mutational processes simultaneously act on the genome at any given time and contribute to the accumulation of somatic mutations over an individual’s lifetime. To determine the mutational sources from a set of samples, mutational signature analysis is performed to either \textit{de novo} extract new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untranscribed strand of the gene (SBS288 classification). Double base substitution, indel and structural variation classification system also exist for mutational signature analysis, but they are not the subject of interest in this chapter \cite{Alexandrov2013-fq, Li2020-vw, Steele2022-mn}.</w:t>
      </w:r>
    </w:p>
    <w:p w14:paraId="4127CC37" w14:textId="77777777" w:rsidR="00006778" w:rsidRDefault="00006778" w:rsidP="00006778">
      <w:pPr>
        <w:rPr>
          <w:rFonts w:ascii="Trebuchet MS" w:hAnsi="Trebuchet MS"/>
          <w:b/>
          <w:bCs/>
        </w:rPr>
      </w:pPr>
    </w:p>
    <w:p w14:paraId="2ED23F23" w14:textId="77777777" w:rsidR="00006778" w:rsidRPr="00592CFF" w:rsidRDefault="00006778" w:rsidP="00006778">
      <w:pPr>
        <w:rPr>
          <w:rFonts w:ascii="Trebuchet MS" w:hAnsi="Trebuchet MS"/>
          <w:b/>
          <w:bCs/>
        </w:rPr>
      </w:pPr>
      <w:r w:rsidRPr="00592CFF">
        <w:rPr>
          <w:rFonts w:ascii="Trebuchet MS" w:hAnsi="Trebuchet MS"/>
          <w:b/>
          <w:bCs/>
        </w:rPr>
        <w:t>\subsection{Mutational signature analysis}</w:t>
      </w:r>
    </w:p>
    <w:p w14:paraId="52CCDD6F" w14:textId="77777777" w:rsidR="00006778" w:rsidRPr="00592CFF" w:rsidRDefault="00006778" w:rsidP="00006778">
      <w:pPr>
        <w:rPr>
          <w:rFonts w:ascii="Trebuchet MS" w:hAnsi="Trebuchet MS"/>
          <w:b/>
          <w:bCs/>
        </w:rPr>
      </w:pPr>
    </w:p>
    <w:p w14:paraId="1857BC40" w14:textId="77777777" w:rsidR="00006778" w:rsidRPr="00592CFF" w:rsidRDefault="00006778" w:rsidP="00006778">
      <w:pPr>
        <w:rPr>
          <w:rFonts w:ascii="Trebuchet MS" w:hAnsi="Trebuchet MS"/>
        </w:rPr>
      </w:pPr>
    </w:p>
    <w:p w14:paraId="78DD9D51" w14:textId="77777777" w:rsidR="00006778" w:rsidRPr="00592CFF" w:rsidRDefault="00006778" w:rsidP="00006778">
      <w:pPr>
        <w:rPr>
          <w:rFonts w:ascii="Trebuchet MS" w:hAnsi="Trebuchet MS"/>
        </w:rPr>
      </w:pPr>
      <w:r w:rsidRPr="00592CFF">
        <w:rPr>
          <w:rFonts w:ascii="Trebuchet MS" w:hAnsi="Trebuchet MS"/>
        </w:rPr>
        <w:t>The PCAWG consortium has discovered 67 single-base-substitution (SBS) mutational signatures \cite{Alexandrov2020-ys}. To date, the biological aetiology for 49 SBS mutational signatures has been determined (Table X). The discovery of new somatic mutational signatures is an ongoing process where the number and the aetiology of mutational signatures is constantly updated and refined with increase in the number of sequenced genomes. Genomics England and collaborators, for example, have leveraged 100,000 cancer genomes from around 85,000 patients to detect mutational signatures associated with rare and sporadic somatic mutagenesis \cite{Degasperi2022-qe}. In addition, somatic mutations resulting from chemotherapeutic agents is another active area of research \cite{Pich2019-ja, Aitken2020-sa}. Clinical sequencing of matched tumour and normal genomes is now routinely performed in the developed countries to help cancer patient treatment, fulfilling one of the many promises of the human genome project..</w:t>
      </w:r>
    </w:p>
    <w:p w14:paraId="4802217C" w14:textId="3DCD5C74" w:rsidR="005A042B" w:rsidRDefault="005A042B" w:rsidP="00E034EE">
      <w:pPr>
        <w:rPr>
          <w:rFonts w:ascii="Trebuchet MS" w:hAnsi="Trebuchet MS"/>
        </w:rPr>
      </w:pPr>
    </w:p>
    <w:p w14:paraId="65E5CC86" w14:textId="77777777" w:rsidR="00B036B0" w:rsidRPr="00592CFF" w:rsidRDefault="00B036B0" w:rsidP="00FB3146">
      <w:pPr>
        <w:rPr>
          <w:rFonts w:ascii="Trebuchet MS" w:hAnsi="Trebuchet MS"/>
          <w:b/>
          <w:bCs/>
        </w:rPr>
      </w:pPr>
    </w:p>
    <w:p w14:paraId="471CF435" w14:textId="1151EF13" w:rsidR="00831633" w:rsidRPr="00592CFF" w:rsidRDefault="00831633" w:rsidP="00FB3146">
      <w:pPr>
        <w:rPr>
          <w:rFonts w:ascii="Trebuchet MS" w:hAnsi="Trebuchet MS"/>
          <w:b/>
          <w:bCs/>
        </w:rPr>
      </w:pPr>
      <w:r w:rsidRPr="00592CFF">
        <w:rPr>
          <w:rFonts w:ascii="Trebuchet MS" w:hAnsi="Trebuchet MS"/>
          <w:b/>
          <w:bCs/>
        </w:rPr>
        <w:t>\section{Single</w:t>
      </w:r>
      <w:r w:rsidR="00D40B61">
        <w:rPr>
          <w:rFonts w:ascii="Trebuchet MS" w:hAnsi="Trebuchet MS"/>
          <w:b/>
          <w:bCs/>
        </w:rPr>
        <w:t xml:space="preserve"> </w:t>
      </w:r>
      <w:r w:rsidRPr="00592CFF">
        <w:rPr>
          <w:rFonts w:ascii="Trebuchet MS" w:hAnsi="Trebuchet MS"/>
          <w:b/>
          <w:bCs/>
        </w:rPr>
        <w:t>molecule sequencing}</w:t>
      </w:r>
    </w:p>
    <w:p w14:paraId="1E5DD9D2" w14:textId="01CFABE5" w:rsidR="001F6150" w:rsidRDefault="001F6150" w:rsidP="00FB3146">
      <w:pPr>
        <w:rPr>
          <w:rFonts w:ascii="Trebuchet MS" w:hAnsi="Trebuchet MS"/>
          <w:b/>
          <w:bCs/>
        </w:rPr>
      </w:pPr>
    </w:p>
    <w:p w14:paraId="0627D5BA" w14:textId="26D26DD2" w:rsidR="00CC7CCE" w:rsidRPr="001F6150" w:rsidRDefault="001F6150" w:rsidP="006E5B3C">
      <w:pPr>
        <w:rPr>
          <w:rFonts w:ascii="Trebuchet MS" w:hAnsi="Trebuchet MS"/>
          <w:b/>
          <w:bCs/>
        </w:rPr>
      </w:pPr>
      <w:r>
        <w:rPr>
          <w:rFonts w:ascii="Trebuchet MS" w:hAnsi="Trebuchet MS"/>
        </w:rPr>
        <w:t xml:space="preserve">Single molecule sequencing method, unlike sequencing by synthesis method from Illumina, does not require the amplification of the template molecule and </w:t>
      </w:r>
      <w:r w:rsidR="007271FF">
        <w:rPr>
          <w:rFonts w:ascii="Trebuchet MS" w:hAnsi="Trebuchet MS"/>
        </w:rPr>
        <w:t xml:space="preserve">determines the </w:t>
      </w:r>
      <w:r>
        <w:rPr>
          <w:rFonts w:ascii="Trebuchet MS" w:hAnsi="Trebuchet MS"/>
        </w:rPr>
        <w:t xml:space="preserve">nucleotide composition of an individual </w:t>
      </w:r>
      <w:r w:rsidR="007271FF">
        <w:rPr>
          <w:rFonts w:ascii="Trebuchet MS" w:hAnsi="Trebuchet MS"/>
        </w:rPr>
        <w:t>DNA molecule</w:t>
      </w:r>
      <w:r>
        <w:rPr>
          <w:rFonts w:ascii="Trebuchet MS" w:hAnsi="Trebuchet MS"/>
        </w:rPr>
        <w:t xml:space="preserve">. </w:t>
      </w:r>
      <w:r w:rsidR="006E5B3C" w:rsidRPr="00592CFF">
        <w:rPr>
          <w:rFonts w:ascii="Trebuchet MS" w:hAnsi="Trebuchet MS"/>
        </w:rPr>
        <w:t>Single</w:t>
      </w:r>
      <w:r w:rsidR="00B47D88">
        <w:rPr>
          <w:rFonts w:ascii="Trebuchet MS" w:hAnsi="Trebuchet MS"/>
        </w:rPr>
        <w:t>-</w:t>
      </w:r>
      <w:r w:rsidR="006E5B3C" w:rsidRPr="00592CFF">
        <w:rPr>
          <w:rFonts w:ascii="Trebuchet MS" w:hAnsi="Trebuchet MS"/>
        </w:rPr>
        <w:t>molecule</w:t>
      </w:r>
      <w:r w:rsidR="00472E5C">
        <w:rPr>
          <w:rFonts w:ascii="Trebuchet MS" w:hAnsi="Trebuchet MS"/>
        </w:rPr>
        <w:t xml:space="preserve"> </w:t>
      </w:r>
      <w:r w:rsidR="00B47D88">
        <w:rPr>
          <w:rFonts w:ascii="Trebuchet MS" w:hAnsi="Trebuchet MS"/>
        </w:rPr>
        <w:t xml:space="preserve">real-time (SMRT) </w:t>
      </w:r>
      <w:r w:rsidR="00472E5C">
        <w:rPr>
          <w:rFonts w:ascii="Trebuchet MS" w:hAnsi="Trebuchet MS"/>
        </w:rPr>
        <w:t xml:space="preserve">sequencing </w:t>
      </w:r>
      <w:r w:rsidR="007F245A">
        <w:rPr>
          <w:rFonts w:ascii="Trebuchet MS" w:hAnsi="Trebuchet MS"/>
        </w:rPr>
        <w:t xml:space="preserve">platform </w:t>
      </w:r>
      <w:r w:rsidR="00472E5C">
        <w:rPr>
          <w:rFonts w:ascii="Trebuchet MS" w:hAnsi="Trebuchet MS"/>
        </w:rPr>
        <w:t>from</w:t>
      </w:r>
      <w:r w:rsidR="006E5B3C" w:rsidRPr="00592CFF">
        <w:rPr>
          <w:rFonts w:ascii="Trebuchet MS" w:hAnsi="Trebuchet MS"/>
        </w:rPr>
        <w:t xml:space="preserve"> Pacific Biosciences (PacBio) is </w:t>
      </w:r>
      <w:r>
        <w:rPr>
          <w:rFonts w:ascii="Trebuchet MS" w:hAnsi="Trebuchet MS"/>
        </w:rPr>
        <w:t xml:space="preserve">one of the leading single molecule sequencing methods. </w:t>
      </w:r>
      <w:r>
        <w:rPr>
          <w:rFonts w:ascii="Trebuchet MS" w:hAnsi="Trebuchet MS"/>
          <w:lang w:val="en-US"/>
        </w:rPr>
        <w:t xml:space="preserve">Oxford Nanopore Technologies </w:t>
      </w:r>
      <w:r w:rsidR="002D61E9">
        <w:rPr>
          <w:rFonts w:ascii="Trebuchet MS" w:hAnsi="Trebuchet MS"/>
          <w:lang w:val="en-US"/>
        </w:rPr>
        <w:t>is an</w:t>
      </w:r>
      <w:r>
        <w:rPr>
          <w:rFonts w:ascii="Trebuchet MS" w:hAnsi="Trebuchet MS"/>
          <w:lang w:val="en-US"/>
        </w:rPr>
        <w:t xml:space="preserve"> alternative</w:t>
      </w:r>
      <w:r w:rsidR="002D61E9">
        <w:rPr>
          <w:rFonts w:ascii="Trebuchet MS" w:hAnsi="Trebuchet MS"/>
          <w:lang w:val="en-US"/>
        </w:rPr>
        <w:t xml:space="preserve"> provider of</w:t>
      </w:r>
      <w:r>
        <w:rPr>
          <w:rFonts w:ascii="Trebuchet MS" w:hAnsi="Trebuchet MS"/>
          <w:lang w:val="en-US"/>
        </w:rPr>
        <w:t xml:space="preserve"> single molecule sequencing</w:t>
      </w:r>
      <w:r w:rsidR="002D61E9">
        <w:rPr>
          <w:rFonts w:ascii="Trebuchet MS" w:hAnsi="Trebuchet MS"/>
          <w:lang w:val="en-US"/>
        </w:rPr>
        <w:t xml:space="preserve"> platform</w:t>
      </w:r>
      <w:r>
        <w:rPr>
          <w:rFonts w:ascii="Trebuchet MS" w:hAnsi="Trebuchet MS"/>
          <w:lang w:val="en-US"/>
        </w:rPr>
        <w:t xml:space="preserve">, but </w:t>
      </w:r>
      <w:r w:rsidR="002D61E9">
        <w:rPr>
          <w:rFonts w:ascii="Trebuchet MS" w:hAnsi="Trebuchet MS"/>
          <w:lang w:val="en-US"/>
        </w:rPr>
        <w:t>their platform is</w:t>
      </w:r>
      <w:r>
        <w:rPr>
          <w:rFonts w:ascii="Trebuchet MS" w:hAnsi="Trebuchet MS"/>
          <w:lang w:val="en-US"/>
        </w:rPr>
        <w:t xml:space="preserve"> not the subject of this PhD dissertation \cite{}. </w:t>
      </w:r>
      <w:r w:rsidR="00400BB9">
        <w:rPr>
          <w:rFonts w:ascii="Trebuchet MS" w:hAnsi="Trebuchet MS"/>
        </w:rPr>
        <w:t xml:space="preserve">During the early years of development, </w:t>
      </w:r>
      <w:r w:rsidR="00480F4F">
        <w:rPr>
          <w:rFonts w:ascii="Trebuchet MS" w:hAnsi="Trebuchet MS"/>
        </w:rPr>
        <w:t>SMRT sequencing promis</w:t>
      </w:r>
      <w:r w:rsidR="00400BB9">
        <w:rPr>
          <w:rFonts w:ascii="Trebuchet MS" w:hAnsi="Trebuchet MS"/>
        </w:rPr>
        <w:t>ed</w:t>
      </w:r>
      <w:r w:rsidR="00480F4F">
        <w:rPr>
          <w:rFonts w:ascii="Trebuchet MS" w:hAnsi="Trebuchet MS"/>
        </w:rPr>
        <w:t xml:space="preserve"> </w:t>
      </w:r>
      <w:r w:rsidR="00176A3F">
        <w:rPr>
          <w:rFonts w:ascii="Trebuchet MS" w:hAnsi="Trebuchet MS"/>
        </w:rPr>
        <w:t>the following potential benefits:</w:t>
      </w:r>
    </w:p>
    <w:p w14:paraId="4AE6132F" w14:textId="43101A6A" w:rsidR="00480F4F" w:rsidRDefault="00480F4F" w:rsidP="006E5B3C">
      <w:pPr>
        <w:rPr>
          <w:rFonts w:ascii="Trebuchet MS" w:hAnsi="Trebuchet MS"/>
        </w:rPr>
      </w:pPr>
    </w:p>
    <w:p w14:paraId="5BD22DE5" w14:textId="792936F8" w:rsidR="00480F4F" w:rsidRDefault="00480F4F" w:rsidP="006E5B3C">
      <w:pPr>
        <w:rPr>
          <w:rFonts w:ascii="Trebuchet MS" w:hAnsi="Trebuchet MS"/>
        </w:rPr>
      </w:pPr>
      <w:r>
        <w:rPr>
          <w:rFonts w:ascii="Trebuchet MS" w:hAnsi="Trebuchet MS"/>
        </w:rPr>
        <w:t>\begin{enumerate}</w:t>
      </w:r>
    </w:p>
    <w:p w14:paraId="785D2912" w14:textId="36E75384" w:rsidR="00185155" w:rsidRDefault="00480F4F" w:rsidP="00185155">
      <w:pPr>
        <w:rPr>
          <w:rFonts w:ascii="Trebuchet MS" w:hAnsi="Trebuchet MS"/>
        </w:rPr>
      </w:pPr>
      <w:r>
        <w:rPr>
          <w:rFonts w:ascii="Trebuchet MS" w:hAnsi="Trebuchet MS"/>
        </w:rPr>
        <w:t>\item</w:t>
      </w:r>
      <w:r w:rsidR="00185155">
        <w:rPr>
          <w:rFonts w:ascii="Trebuchet MS" w:hAnsi="Trebuchet MS"/>
        </w:rPr>
        <w:t xml:space="preserve"> </w:t>
      </w:r>
      <w:r w:rsidR="00185155" w:rsidRPr="00592CFF">
        <w:rPr>
          <w:rFonts w:ascii="Trebuchet MS" w:hAnsi="Trebuchet MS"/>
        </w:rPr>
        <w:t xml:space="preserve">lower input material </w:t>
      </w:r>
      <w:r w:rsidR="00185155">
        <w:rPr>
          <w:rFonts w:ascii="Trebuchet MS" w:hAnsi="Trebuchet MS"/>
        </w:rPr>
        <w:t xml:space="preserve">for </w:t>
      </w:r>
      <w:r w:rsidR="00185155" w:rsidRPr="00592CFF">
        <w:rPr>
          <w:rFonts w:ascii="Trebuchet MS" w:hAnsi="Trebuchet MS"/>
        </w:rPr>
        <w:t>library preparation and sequencing</w:t>
      </w:r>
    </w:p>
    <w:p w14:paraId="1A896768" w14:textId="77777777" w:rsidR="00185155" w:rsidRDefault="00185155" w:rsidP="00185155">
      <w:pPr>
        <w:rPr>
          <w:rFonts w:ascii="Trebuchet MS" w:hAnsi="Trebuchet MS"/>
        </w:rPr>
      </w:pPr>
      <w:r>
        <w:rPr>
          <w:rFonts w:ascii="Trebuchet MS" w:hAnsi="Trebuchet MS"/>
        </w:rPr>
        <w:t xml:space="preserve">\item </w:t>
      </w:r>
      <w:r w:rsidRPr="00592CFF">
        <w:rPr>
          <w:rFonts w:ascii="Trebuchet MS" w:hAnsi="Trebuchet MS"/>
        </w:rPr>
        <w:t>higher base accuracy</w:t>
      </w:r>
    </w:p>
    <w:p w14:paraId="078AA42A" w14:textId="65387E2A" w:rsidR="00185155" w:rsidRDefault="00185155" w:rsidP="00185155">
      <w:pPr>
        <w:rPr>
          <w:rFonts w:ascii="Trebuchet MS" w:hAnsi="Trebuchet MS"/>
        </w:rPr>
      </w:pPr>
      <w:r>
        <w:rPr>
          <w:rFonts w:ascii="Trebuchet MS" w:hAnsi="Trebuchet MS"/>
        </w:rPr>
        <w:t xml:space="preserve">\item </w:t>
      </w:r>
      <w:r w:rsidRPr="00592CFF">
        <w:rPr>
          <w:rFonts w:ascii="Trebuchet MS" w:hAnsi="Trebuchet MS"/>
        </w:rPr>
        <w:t>longer read length (10kb – 100kb)</w:t>
      </w:r>
    </w:p>
    <w:p w14:paraId="434CFAD5" w14:textId="7D045EA1" w:rsidR="00502373" w:rsidRDefault="00502373" w:rsidP="00185155">
      <w:pPr>
        <w:rPr>
          <w:rFonts w:ascii="Trebuchet MS" w:hAnsi="Trebuchet MS"/>
        </w:rPr>
      </w:pPr>
      <w:r>
        <w:rPr>
          <w:rFonts w:ascii="Trebuchet MS" w:hAnsi="Trebuchet MS"/>
        </w:rPr>
        <w:t>\item production of contigs with higher N50</w:t>
      </w:r>
    </w:p>
    <w:p w14:paraId="2BAF51DB" w14:textId="591A7305" w:rsidR="00502373" w:rsidRDefault="00502373" w:rsidP="00185155">
      <w:pPr>
        <w:rPr>
          <w:rFonts w:ascii="Trebuchet MS" w:hAnsi="Trebuchet MS"/>
        </w:rPr>
      </w:pPr>
      <w:r>
        <w:rPr>
          <w:rFonts w:ascii="Trebuchet MS" w:hAnsi="Trebuchet MS"/>
        </w:rPr>
        <w:t xml:space="preserve">\item </w:t>
      </w:r>
      <w:r w:rsidRPr="00592CFF">
        <w:rPr>
          <w:rFonts w:ascii="Trebuchet MS" w:hAnsi="Trebuchet MS"/>
        </w:rPr>
        <w:t xml:space="preserve">nucleotide-resolution identification of structural variations. </w:t>
      </w:r>
    </w:p>
    <w:p w14:paraId="78E9E237" w14:textId="77777777" w:rsidR="00185155" w:rsidRDefault="00185155" w:rsidP="00185155">
      <w:pPr>
        <w:rPr>
          <w:rFonts w:ascii="Trebuchet MS" w:hAnsi="Trebuchet MS"/>
        </w:rPr>
      </w:pPr>
      <w:r>
        <w:rPr>
          <w:rFonts w:ascii="Trebuchet MS" w:hAnsi="Trebuchet MS"/>
        </w:rPr>
        <w:t xml:space="preserve">\item </w:t>
      </w:r>
      <w:r w:rsidRPr="00592CFF">
        <w:rPr>
          <w:rFonts w:ascii="Trebuchet MS" w:hAnsi="Trebuchet MS"/>
        </w:rPr>
        <w:t>simultaneous detection of genetic variations and base modifications</w:t>
      </w:r>
    </w:p>
    <w:p w14:paraId="1F749EE9" w14:textId="7B050F13" w:rsidR="00480F4F" w:rsidRDefault="00480F4F" w:rsidP="006E5B3C">
      <w:pPr>
        <w:rPr>
          <w:rFonts w:ascii="Trebuchet MS" w:hAnsi="Trebuchet MS"/>
        </w:rPr>
      </w:pPr>
      <w:r>
        <w:rPr>
          <w:rFonts w:ascii="Trebuchet MS" w:hAnsi="Trebuchet MS"/>
        </w:rPr>
        <w:t>\end{enumerate}</w:t>
      </w:r>
    </w:p>
    <w:p w14:paraId="12A92D0A" w14:textId="60A41FBF" w:rsidR="00502373" w:rsidRDefault="00502373" w:rsidP="006E5B3C">
      <w:pPr>
        <w:rPr>
          <w:rFonts w:ascii="Trebuchet MS" w:hAnsi="Trebuchet MS"/>
        </w:rPr>
      </w:pPr>
    </w:p>
    <w:p w14:paraId="57B85035" w14:textId="58CBE8B1" w:rsidR="00D40B61" w:rsidRDefault="00133EDE" w:rsidP="006E5B3C">
      <w:pPr>
        <w:rPr>
          <w:rFonts w:ascii="Trebuchet MS" w:hAnsi="Trebuchet MS"/>
          <w:lang w:val="en-US"/>
        </w:rPr>
      </w:pPr>
      <w:r>
        <w:rPr>
          <w:rFonts w:ascii="Trebuchet MS" w:hAnsi="Trebuchet MS"/>
        </w:rPr>
        <w:t>The first generation of PacBio continuous long reads (CLR) failed to meet these expectations</w:t>
      </w:r>
      <w:r w:rsidR="00F57608">
        <w:rPr>
          <w:rFonts w:ascii="Trebuchet MS" w:hAnsi="Trebuchet MS"/>
        </w:rPr>
        <w:t xml:space="preserve">. Illumina concurrently developed sequencing instruments that produced </w:t>
      </w:r>
      <w:r w:rsidR="0027714C">
        <w:rPr>
          <w:rFonts w:ascii="Trebuchet MS" w:hAnsi="Trebuchet MS"/>
        </w:rPr>
        <w:t>shorter reads with higher base accuracy</w:t>
      </w:r>
      <w:r w:rsidR="00E451A1">
        <w:rPr>
          <w:rFonts w:ascii="Trebuchet MS" w:hAnsi="Trebuchet MS"/>
        </w:rPr>
        <w:t>, as well as</w:t>
      </w:r>
      <w:r w:rsidR="00CE3D6D">
        <w:rPr>
          <w:rFonts w:ascii="Trebuchet MS" w:hAnsi="Trebuchet MS"/>
        </w:rPr>
        <w:t xml:space="preserve"> cheaper per base sequencing cost </w:t>
      </w:r>
      <w:r w:rsidR="0027714C">
        <w:rPr>
          <w:rFonts w:ascii="Trebuchet MS" w:hAnsi="Trebuchet MS"/>
          <w:lang w:val="en-US"/>
        </w:rPr>
        <w:t>\cite{}</w:t>
      </w:r>
      <w:r w:rsidR="00E451A1">
        <w:rPr>
          <w:rFonts w:ascii="Trebuchet MS" w:hAnsi="Trebuchet MS"/>
          <w:lang w:val="en-US"/>
        </w:rPr>
        <w:t xml:space="preserve">. Consequently, Illumina sequencing quickly emerged as the preferred method for sequencing. </w:t>
      </w:r>
      <w:r w:rsidR="00D40B61">
        <w:rPr>
          <w:rFonts w:ascii="Trebuchet MS" w:hAnsi="Trebuchet MS"/>
          <w:lang w:val="en-US"/>
        </w:rPr>
        <w:t>However, PacBio has started to fulfill some of the</w:t>
      </w:r>
      <w:r w:rsidR="009C329F">
        <w:rPr>
          <w:rFonts w:ascii="Trebuchet MS" w:hAnsi="Trebuchet MS"/>
          <w:lang w:val="en-US"/>
        </w:rPr>
        <w:t>se</w:t>
      </w:r>
      <w:r w:rsidR="00D40B61">
        <w:rPr>
          <w:rFonts w:ascii="Trebuchet MS" w:hAnsi="Trebuchet MS"/>
          <w:lang w:val="en-US"/>
        </w:rPr>
        <w:t xml:space="preserve"> promises with recent developments that increases </w:t>
      </w:r>
      <w:r w:rsidR="003F5C0A">
        <w:rPr>
          <w:rFonts w:ascii="Trebuchet MS" w:hAnsi="Trebuchet MS"/>
          <w:lang w:val="en-US"/>
        </w:rPr>
        <w:t>both</w:t>
      </w:r>
      <w:r w:rsidR="00D40B61">
        <w:rPr>
          <w:rFonts w:ascii="Trebuchet MS" w:hAnsi="Trebuchet MS"/>
          <w:lang w:val="en-US"/>
        </w:rPr>
        <w:t xml:space="preserve"> read length and </w:t>
      </w:r>
      <w:r w:rsidR="003F5C0A">
        <w:rPr>
          <w:rFonts w:ascii="Trebuchet MS" w:hAnsi="Trebuchet MS"/>
          <w:lang w:val="en-US"/>
        </w:rPr>
        <w:t>base accuracy.</w:t>
      </w:r>
      <w:r w:rsidR="00D40B61">
        <w:rPr>
          <w:rFonts w:ascii="Trebuchet MS" w:hAnsi="Trebuchet MS"/>
          <w:lang w:val="en-US"/>
        </w:rPr>
        <w:t xml:space="preserve"> </w:t>
      </w:r>
    </w:p>
    <w:p w14:paraId="007B4008" w14:textId="77777777" w:rsidR="006E5B3C" w:rsidRPr="00592CFF" w:rsidRDefault="006E5B3C" w:rsidP="00FB3146">
      <w:pPr>
        <w:rPr>
          <w:rFonts w:ascii="Trebuchet MS" w:hAnsi="Trebuchet MS"/>
          <w:b/>
          <w:bCs/>
        </w:rPr>
      </w:pPr>
    </w:p>
    <w:p w14:paraId="34615EF9" w14:textId="02B6962A" w:rsidR="00831633" w:rsidRPr="00592CFF" w:rsidRDefault="00831633" w:rsidP="00FB3146">
      <w:pPr>
        <w:rPr>
          <w:rFonts w:ascii="Trebuchet MS" w:hAnsi="Trebuchet MS"/>
          <w:b/>
          <w:bCs/>
        </w:rPr>
      </w:pPr>
      <w:r w:rsidRPr="00592CFF">
        <w:rPr>
          <w:rFonts w:ascii="Trebuchet MS" w:hAnsi="Trebuchet MS"/>
          <w:b/>
          <w:bCs/>
        </w:rPr>
        <w:t>\subsection{Single-molecule real-time sequencing}</w:t>
      </w:r>
    </w:p>
    <w:p w14:paraId="2BC509E5" w14:textId="77777777" w:rsidR="00E034EE" w:rsidRPr="00592CFF" w:rsidRDefault="00E034EE" w:rsidP="00E034EE">
      <w:pPr>
        <w:rPr>
          <w:rFonts w:ascii="Trebuchet MS" w:hAnsi="Trebuchet MS"/>
        </w:rPr>
      </w:pPr>
    </w:p>
    <w:p w14:paraId="6AF2270E" w14:textId="5F17597E" w:rsidR="006E5B3C" w:rsidRPr="00592CFF" w:rsidRDefault="006E5B3C" w:rsidP="006E5B3C">
      <w:pPr>
        <w:rPr>
          <w:rFonts w:ascii="Trebuchet MS" w:hAnsi="Trebuchet MS"/>
        </w:rPr>
      </w:pPr>
      <w:r w:rsidRPr="00592CFF">
        <w:rPr>
          <w:rFonts w:ascii="Trebuchet MS" w:hAnsi="Trebuchet MS"/>
        </w:rPr>
        <w:t xml:space="preserve">PacBio was founded in 2004 with aspirations to commercialise </w:t>
      </w:r>
      <w:r w:rsidR="00977879">
        <w:rPr>
          <w:rFonts w:ascii="Trebuchet MS" w:hAnsi="Trebuchet MS"/>
        </w:rPr>
        <w:t>SMRT</w:t>
      </w:r>
      <w:r w:rsidRPr="00592CFF">
        <w:rPr>
          <w:rFonts w:ascii="Trebuchet MS" w:hAnsi="Trebuchet MS"/>
        </w:rPr>
        <w:t xml:space="preserve"> sequencing technology developed at Cornell University. The SMRT platform is the culmination of multiple technical innovations from a range of disciplines. The zero-mode-</w:t>
      </w:r>
      <w:r w:rsidRPr="00592CFF">
        <w:rPr>
          <w:rFonts w:ascii="Trebuchet MS" w:hAnsi="Trebuchet MS"/>
        </w:rPr>
        <w:lastRenderedPageBreak/>
        <w:t>waveguide (ZMW), a nano-scaled hole fabricated in a metal film, is at the heart of the SMRT platform. The ZMW acts as the sequencing unit and its unique properties help</w:t>
      </w:r>
      <w:r w:rsidR="006B2A4D">
        <w:rPr>
          <w:rFonts w:ascii="Trebuchet MS" w:hAnsi="Trebuchet MS"/>
        </w:rPr>
        <w:t>s</w:t>
      </w:r>
      <w:r w:rsidRPr="00592CFF">
        <w:rPr>
          <w:rFonts w:ascii="Trebuchet MS" w:hAnsi="Trebuchet MS"/>
        </w:rPr>
        <w:t xml:space="preserve"> the SMRT platform achieve the high signal-to-noise ratio required to observe activity of individual DNA polymerases (DNAP)\cite{Levene2003-og}. </w:t>
      </w:r>
    </w:p>
    <w:p w14:paraId="66D13EBE" w14:textId="77777777" w:rsidR="006E5B3C" w:rsidRPr="00592CFF" w:rsidRDefault="006E5B3C" w:rsidP="006E5B3C">
      <w:pPr>
        <w:rPr>
          <w:rFonts w:ascii="Trebuchet MS" w:hAnsi="Trebuchet MS"/>
        </w:rPr>
      </w:pPr>
    </w:p>
    <w:p w14:paraId="0460E634" w14:textId="622A95A6" w:rsidR="006E5B3C" w:rsidRPr="00592CFF" w:rsidRDefault="006E5B3C" w:rsidP="006E5B3C">
      <w:pPr>
        <w:rPr>
          <w:rFonts w:ascii="Trebuchet MS" w:hAnsi="Trebuchet MS"/>
        </w:rPr>
      </w:pPr>
      <w:r w:rsidRPr="00592CFF">
        <w:rPr>
          <w:rFonts w:ascii="Trebuchet MS" w:hAnsi="Trebuchet MS"/>
        </w:rPr>
        <w:t xml:space="preserve">The metal film with the ZMW is placed on top of a glass and DNAP is immobilised at the bottom glass surface through surface chemistry modifications that prevents the adsorption of DNAP to the metal side walls\cite{Korlach2008-aq, Eid2009-ol}. A topologically circular template, also known as a SMRTbell template, is created through the attachment of hairpin adapters to a double-stranded DNA molecule (Figure X). The successful loading of SMRTbell template into a ZMW follows a Poisson distribution and typically 30 to 50\% of the ZMWs are classified as productive ZMWs where a single DNAP successfully initiates and completes rolling circle </w:t>
      </w:r>
      <w:r w:rsidR="000466B3">
        <w:rPr>
          <w:rFonts w:ascii="Trebuchet MS" w:hAnsi="Trebuchet MS"/>
        </w:rPr>
        <w:t>sequencing</w:t>
      </w:r>
      <w:r w:rsidRPr="00592CFF">
        <w:rPr>
          <w:rFonts w:ascii="Trebuchet MS" w:hAnsi="Trebuchet MS"/>
        </w:rPr>
        <w:t xml:space="preserve">. SMRT sequencing initially used $\Phi$29 DNAP for its high processivity, minimal amplification bias and ability to perform strand displacement DNA synthesis \cite{Eid2009-ol}. In addition, $\Phi$29 DNAP was engineered through site-directed mutagenesis to </w:t>
      </w:r>
      <w:r w:rsidR="009A2E73">
        <w:rPr>
          <w:rFonts w:ascii="Trebuchet MS" w:hAnsi="Trebuchet MS"/>
        </w:rPr>
        <w:t xml:space="preserve">allow incorporation of </w:t>
      </w:r>
      <w:r w:rsidRPr="00592CFF">
        <w:rPr>
          <w:rFonts w:ascii="Trebuchet MS" w:hAnsi="Trebuchet MS"/>
        </w:rPr>
        <w:t xml:space="preserve">fluorophore-labeled deoxyribonucleoside triphosphate (dNTP) during DNA elongation \cite{Korlach2008-fv,Eid2009-ol}. </w:t>
      </w:r>
    </w:p>
    <w:p w14:paraId="146C10F1" w14:textId="77777777" w:rsidR="006E5B3C" w:rsidRPr="00592CFF" w:rsidRDefault="006E5B3C" w:rsidP="006E5B3C">
      <w:pPr>
        <w:rPr>
          <w:rFonts w:ascii="Trebuchet MS" w:hAnsi="Trebuchet MS"/>
        </w:rPr>
      </w:pPr>
    </w:p>
    <w:p w14:paraId="10D29BEF" w14:textId="35E7A499" w:rsidR="006E5B3C" w:rsidRPr="00592CFF" w:rsidRDefault="006E5B3C" w:rsidP="006E5B3C">
      <w:pPr>
        <w:rPr>
          <w:rFonts w:ascii="Trebuchet MS" w:hAnsi="Trebuchet MS"/>
        </w:rPr>
      </w:pPr>
      <w:r w:rsidRPr="00592CFF">
        <w:rPr>
          <w:rFonts w:ascii="Trebuchet MS" w:hAnsi="Trebuchet MS"/>
        </w:rPr>
        <w:t xml:space="preserve">Upon successful loading of SMRTbell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w:t>
      </w:r>
      <w:r w:rsidR="009613D8">
        <w:rPr>
          <w:rFonts w:ascii="Trebuchet MS" w:hAnsi="Trebuchet MS"/>
        </w:rPr>
        <w:t>extension</w:t>
      </w:r>
      <w:r w:rsidRPr="00592CFF">
        <w:rPr>
          <w:rFonts w:ascii="Trebuchet MS" w:hAnsi="Trebuchet MS"/>
        </w:rPr>
        <w:t xml:space="preserve"> is dependent on DNAP processivity and the presence of bulky DNA damage on the template DNA that can lead to premature termination of replication\cite{}. Illumination from the laser below the glass surface excites the fluorophore and the emitted fluorescence is measured. </w:t>
      </w:r>
      <w:r w:rsidR="00B15831">
        <w:rPr>
          <w:rFonts w:ascii="Trebuchet MS" w:hAnsi="Trebuchet MS"/>
        </w:rPr>
        <w:t>A</w:t>
      </w:r>
      <w:r w:rsidR="006976E4">
        <w:rPr>
          <w:rFonts w:ascii="Trebuchet MS" w:hAnsi="Trebuchet MS"/>
        </w:rPr>
        <w:t xml:space="preserve">n </w:t>
      </w:r>
      <w:r w:rsidR="00B15831">
        <w:rPr>
          <w:rFonts w:ascii="Trebuchet MS" w:hAnsi="Trebuchet MS"/>
        </w:rPr>
        <w:t>i</w:t>
      </w:r>
      <w:r w:rsidRPr="00592CFF">
        <w:rPr>
          <w:rFonts w:ascii="Trebuchet MS" w:hAnsi="Trebuchet MS"/>
        </w:rPr>
        <w:t xml:space="preserve">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w:t>
      </w:r>
      <w:r w:rsidR="006976E4">
        <w:rPr>
          <w:rFonts w:ascii="Trebuchet MS" w:hAnsi="Trebuchet MS"/>
        </w:rPr>
        <w:t>Critically</w:t>
      </w:r>
      <w:r w:rsidRPr="00592CFF">
        <w:rPr>
          <w:rFonts w:ascii="Trebuchet MS" w:hAnsi="Trebuchet MS"/>
        </w:rPr>
        <w:t xml:space="preserve">,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fluorescence\cite{Eid2009-ol}. DNA base modification detection can also be achieved from </w:t>
      </w:r>
      <w:r w:rsidR="003B3BB0" w:rsidRPr="00592CFF">
        <w:rPr>
          <w:rFonts w:ascii="Trebuchet MS" w:hAnsi="Trebuchet MS"/>
        </w:rPr>
        <w:t>analysing</w:t>
      </w:r>
      <w:r w:rsidRPr="00592CFF">
        <w:rPr>
          <w:rFonts w:ascii="Trebuchet MS" w:hAnsi="Trebuchet MS"/>
        </w:rPr>
        <w:t xml:space="preserve"> DNAP kinetics, which is comprised of duration of fluorescence pulse, known as pulse width, and the duration between successive fluorescence pulses, referred to as interpulse duration </w:t>
      </w:r>
      <w:r w:rsidR="003B3BB0">
        <w:rPr>
          <w:rFonts w:ascii="Trebuchet MS" w:hAnsi="Trebuchet MS"/>
        </w:rPr>
        <w:t xml:space="preserve">(IPD) </w:t>
      </w:r>
      <w:r w:rsidRPr="00592CFF">
        <w:rPr>
          <w:rFonts w:ascii="Trebuchet MS" w:hAnsi="Trebuchet MS"/>
        </w:rPr>
        <w:t xml:space="preserve">\cite{Flusberg2010-ub}. To date, DNAP kinetics has been used to detect including base modifications such as N6-methyladenine, 5-methylcytosine (5mC) and 5-hydroxymethylcytosine \cite{Flusberg2010-ub} and DNA damage such as O6-mmethylguanine, 1-methyladenine, O4-methylthymien, 5-hydroxycyostine, 5hydroxyuracil, 5-hydroxymethyluyracil and thymine dimers \cite{Clark2011-jz}. </w:t>
      </w:r>
    </w:p>
    <w:p w14:paraId="7AB4E401" w14:textId="77777777" w:rsidR="006E5B3C" w:rsidRPr="00592CFF" w:rsidRDefault="006E5B3C" w:rsidP="006E5B3C">
      <w:pPr>
        <w:rPr>
          <w:rFonts w:ascii="Trebuchet MS" w:hAnsi="Trebuchet MS"/>
        </w:rPr>
      </w:pPr>
    </w:p>
    <w:p w14:paraId="4E9A56E3" w14:textId="0DC7E207" w:rsidR="00192564" w:rsidRPr="00592CFF" w:rsidRDefault="006E5B3C" w:rsidP="006E5B3C">
      <w:pPr>
        <w:rPr>
          <w:rFonts w:ascii="Trebuchet MS" w:hAnsi="Trebuchet MS"/>
        </w:rPr>
      </w:pPr>
      <w:r w:rsidRPr="00592CFF">
        <w:rPr>
          <w:rFonts w:ascii="Trebuchet MS" w:hAnsi="Trebuchet MS"/>
        </w:rPr>
        <w:t>SMRT platform capability was initially limited to continuous long read (CLR) generation with 10-15\% error rate \cite{Eid2009-ol}</w:t>
      </w:r>
      <w:r w:rsidR="00192564">
        <w:rPr>
          <w:rFonts w:ascii="Trebuchet MS" w:hAnsi="Trebuchet MS"/>
        </w:rPr>
        <w:t xml:space="preserve">. </w:t>
      </w:r>
      <w:r w:rsidRPr="00592CFF">
        <w:rPr>
          <w:rFonts w:ascii="Trebuchet MS" w:hAnsi="Trebuchet MS"/>
        </w:rPr>
        <w:t>This was because there is an inherent trade-off between read length and read accuracy while DNAP processivity is held as a constant. The earlier generations of DNAP had insufficient processivity to sequence both the forward and reverse strand of a SMRTbell template multiple times. In contrast, the more recent generations of DNAP have sufficient processivity to sequence the forward and reverse strand of long SMRTbell templates (&gt;10kb) multiple times such that both long and accurate reads are produced \cite{Wenger2019-pw}. SMRT platform, hence, leveraged the improvements in DNAP processivity to first increase read length and subsequently, improve read accuracy</w:t>
      </w:r>
      <w:r w:rsidR="00192564">
        <w:rPr>
          <w:rFonts w:ascii="Trebuchet MS" w:hAnsi="Trebuchet MS"/>
        </w:rPr>
        <w:t xml:space="preserve">. Circular consensus sequence (CCS) reads from the Sequel II instrument is reported to have 0.1-1\% error rate </w:t>
      </w:r>
      <w:r w:rsidR="00192564" w:rsidRPr="00592CFF">
        <w:rPr>
          <w:rFonts w:ascii="Trebuchet MS" w:hAnsi="Trebuchet MS"/>
        </w:rPr>
        <w:t>\cite{Wenger2019-pw}</w:t>
      </w:r>
      <w:r w:rsidR="000F2108">
        <w:rPr>
          <w:rFonts w:ascii="Trebuchet MS" w:hAnsi="Trebuchet MS"/>
        </w:rPr>
        <w:t xml:space="preserve"> (Figure \ref{})</w:t>
      </w:r>
      <w:r w:rsidR="00192564" w:rsidRPr="00592CFF">
        <w:rPr>
          <w:rFonts w:ascii="Trebuchet MS" w:hAnsi="Trebuchet MS"/>
        </w:rPr>
        <w:t>.</w:t>
      </w:r>
    </w:p>
    <w:p w14:paraId="64978B06" w14:textId="09B834A8" w:rsidR="006E5B3C" w:rsidRDefault="006E5B3C" w:rsidP="006E5B3C">
      <w:pPr>
        <w:rPr>
          <w:rFonts w:ascii="Trebuchet MS" w:hAnsi="Trebuchet MS"/>
        </w:rPr>
      </w:pPr>
    </w:p>
    <w:p w14:paraId="7AC8BB5D" w14:textId="4F3A74BB" w:rsidR="00504F11" w:rsidRDefault="00504F11" w:rsidP="006E5B3C">
      <w:pPr>
        <w:rPr>
          <w:rFonts w:ascii="Trebuchet MS" w:hAnsi="Trebuchet MS"/>
        </w:rPr>
      </w:pPr>
      <w:r>
        <w:rPr>
          <w:rFonts w:ascii="Trebuchet MS" w:hAnsi="Trebuchet MS"/>
        </w:rPr>
        <w:t>\begin{}[h!]</w:t>
      </w:r>
    </w:p>
    <w:p w14:paraId="109D03B3" w14:textId="110C5687" w:rsidR="00504F11" w:rsidRDefault="00504F11" w:rsidP="006E5B3C">
      <w:pPr>
        <w:rPr>
          <w:rFonts w:ascii="Trebuchet MS" w:hAnsi="Trebuchet MS"/>
        </w:rPr>
      </w:pPr>
      <w:r>
        <w:rPr>
          <w:rFonts w:ascii="Trebuchet MS" w:hAnsi="Trebuchet MS"/>
        </w:rPr>
        <w:t>\label{clr-ccs-sequencing}</w:t>
      </w:r>
    </w:p>
    <w:p w14:paraId="5B3638F1" w14:textId="66CD2936" w:rsidR="00504F11" w:rsidRDefault="00504F11" w:rsidP="006E5B3C">
      <w:pPr>
        <w:rPr>
          <w:rFonts w:ascii="Trebuchet MS" w:hAnsi="Trebuchet MS"/>
        </w:rPr>
      </w:pPr>
      <w:r>
        <w:rPr>
          <w:rFonts w:ascii="Trebuchet MS" w:hAnsi="Trebuchet MS"/>
        </w:rPr>
        <w:t>\caption{}</w:t>
      </w:r>
    </w:p>
    <w:p w14:paraId="10BF7C48" w14:textId="3205AD77" w:rsidR="00504F11" w:rsidRDefault="00504F11" w:rsidP="006E5B3C">
      <w:pPr>
        <w:rPr>
          <w:rFonts w:ascii="Trebuchet MS" w:hAnsi="Trebuchet MS"/>
        </w:rPr>
      </w:pPr>
      <w:r>
        <w:rPr>
          <w:rFonts w:ascii="Trebuchet MS" w:hAnsi="Trebuchet MS"/>
        </w:rPr>
        <w:t>\floatfoot{}</w:t>
      </w:r>
    </w:p>
    <w:p w14:paraId="1612D32B" w14:textId="36577F4E" w:rsidR="00504F11" w:rsidRDefault="00504F11" w:rsidP="006E5B3C">
      <w:pPr>
        <w:rPr>
          <w:rFonts w:ascii="Trebuchet MS" w:hAnsi="Trebuchet MS"/>
        </w:rPr>
      </w:pPr>
      <w:r>
        <w:rPr>
          <w:rFonts w:ascii="Trebuchet MS" w:hAnsi="Trebuchet MS"/>
        </w:rPr>
        <w:t>\end{figure}</w:t>
      </w:r>
    </w:p>
    <w:p w14:paraId="297C51C9" w14:textId="77777777" w:rsidR="005A3CDF" w:rsidRPr="00592CFF" w:rsidRDefault="005A3CDF" w:rsidP="006E5B3C">
      <w:pPr>
        <w:rPr>
          <w:rFonts w:ascii="Trebuchet MS" w:hAnsi="Trebuchet MS"/>
        </w:rPr>
      </w:pPr>
    </w:p>
    <w:p w14:paraId="13D3A169" w14:textId="4948BD79" w:rsidR="006E5B3C" w:rsidRDefault="006E5B3C" w:rsidP="007D4293">
      <w:pPr>
        <w:rPr>
          <w:rFonts w:ascii="Trebuchet MS" w:hAnsi="Trebuchet MS"/>
        </w:rPr>
      </w:pPr>
      <w:r w:rsidRPr="00592CFF">
        <w:rPr>
          <w:rFonts w:ascii="Trebuchet MS" w:hAnsi="Trebuchet MS"/>
        </w:rPr>
        <w:t xml:space="preserve">The PacBio RS instrument with the first generation of polymerase and chemistry (P1-C1) produced </w:t>
      </w:r>
      <w:r w:rsidR="000F196A">
        <w:rPr>
          <w:rFonts w:ascii="Trebuchet MS" w:hAnsi="Trebuchet MS"/>
        </w:rPr>
        <w:t xml:space="preserve">CLR reads </w:t>
      </w:r>
      <w:r w:rsidRPr="00592CFF">
        <w:rPr>
          <w:rFonts w:ascii="Trebuchet MS" w:hAnsi="Trebuchet MS"/>
        </w:rPr>
        <w:t>with an average read length of 1,500 bp with 10-15\% error rate \cite{}</w:t>
      </w:r>
      <w:r w:rsidR="006B6428">
        <w:rPr>
          <w:rFonts w:ascii="Trebuchet MS" w:hAnsi="Trebuchet MS"/>
        </w:rPr>
        <w:t xml:space="preserve"> and the first generation of SMRTcells had 150, 000 ZMWs \cite{}. </w:t>
      </w:r>
      <w:r w:rsidRPr="00592CFF">
        <w:rPr>
          <w:rFonts w:ascii="Trebuchet MS" w:hAnsi="Trebuchet MS"/>
        </w:rPr>
        <w:t xml:space="preserve">In contrast, the most recent PacBio Revio instrument generates CCS reads with an average read length of </w:t>
      </w:r>
      <w:r w:rsidR="00216677">
        <w:rPr>
          <w:rFonts w:ascii="Trebuchet MS" w:hAnsi="Trebuchet MS"/>
        </w:rPr>
        <w:t xml:space="preserve">around </w:t>
      </w:r>
      <w:r w:rsidRPr="00592CFF">
        <w:rPr>
          <w:rFonts w:ascii="Trebuchet MS" w:hAnsi="Trebuchet MS"/>
        </w:rPr>
        <w:t>20,000 bp with 0.1-1\% error rate \cite{}</w:t>
      </w:r>
      <w:r w:rsidR="00903B4C">
        <w:rPr>
          <w:rFonts w:ascii="Trebuchet MS" w:hAnsi="Trebuchet MS"/>
        </w:rPr>
        <w:t xml:space="preserve"> and the latest SMRTcell has 25 million ZMWs. </w:t>
      </w:r>
      <w:r w:rsidR="000F196A">
        <w:rPr>
          <w:rFonts w:ascii="Trebuchet MS" w:hAnsi="Trebuchet MS"/>
        </w:rPr>
        <w:t xml:space="preserve">The </w:t>
      </w:r>
      <w:r w:rsidR="001B6090">
        <w:rPr>
          <w:rFonts w:ascii="Trebuchet MS" w:hAnsi="Trebuchet MS"/>
        </w:rPr>
        <w:t>sequence throughput of SMRTcells has</w:t>
      </w:r>
      <w:r w:rsidR="000F196A">
        <w:rPr>
          <w:rFonts w:ascii="Trebuchet MS" w:hAnsi="Trebuchet MS"/>
        </w:rPr>
        <w:t xml:space="preserve"> </w:t>
      </w:r>
      <w:r w:rsidR="001B6090">
        <w:rPr>
          <w:rFonts w:ascii="Trebuchet MS" w:hAnsi="Trebuchet MS"/>
        </w:rPr>
        <w:t>increased exponentially from approximately 112 million CLR bases per SMRTcell to 250 billion CCS bases per SMRTcell, assuming that around half of the ZMWs are</w:t>
      </w:r>
      <w:r w:rsidR="004C1BF6">
        <w:rPr>
          <w:rFonts w:ascii="Trebuchet MS" w:hAnsi="Trebuchet MS"/>
        </w:rPr>
        <w:t xml:space="preserve"> productive ZMWs.</w:t>
      </w:r>
      <w:r w:rsidR="00625B2D">
        <w:rPr>
          <w:rFonts w:ascii="Trebuchet MS" w:hAnsi="Trebuchet MS"/>
        </w:rPr>
        <w:t xml:space="preserve"> Thus, a single SMRTcell can generate 30-fold CCS sequence coverage of a human genome</w:t>
      </w:r>
      <w:r w:rsidR="00647DFE">
        <w:rPr>
          <w:rFonts w:ascii="Trebuchet MS" w:hAnsi="Trebuchet MS"/>
        </w:rPr>
        <w:t xml:space="preserve"> under one thousand dollars</w:t>
      </w:r>
      <w:r w:rsidR="003D0555">
        <w:rPr>
          <w:rFonts w:ascii="Trebuchet MS" w:hAnsi="Trebuchet MS"/>
        </w:rPr>
        <w:t xml:space="preserve">. The resulting output not only facilitates \textit{de novo} assembly </w:t>
      </w:r>
      <w:r w:rsidR="00EB78BA">
        <w:rPr>
          <w:rFonts w:ascii="Trebuchet MS" w:hAnsi="Trebuchet MS"/>
        </w:rPr>
        <w:t xml:space="preserve">\cite{} </w:t>
      </w:r>
      <w:r w:rsidR="003D0555">
        <w:rPr>
          <w:rFonts w:ascii="Trebuchet MS" w:hAnsi="Trebuchet MS"/>
        </w:rPr>
        <w:t xml:space="preserve">but also enables </w:t>
      </w:r>
      <w:r w:rsidR="00624B37">
        <w:rPr>
          <w:rFonts w:ascii="Trebuchet MS" w:hAnsi="Trebuchet MS"/>
        </w:rPr>
        <w:t xml:space="preserve">detection of </w:t>
      </w:r>
      <w:r w:rsidR="003D0555">
        <w:rPr>
          <w:rFonts w:ascii="Trebuchet MS" w:hAnsi="Trebuchet MS"/>
        </w:rPr>
        <w:t>haplotype phased</w:t>
      </w:r>
      <w:r w:rsidR="00624B37">
        <w:rPr>
          <w:rFonts w:ascii="Trebuchet MS" w:hAnsi="Trebuchet MS"/>
        </w:rPr>
        <w:t xml:space="preserve"> \cite{} </w:t>
      </w:r>
      <w:r w:rsidR="003D0555">
        <w:rPr>
          <w:rFonts w:ascii="Trebuchet MS" w:hAnsi="Trebuchet MS"/>
        </w:rPr>
        <w:t>germline mutation</w:t>
      </w:r>
      <w:r w:rsidR="00624B37">
        <w:rPr>
          <w:rFonts w:ascii="Trebuchet MS" w:hAnsi="Trebuchet MS"/>
        </w:rPr>
        <w:t xml:space="preserve"> \cite{}</w:t>
      </w:r>
      <w:r w:rsidR="003D0555">
        <w:rPr>
          <w:rFonts w:ascii="Trebuchet MS" w:hAnsi="Trebuchet MS"/>
        </w:rPr>
        <w:t xml:space="preserve"> and base modification</w:t>
      </w:r>
      <w:r w:rsidR="00624B37">
        <w:rPr>
          <w:rFonts w:ascii="Trebuchet MS" w:hAnsi="Trebuchet MS"/>
        </w:rPr>
        <w:t>s \cite{}.</w:t>
      </w:r>
      <w:r w:rsidR="003D0555">
        <w:rPr>
          <w:rFonts w:ascii="Trebuchet MS" w:hAnsi="Trebuchet MS"/>
        </w:rPr>
        <w:t xml:space="preserve"> </w:t>
      </w:r>
    </w:p>
    <w:p w14:paraId="524C4B50" w14:textId="77777777" w:rsidR="00EA7981" w:rsidRPr="00592CFF" w:rsidRDefault="00EA7981" w:rsidP="00FB3146">
      <w:pPr>
        <w:rPr>
          <w:rFonts w:ascii="Trebuchet MS" w:hAnsi="Trebuchet MS"/>
        </w:rPr>
      </w:pPr>
    </w:p>
    <w:p w14:paraId="290F3CE7" w14:textId="0E713D98" w:rsidR="00831633" w:rsidRPr="00592CFF" w:rsidRDefault="00831633" w:rsidP="00FB3146">
      <w:pPr>
        <w:rPr>
          <w:rFonts w:ascii="Trebuchet MS" w:hAnsi="Trebuchet MS"/>
          <w:b/>
          <w:bCs/>
        </w:rPr>
      </w:pPr>
      <w:r w:rsidRPr="00592CFF">
        <w:rPr>
          <w:rFonts w:ascii="Trebuchet MS" w:hAnsi="Trebuchet MS"/>
          <w:b/>
          <w:bCs/>
        </w:rPr>
        <w:t>\subsection{Long-read sequencing applications}</w:t>
      </w:r>
    </w:p>
    <w:p w14:paraId="0B415717" w14:textId="146CBC6A" w:rsidR="00A665BC" w:rsidRDefault="00A665BC" w:rsidP="00FB3146">
      <w:pPr>
        <w:rPr>
          <w:rFonts w:ascii="Trebuchet MS" w:hAnsi="Trebuchet MS"/>
        </w:rPr>
      </w:pPr>
    </w:p>
    <w:p w14:paraId="4476FECD" w14:textId="55453674" w:rsidR="00317888" w:rsidRDefault="004E1836" w:rsidP="00FB3146">
      <w:pPr>
        <w:rPr>
          <w:rFonts w:ascii="Trebuchet MS" w:hAnsi="Trebuchet MS"/>
        </w:rPr>
      </w:pPr>
      <w:r>
        <w:rPr>
          <w:rFonts w:ascii="Trebuchet MS" w:hAnsi="Trebuchet MS"/>
        </w:rPr>
        <w:t>The high error rate of CLR reads and lower sequence throughput relative to Illumina</w:t>
      </w:r>
      <w:r w:rsidR="006F66F1">
        <w:rPr>
          <w:rFonts w:ascii="Trebuchet MS" w:hAnsi="Trebuchet MS"/>
        </w:rPr>
        <w:t xml:space="preserve"> sequencing</w:t>
      </w:r>
      <w:r>
        <w:rPr>
          <w:rFonts w:ascii="Trebuchet MS" w:hAnsi="Trebuchet MS"/>
        </w:rPr>
        <w:t xml:space="preserve"> instruments initially limited the applications of CLR reads to </w:t>
      </w:r>
      <w:r w:rsidR="006F66F1">
        <w:rPr>
          <w:rFonts w:ascii="Trebuchet MS" w:hAnsi="Trebuchet MS"/>
        </w:rPr>
        <w:t xml:space="preserve">the </w:t>
      </w:r>
      <w:r>
        <w:rPr>
          <w:rFonts w:ascii="Trebuchet MS" w:hAnsi="Trebuchet MS"/>
        </w:rPr>
        <w:t xml:space="preserve">assembly of microbial genomes \cite{}, </w:t>
      </w:r>
      <w:r w:rsidR="006F66F1">
        <w:rPr>
          <w:rFonts w:ascii="Trebuchet MS" w:hAnsi="Trebuchet MS"/>
        </w:rPr>
        <w:t xml:space="preserve">targeted BAC clone sequencing to close gaps in the human reference genome </w:t>
      </w:r>
      <w:r w:rsidR="00FD0622" w:rsidRPr="00592CFF">
        <w:rPr>
          <w:rFonts w:ascii="Trebuchet MS" w:hAnsi="Trebuchet MS"/>
        </w:rPr>
        <w:t>\cite{Huddleston2014-rs}</w:t>
      </w:r>
      <w:r w:rsidR="00FD0622">
        <w:rPr>
          <w:rFonts w:ascii="Trebuchet MS" w:hAnsi="Trebuchet MS"/>
        </w:rPr>
        <w:t>,</w:t>
      </w:r>
      <w:r w:rsidR="006F66F1">
        <w:rPr>
          <w:rFonts w:ascii="Trebuchet MS" w:hAnsi="Trebuchet MS"/>
        </w:rPr>
        <w:t xml:space="preserve"> and nucleotide-resolution structural variation detection for rare genetic disease diagnostics \cite{} or the study of hidden genetic variations \cite{}. The </w:t>
      </w:r>
      <w:r w:rsidR="004268CB">
        <w:rPr>
          <w:rFonts w:ascii="Trebuchet MS" w:hAnsi="Trebuchet MS"/>
        </w:rPr>
        <w:t xml:space="preserve">introduction of the P6-C4 chemistry and PacBio RSII instrument resulted in a substantial increase in CLR read length and sequence </w:t>
      </w:r>
      <w:r w:rsidR="001104FE">
        <w:rPr>
          <w:rFonts w:ascii="Trebuchet MS" w:hAnsi="Trebuchet MS"/>
        </w:rPr>
        <w:t>throughput \cite{}</w:t>
      </w:r>
      <w:r w:rsidR="00317888">
        <w:rPr>
          <w:rFonts w:ascii="Trebuchet MS" w:hAnsi="Trebuchet MS"/>
        </w:rPr>
        <w:t>. This breakthrough has enabled the successfully assembly of larger and more repetitive mammalian genomes \cite{}, including those of great apes such as gorillas \cite{}, chimpanzees \cite{}, and orangutans \cite{}.</w:t>
      </w:r>
      <w:r w:rsidR="00F9321F">
        <w:rPr>
          <w:rFonts w:ascii="Trebuchet MS" w:hAnsi="Trebuchet MS"/>
        </w:rPr>
        <w:t xml:space="preserve"> CCS sequencing appears to be another advancement that allows us to explore the unexplored biological phenomenon. </w:t>
      </w:r>
    </w:p>
    <w:p w14:paraId="11BB56DC" w14:textId="77777777" w:rsidR="006E5B3C" w:rsidRPr="00592CFF" w:rsidRDefault="006E5B3C" w:rsidP="00FB3146">
      <w:pPr>
        <w:rPr>
          <w:rFonts w:ascii="Trebuchet MS" w:hAnsi="Trebuchet MS"/>
          <w:b/>
          <w:bCs/>
        </w:rPr>
      </w:pPr>
    </w:p>
    <w:p w14:paraId="6F5BA4B4" w14:textId="250E85DF" w:rsidR="00831633" w:rsidRPr="00592CFF" w:rsidRDefault="00831633" w:rsidP="00FB3146">
      <w:pPr>
        <w:rPr>
          <w:rFonts w:ascii="Trebuchet MS" w:hAnsi="Trebuchet MS"/>
          <w:b/>
          <w:bCs/>
        </w:rPr>
      </w:pPr>
      <w:r w:rsidRPr="00592CFF">
        <w:rPr>
          <w:rFonts w:ascii="Trebuchet MS" w:hAnsi="Trebuchet MS"/>
          <w:b/>
          <w:bCs/>
        </w:rPr>
        <w:t>\subsubsection{Genome assembly}</w:t>
      </w:r>
    </w:p>
    <w:p w14:paraId="39328837" w14:textId="3CB3F25D" w:rsidR="00831633" w:rsidRDefault="00831633" w:rsidP="00FB3146">
      <w:pPr>
        <w:rPr>
          <w:rFonts w:ascii="Trebuchet MS" w:hAnsi="Trebuchet MS"/>
          <w:b/>
          <w:bCs/>
        </w:rPr>
      </w:pPr>
    </w:p>
    <w:p w14:paraId="6AEB314E" w14:textId="77777777" w:rsidR="00AE3C83" w:rsidRPr="00592CFF" w:rsidRDefault="00AE3C83" w:rsidP="00AE3C83">
      <w:pPr>
        <w:rPr>
          <w:rFonts w:ascii="Trebuchet MS" w:hAnsi="Trebuchet MS"/>
          <w:b/>
          <w:bCs/>
          <w:lang w:val="en-US"/>
        </w:rPr>
      </w:pPr>
    </w:p>
    <w:p w14:paraId="647D843F" w14:textId="77777777" w:rsidR="00AE3C83" w:rsidRPr="00592CFF" w:rsidRDefault="00AE3C83" w:rsidP="00AE3C83">
      <w:pPr>
        <w:rPr>
          <w:rFonts w:ascii="Trebuchet MS" w:hAnsi="Trebuchet MS"/>
          <w:b/>
          <w:bCs/>
          <w:lang w:val="en-US"/>
        </w:rPr>
      </w:pPr>
    </w:p>
    <w:p w14:paraId="5914E263" w14:textId="2941AEED" w:rsidR="00AE3C83" w:rsidRPr="00AE3C83" w:rsidRDefault="00AE3C83" w:rsidP="00AE3C83">
      <w:pPr>
        <w:rPr>
          <w:rFonts w:ascii="Trebuchet MS" w:hAnsi="Trebuchet MS"/>
          <w:lang w:val="en-US"/>
        </w:rPr>
      </w:pPr>
      <w:r w:rsidRPr="00592CFF">
        <w:rPr>
          <w:rFonts w:ascii="Trebuchet MS" w:hAnsi="Trebuchet MS"/>
          <w:lang w:val="en-US"/>
        </w:rPr>
        <w:t xml:space="preserve">Genome assembly aims to 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113DCC34" w14:textId="77777777" w:rsidR="00AE3C83" w:rsidRPr="00592CFF" w:rsidRDefault="00AE3C83" w:rsidP="00AE3C83">
      <w:pPr>
        <w:rPr>
          <w:rFonts w:ascii="Trebuchet MS" w:hAnsi="Trebuchet MS"/>
          <w:b/>
          <w:bCs/>
          <w:lang w:val="en-US"/>
        </w:rPr>
      </w:pPr>
    </w:p>
    <w:p w14:paraId="0ACFB15F" w14:textId="77777777" w:rsidR="00AE3C83" w:rsidRPr="00592CFF" w:rsidRDefault="00AE3C83" w:rsidP="00AE3C83">
      <w:pPr>
        <w:rPr>
          <w:rFonts w:ascii="Trebuchet MS" w:hAnsi="Trebuchet MS"/>
          <w:lang w:val="en-US"/>
        </w:rPr>
      </w:pPr>
      <w:r w:rsidRPr="00592CFF">
        <w:rPr>
          <w:rFonts w:ascii="Trebuchet MS" w:hAnsi="Trebuchet MS"/>
          <w:lang w:val="en-US"/>
        </w:rPr>
        <w:t xml:space="preserve">The ability to determine the nucleotide composition of organisms at scale with ABI capillary sequencing platform initiated a race to determine the genome sequence 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length, genome assembly becomes a trivial problem. Repeats account for less than 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interchromosmal or intrachromosomal duplications with sequence identity greater than 99% \cite{}. Simple repeats such as short-tandem repeat (STR) expansions where dinucleotides or trinucleotides exist as tandem repeats. </w:t>
      </w:r>
    </w:p>
    <w:p w14:paraId="5CD4521E" w14:textId="77777777" w:rsidR="00AE3C83" w:rsidRPr="00592CFF" w:rsidRDefault="00AE3C83" w:rsidP="00AE3C83">
      <w:pPr>
        <w:rPr>
          <w:rFonts w:ascii="Trebuchet MS" w:hAnsi="Trebuchet MS"/>
          <w:lang w:val="en-US"/>
        </w:rPr>
      </w:pPr>
    </w:p>
    <w:p w14:paraId="585F231C" w14:textId="77777777" w:rsidR="00AE3C83" w:rsidRPr="00592CFF" w:rsidRDefault="00AE3C83" w:rsidP="00AE3C83">
      <w:pPr>
        <w:rPr>
          <w:rFonts w:ascii="Trebuchet MS" w:hAnsi="Trebuchet MS"/>
          <w:lang w:val="en-US"/>
        </w:rPr>
      </w:pPr>
      <w:r w:rsidRPr="00592CFF">
        <w:rPr>
          <w:rFonts w:ascii="Trebuchet MS" w:hAnsi="Trebuchet MS"/>
          <w:lang w:val="en-US"/>
        </w:rPr>
        <w:t>In addition, These repeats create false overlaps between reads and these false overlaps either leads to misassemblies such as collapsed haplotypes or to disconnected contigs\cite{}</w:t>
      </w:r>
    </w:p>
    <w:p w14:paraId="5E65ADB4" w14:textId="178E00E6" w:rsidR="00AE3C83" w:rsidRPr="00AE3C83" w:rsidRDefault="00AE3C83" w:rsidP="00FB3146">
      <w:pPr>
        <w:rPr>
          <w:rFonts w:ascii="Trebuchet MS" w:hAnsi="Trebuchet MS"/>
          <w:b/>
          <w:bCs/>
          <w:lang w:val="en-US"/>
        </w:rPr>
      </w:pPr>
    </w:p>
    <w:p w14:paraId="3DC535D2" w14:textId="77777777" w:rsidR="00AE3C83" w:rsidRPr="00592CFF" w:rsidRDefault="00AE3C83" w:rsidP="00FB3146">
      <w:pPr>
        <w:rPr>
          <w:rFonts w:ascii="Trebuchet MS" w:hAnsi="Trebuchet MS"/>
          <w:b/>
          <w:bCs/>
        </w:rPr>
      </w:pPr>
    </w:p>
    <w:p w14:paraId="5ACF7D7A" w14:textId="201A5B3F" w:rsidR="00D87657" w:rsidRDefault="006E5B3C" w:rsidP="006E5B3C">
      <w:pPr>
        <w:rPr>
          <w:rFonts w:ascii="Trebuchet MS" w:hAnsi="Trebuchet MS"/>
        </w:rPr>
      </w:pPr>
      <w:r w:rsidRPr="00592CFF">
        <w:rPr>
          <w:rFonts w:ascii="Trebuchet MS" w:hAnsi="Trebuchet MS"/>
        </w:rPr>
        <w:t>Genomes are peppered with repetitive sequences. These repetitive sequences, for example, account for approximately 50\% of the human genome</w:t>
      </w:r>
      <w:r w:rsidR="00F13078">
        <w:rPr>
          <w:rFonts w:ascii="Trebuchet MS" w:hAnsi="Trebuchet MS"/>
        </w:rPr>
        <w:t xml:space="preserve"> </w:t>
      </w:r>
      <w:r w:rsidRPr="00592CFF">
        <w:rPr>
          <w:rFonts w:ascii="Trebuchet MS" w:hAnsi="Trebuchet MS"/>
        </w:rPr>
        <w:t xml:space="preserve">\cite{Lander2001-du}. </w:t>
      </w:r>
      <w:r w:rsidR="00296872">
        <w:rPr>
          <w:rFonts w:ascii="Trebuchet MS" w:hAnsi="Trebuchet MS"/>
        </w:rPr>
        <w:t>Hence, t</w:t>
      </w:r>
      <w:r w:rsidRPr="00592CFF">
        <w:rPr>
          <w:rFonts w:ascii="Trebuchet MS" w:hAnsi="Trebuchet MS"/>
        </w:rPr>
        <w:t>he unique placement of a read in an assembly graph</w:t>
      </w:r>
      <w:r w:rsidR="00296872">
        <w:rPr>
          <w:rFonts w:ascii="Trebuchet MS" w:hAnsi="Trebuchet MS"/>
        </w:rPr>
        <w:t xml:space="preserve"> </w:t>
      </w:r>
      <w:r w:rsidRPr="00592CFF">
        <w:rPr>
          <w:rFonts w:ascii="Trebuchet MS" w:hAnsi="Trebuchet MS"/>
        </w:rPr>
        <w:t>requires read length to be longer than the repeat length such that unique sequences not found elsewhere in the genome flank the repetitive sequence in the read. Gaps and collapsed regions of the genome</w:t>
      </w:r>
      <w:r w:rsidR="00296872">
        <w:rPr>
          <w:rFonts w:ascii="Trebuchet MS" w:hAnsi="Trebuchet MS"/>
        </w:rPr>
        <w:t xml:space="preserve"> </w:t>
      </w:r>
      <w:r w:rsidRPr="00592CFF">
        <w:rPr>
          <w:rFonts w:ascii="Trebuchet MS" w:hAnsi="Trebuchet MS"/>
        </w:rPr>
        <w:t xml:space="preserve">often result from regions of the genome where the repeat length is longer than read length. </w:t>
      </w:r>
      <w:r w:rsidR="00D2317D">
        <w:rPr>
          <w:rFonts w:ascii="Trebuchet MS" w:hAnsi="Trebuchet MS"/>
        </w:rPr>
        <w:t xml:space="preserve">Except for segmental duplications </w:t>
      </w:r>
      <w:r w:rsidR="00D2317D" w:rsidRPr="00592CFF">
        <w:rPr>
          <w:rFonts w:ascii="Trebuchet MS" w:hAnsi="Trebuchet MS"/>
        </w:rPr>
        <w:t>\cite{Bailey2002-xn}</w:t>
      </w:r>
      <w:r w:rsidR="00D2317D">
        <w:rPr>
          <w:rFonts w:ascii="Trebuchet MS" w:hAnsi="Trebuchet MS"/>
        </w:rPr>
        <w:t xml:space="preserve">, higher order repeats in centromeres (HOR) </w:t>
      </w:r>
      <w:r w:rsidR="00D2317D" w:rsidRPr="00592CFF">
        <w:rPr>
          <w:rFonts w:ascii="Trebuchet MS" w:hAnsi="Trebuchet MS"/>
        </w:rPr>
        <w:t xml:space="preserve">\cite{Willard1985-bo} </w:t>
      </w:r>
      <w:r w:rsidR="00D2317D">
        <w:rPr>
          <w:rFonts w:ascii="Trebuchet MS" w:hAnsi="Trebuchet MS"/>
        </w:rPr>
        <w:t xml:space="preserve"> and palindromic sequences in sex chromosomes </w:t>
      </w:r>
      <w:r w:rsidR="00D2317D" w:rsidRPr="00592CFF">
        <w:rPr>
          <w:rFonts w:ascii="Trebuchet MS" w:hAnsi="Trebuchet MS"/>
        </w:rPr>
        <w:t>\cite{Skaletsky2003-sr}</w:t>
      </w:r>
      <w:r w:rsidR="00D2317D">
        <w:rPr>
          <w:rFonts w:ascii="Trebuchet MS" w:hAnsi="Trebuchet MS"/>
        </w:rPr>
        <w:t>, long reads from the SMRT platform are able to span the most commonly occurring repeats such as $\sim$300 bp short interspersed nuclear element (SINE) and $\sim$5000 bp long interspersed nuclear element (LINE) \cite{}</w:t>
      </w:r>
      <w:r w:rsidR="00FE5701">
        <w:rPr>
          <w:rFonts w:ascii="Trebuchet MS" w:hAnsi="Trebuchet MS"/>
        </w:rPr>
        <w:t xml:space="preserve">. Hence, long reads can be unambiguously aligned to the reference genome and </w:t>
      </w:r>
      <w:r w:rsidR="00D87657">
        <w:rPr>
          <w:rFonts w:ascii="Trebuchet MS" w:hAnsi="Trebuchet MS"/>
        </w:rPr>
        <w:t xml:space="preserve">can be used to resolve repeat-induced false overlaps in the assembly graph. </w:t>
      </w:r>
    </w:p>
    <w:p w14:paraId="53DD262E" w14:textId="77777777" w:rsidR="00D2317D" w:rsidRPr="00592CFF" w:rsidRDefault="00D2317D" w:rsidP="006E5B3C">
      <w:pPr>
        <w:rPr>
          <w:rFonts w:ascii="Trebuchet MS" w:hAnsi="Trebuchet MS"/>
        </w:rPr>
      </w:pPr>
    </w:p>
    <w:p w14:paraId="59DADC96" w14:textId="36F296F8" w:rsidR="00ED08E8" w:rsidRDefault="006E5B3C" w:rsidP="00ED08E8">
      <w:pPr>
        <w:rPr>
          <w:rFonts w:ascii="Trebuchet MS" w:hAnsi="Trebuchet MS"/>
        </w:rPr>
      </w:pPr>
      <w:r w:rsidRPr="00592CFF">
        <w:rPr>
          <w:rFonts w:ascii="Trebuchet MS" w:hAnsi="Trebuchet MS"/>
        </w:rPr>
        <w:lastRenderedPageBreak/>
        <w:t>A new generation of assembly algorithms based on de Brujin graph</w:t>
      </w:r>
      <w:r w:rsidR="00D2317D">
        <w:rPr>
          <w:rFonts w:ascii="Trebuchet MS" w:hAnsi="Trebuchet MS"/>
        </w:rPr>
        <w:t xml:space="preserve"> </w:t>
      </w:r>
      <w:r w:rsidRPr="00592CFF">
        <w:rPr>
          <w:rFonts w:ascii="Trebuchet MS" w:hAnsi="Trebuchet MS"/>
        </w:rPr>
        <w:t>\cite{Lin2016-vl}, string graph</w:t>
      </w:r>
      <w:r w:rsidR="00D2317D">
        <w:rPr>
          <w:rFonts w:ascii="Trebuchet MS" w:hAnsi="Trebuchet MS"/>
        </w:rPr>
        <w:t xml:space="preserve"> </w:t>
      </w:r>
      <w:r w:rsidRPr="00592CFF">
        <w:rPr>
          <w:rFonts w:ascii="Trebuchet MS" w:hAnsi="Trebuchet MS"/>
        </w:rPr>
        <w:t xml:space="preserve">\cite{Myers2005-ei, Chin2016-at} and </w:t>
      </w:r>
      <w:r w:rsidR="00617653">
        <w:rPr>
          <w:rFonts w:ascii="Trebuchet MS" w:hAnsi="Trebuchet MS"/>
        </w:rPr>
        <w:t xml:space="preserve">overlap layout consensus (OLC) </w:t>
      </w:r>
      <w:r w:rsidRPr="00592CFF">
        <w:rPr>
          <w:rFonts w:ascii="Trebuchet MS" w:hAnsi="Trebuchet MS"/>
        </w:rPr>
        <w:t>\cite{Koren2017-cq} were developed to leverage these long reads and enable end-to-end assembly of microbial genomes\cite{Bashir2012-cs, Chin2013-hp} and large mammalian genomes</w:t>
      </w:r>
      <w:r w:rsidR="00FD0622">
        <w:rPr>
          <w:rFonts w:ascii="Trebuchet MS" w:hAnsi="Trebuchet MS"/>
        </w:rPr>
        <w:t xml:space="preserve"> </w:t>
      </w:r>
      <w:r w:rsidRPr="00592CFF">
        <w:rPr>
          <w:rFonts w:ascii="Trebuchet MS" w:hAnsi="Trebuchet MS"/>
        </w:rPr>
        <w:t xml:space="preserve">\cite{Chin2016-at, Koren2017-cq}. </w:t>
      </w:r>
      <w:r w:rsidR="000C3A31">
        <w:rPr>
          <w:rFonts w:ascii="Trebuchet MS" w:hAnsi="Trebuchet MS"/>
        </w:rPr>
        <w:t>\textit{De novo} assembly algorithms perform all-against-all pairwise read alignments to identify overlaps between pairs of reads and the reliable overlaps are connected to produce contigs. The length of the overlap and the shared sequence identity between the overlap determines the reliability of the overlap.</w:t>
      </w:r>
      <w:r w:rsidR="00B95BF8">
        <w:rPr>
          <w:rFonts w:ascii="Trebuchet MS" w:hAnsi="Trebuchet MS"/>
        </w:rPr>
        <w:t xml:space="preserve"> A repeat-induced overlap is generated when a read, derived from a repeat sequence, aligns to another read with a similar repeat sequence. If these repeat-</w:t>
      </w:r>
      <w:r w:rsidR="0059261E">
        <w:rPr>
          <w:rFonts w:ascii="Trebuchet MS" w:hAnsi="Trebuchet MS"/>
        </w:rPr>
        <w:t>induced false</w:t>
      </w:r>
      <w:r w:rsidR="00C94CFE">
        <w:rPr>
          <w:rFonts w:ascii="Trebuchet MS" w:hAnsi="Trebuchet MS"/>
        </w:rPr>
        <w:t xml:space="preserve"> </w:t>
      </w:r>
      <w:r w:rsidR="00B95BF8">
        <w:rPr>
          <w:rFonts w:ascii="Trebuchet MS" w:hAnsi="Trebuchet MS"/>
        </w:rPr>
        <w:t xml:space="preserve">overlaps are left unresolved, </w:t>
      </w:r>
      <w:r w:rsidR="00E75E93">
        <w:rPr>
          <w:rFonts w:ascii="Trebuchet MS" w:hAnsi="Trebuchet MS"/>
        </w:rPr>
        <w:t xml:space="preserve">fragmented </w:t>
      </w:r>
      <w:r w:rsidR="00C94CFE">
        <w:rPr>
          <w:rFonts w:ascii="Trebuchet MS" w:hAnsi="Trebuchet MS"/>
        </w:rPr>
        <w:t>contigs</w:t>
      </w:r>
      <w:r w:rsidR="00E75E93">
        <w:rPr>
          <w:rFonts w:ascii="Trebuchet MS" w:hAnsi="Trebuchet MS"/>
        </w:rPr>
        <w:t xml:space="preserve"> are generated </w:t>
      </w:r>
      <w:r w:rsidR="00C94CFE">
        <w:rPr>
          <w:rFonts w:ascii="Trebuchet MS" w:hAnsi="Trebuchet MS"/>
        </w:rPr>
        <w:t>from the</w:t>
      </w:r>
      <w:r w:rsidR="00E75E93">
        <w:rPr>
          <w:rFonts w:ascii="Trebuchet MS" w:hAnsi="Trebuchet MS"/>
        </w:rPr>
        <w:t xml:space="preserve"> assembly graph.</w:t>
      </w:r>
      <w:r w:rsidR="00C94CFE">
        <w:rPr>
          <w:rFonts w:ascii="Trebuchet MS" w:hAnsi="Trebuchet MS"/>
        </w:rPr>
        <w:t xml:space="preserve"> As long reads often have unique sequenc</w:t>
      </w:r>
      <w:r w:rsidR="00EE4708">
        <w:rPr>
          <w:rFonts w:ascii="Trebuchet MS" w:hAnsi="Trebuchet MS"/>
        </w:rPr>
        <w:t xml:space="preserve">es </w:t>
      </w:r>
      <w:r w:rsidR="00C94CFE">
        <w:rPr>
          <w:rFonts w:ascii="Trebuchet MS" w:hAnsi="Trebuchet MS"/>
        </w:rPr>
        <w:t>flanking the repeat</w:t>
      </w:r>
      <w:r w:rsidR="00EE4708">
        <w:rPr>
          <w:rFonts w:ascii="Trebuchet MS" w:hAnsi="Trebuchet MS"/>
        </w:rPr>
        <w:t xml:space="preserve"> sequence, repeat-induced overlaps that could not be resolved with short reads</w:t>
      </w:r>
      <w:r w:rsidR="004C577E">
        <w:rPr>
          <w:rFonts w:ascii="Trebuchet MS" w:hAnsi="Trebuchet MS"/>
        </w:rPr>
        <w:t xml:space="preserve"> can be easily unentangled with long reads, enabling the generation of chromosome-arm level contigs \cite{}. </w:t>
      </w:r>
      <w:r w:rsidR="00152FD5">
        <w:rPr>
          <w:rFonts w:ascii="Trebuchet MS" w:hAnsi="Trebuchet MS"/>
        </w:rPr>
        <w:t>CCS</w:t>
      </w:r>
      <w:r w:rsidR="00DE0E03">
        <w:rPr>
          <w:rFonts w:ascii="Trebuchet MS" w:hAnsi="Trebuchet MS"/>
        </w:rPr>
        <w:t xml:space="preserve"> reads</w:t>
      </w:r>
      <w:r w:rsidR="00152FD5">
        <w:rPr>
          <w:rFonts w:ascii="Trebuchet MS" w:hAnsi="Trebuchet MS"/>
        </w:rPr>
        <w:t xml:space="preserve">, </w:t>
      </w:r>
      <w:r w:rsidR="00DE0E03">
        <w:rPr>
          <w:rFonts w:ascii="Trebuchet MS" w:hAnsi="Trebuchet MS"/>
        </w:rPr>
        <w:t xml:space="preserve">with </w:t>
      </w:r>
      <w:r w:rsidR="00152FD5">
        <w:rPr>
          <w:rFonts w:ascii="Trebuchet MS" w:hAnsi="Trebuchet MS"/>
        </w:rPr>
        <w:t xml:space="preserve">their </w:t>
      </w:r>
      <w:r w:rsidR="00DE0E03">
        <w:rPr>
          <w:rFonts w:ascii="Trebuchet MS" w:hAnsi="Trebuchet MS"/>
        </w:rPr>
        <w:t xml:space="preserve">higher base </w:t>
      </w:r>
      <w:r w:rsidR="00152FD5">
        <w:rPr>
          <w:rFonts w:ascii="Trebuchet MS" w:hAnsi="Trebuchet MS"/>
        </w:rPr>
        <w:t xml:space="preserve">accuracy, excel at distinguishing more recently diverged repeats \cite{}. </w:t>
      </w:r>
      <w:r w:rsidR="001618DF">
        <w:rPr>
          <w:rFonts w:ascii="Trebuchet MS" w:hAnsi="Trebuchet MS"/>
        </w:rPr>
        <w:t>Long reads can also unravel divergences in the assembly graph, often referred to as a bubble, resulting from structural differences between the two haplotypes and produce haplotype phased contigs (haplotigs) \cite{}.</w:t>
      </w:r>
      <w:r w:rsidR="00B64A0C" w:rsidRPr="00B64A0C">
        <w:rPr>
          <w:rFonts w:ascii="Trebuchet MS" w:hAnsi="Trebuchet MS"/>
        </w:rPr>
        <w:t xml:space="preserve"> </w:t>
      </w:r>
      <w:r w:rsidR="00ED08E8">
        <w:rPr>
          <w:rFonts w:ascii="Trebuchet MS" w:hAnsi="Trebuchet MS"/>
        </w:rPr>
        <w:t xml:space="preserve">As a result, the contigs produced from long reads have unparalleled completeness and contiguity compared to that produced from short reads \cite{}. </w:t>
      </w:r>
    </w:p>
    <w:p w14:paraId="7E65547E" w14:textId="3C4D52D7" w:rsidR="00ED08E8" w:rsidRDefault="00ED08E8" w:rsidP="00B64A0C">
      <w:pPr>
        <w:rPr>
          <w:rFonts w:ascii="Trebuchet MS" w:hAnsi="Trebuchet MS"/>
        </w:rPr>
      </w:pPr>
    </w:p>
    <w:p w14:paraId="32A14B55" w14:textId="77777777" w:rsidR="00ED08E8" w:rsidRDefault="00ED08E8" w:rsidP="00B64A0C">
      <w:pPr>
        <w:rPr>
          <w:rFonts w:ascii="Trebuchet MS" w:hAnsi="Trebuchet MS"/>
        </w:rPr>
      </w:pPr>
    </w:p>
    <w:p w14:paraId="6E781C89" w14:textId="10A82DB0" w:rsidR="00ED08E8" w:rsidRDefault="00ED08E8" w:rsidP="00B64A0C">
      <w:pPr>
        <w:rPr>
          <w:rFonts w:ascii="Trebuchet MS" w:hAnsi="Trebuchet MS"/>
        </w:rPr>
      </w:pPr>
      <w:r w:rsidRPr="00592CFF">
        <w:rPr>
          <w:rFonts w:ascii="Trebuchet MS" w:hAnsi="Trebuchet MS"/>
        </w:rPr>
        <w:t>Trio-sequencing\cite{Koren2018-wg} and single-cell strand sequencing data\cite{Porubsky2021-ct} have also been used to also construct haplotype-resolved assemblies.</w:t>
      </w:r>
    </w:p>
    <w:p w14:paraId="22A4DF31" w14:textId="20FEE8D0" w:rsidR="00DE0E03" w:rsidRDefault="00DE0E03" w:rsidP="006E5B3C">
      <w:pPr>
        <w:rPr>
          <w:rFonts w:ascii="Trebuchet MS" w:hAnsi="Trebuchet MS"/>
        </w:rPr>
      </w:pPr>
    </w:p>
    <w:p w14:paraId="6E7D2CC9" w14:textId="6622FA87" w:rsidR="00ED08E8" w:rsidRDefault="00ED08E8" w:rsidP="006E5B3C">
      <w:pPr>
        <w:rPr>
          <w:rFonts w:ascii="Trebuchet MS" w:hAnsi="Trebuchet MS"/>
        </w:rPr>
      </w:pPr>
      <w:r>
        <w:rPr>
          <w:rFonts w:ascii="Trebuchet MS" w:hAnsi="Trebuchet MS"/>
        </w:rPr>
        <w:t xml:space="preserve">These new assembly algorithms have been leveraged to complete reference genomes , to improve or replace exisiting assemblies </w:t>
      </w:r>
    </w:p>
    <w:p w14:paraId="480594D6" w14:textId="77777777" w:rsidR="00ED08E8" w:rsidRDefault="00ED08E8" w:rsidP="006E5B3C">
      <w:pPr>
        <w:rPr>
          <w:rFonts w:ascii="Trebuchet MS" w:hAnsi="Trebuchet MS"/>
        </w:rPr>
      </w:pPr>
    </w:p>
    <w:p w14:paraId="42A49215" w14:textId="47286532" w:rsidR="00B64A0C" w:rsidRDefault="006E5B3C" w:rsidP="006E5B3C">
      <w:pPr>
        <w:rPr>
          <w:rFonts w:ascii="Trebuchet MS" w:hAnsi="Trebuchet MS"/>
        </w:rPr>
      </w:pPr>
      <w:r w:rsidRPr="00592CFF">
        <w:rPr>
          <w:rFonts w:ascii="Trebuchet MS" w:hAnsi="Trebuchet MS"/>
        </w:rPr>
        <w:t xml:space="preserve">Complete hydatidiform mole (CHM) 1 BAC clones, for example, were selected for hierarchical shotgun sequencing to close existing gaps in the human reference genome \cite{Huddleston2014-rs}. </w:t>
      </w:r>
    </w:p>
    <w:p w14:paraId="239B4F47" w14:textId="77777777" w:rsidR="00B64A0C" w:rsidRDefault="00B64A0C" w:rsidP="006E5B3C">
      <w:pPr>
        <w:rPr>
          <w:rFonts w:ascii="Trebuchet MS" w:hAnsi="Trebuchet MS"/>
        </w:rPr>
      </w:pPr>
    </w:p>
    <w:p w14:paraId="780E08E6" w14:textId="2EB74B0C" w:rsidR="00ED08E8" w:rsidRDefault="006E5B3C" w:rsidP="006E5B3C">
      <w:pPr>
        <w:rPr>
          <w:rFonts w:ascii="Trebuchet MS" w:hAnsi="Trebuchet MS"/>
        </w:rPr>
      </w:pPr>
      <w:r w:rsidRPr="00592CFF">
        <w:rPr>
          <w:rFonts w:ascii="Trebuchet MS" w:hAnsi="Trebuchet MS"/>
        </w:rPr>
        <w:t xml:space="preserve">In addition, misassembles can be corrected, and contigs can be ordered and oriented into scaffolds using optical genome maps from Bionano Genomics \cite{Pendleton2015-ue}. Chromosome-length scaffold construction, more importantly, has become routine through Hi-C scaffolding\cite{Dudchenko2017-kb} and the ability to visualise\cite{Robinson2018-os} and manually inspect Hi-C contact matrix for assembly curation\cite{Dudchenko2018-yl}. </w:t>
      </w:r>
    </w:p>
    <w:p w14:paraId="21C03A19" w14:textId="77777777" w:rsidR="00ED08E8" w:rsidRDefault="00ED08E8" w:rsidP="006E5B3C">
      <w:pPr>
        <w:rPr>
          <w:rFonts w:ascii="Trebuchet MS" w:hAnsi="Trebuchet MS"/>
        </w:rPr>
      </w:pPr>
    </w:p>
    <w:p w14:paraId="67226C3F" w14:textId="77777777" w:rsidR="00ED08E8" w:rsidRDefault="00ED08E8" w:rsidP="006E5B3C">
      <w:pPr>
        <w:rPr>
          <w:rFonts w:ascii="Trebuchet MS" w:hAnsi="Trebuchet MS"/>
        </w:rPr>
      </w:pPr>
    </w:p>
    <w:p w14:paraId="61997AA9" w14:textId="3200E372" w:rsidR="006E5B3C" w:rsidRPr="00592CFF" w:rsidRDefault="006E5B3C" w:rsidP="006E5B3C">
      <w:pPr>
        <w:rPr>
          <w:rFonts w:ascii="Trebuchet MS" w:hAnsi="Trebuchet MS"/>
        </w:rPr>
      </w:pPr>
      <w:r w:rsidRPr="00592CFF">
        <w:rPr>
          <w:rFonts w:ascii="Trebuchet MS" w:hAnsi="Trebuchet MS"/>
        </w:rPr>
        <w:t xml:space="preserve"> These chromosome-length scaffold, most importantly, are often comparable or better than existing reference genomes in both contiguity and completeness \cite{Matthews2018-tv}. </w:t>
      </w:r>
    </w:p>
    <w:p w14:paraId="58037DBC" w14:textId="77777777" w:rsidR="006E5B3C" w:rsidRPr="00592CFF" w:rsidRDefault="006E5B3C" w:rsidP="006E5B3C">
      <w:pPr>
        <w:rPr>
          <w:rFonts w:ascii="Trebuchet MS" w:hAnsi="Trebuchet MS"/>
        </w:rPr>
      </w:pPr>
    </w:p>
    <w:p w14:paraId="18FB750F" w14:textId="77777777" w:rsidR="006E5B3C" w:rsidRPr="00592CFF" w:rsidRDefault="006E5B3C" w:rsidP="006E5B3C">
      <w:pPr>
        <w:rPr>
          <w:rFonts w:ascii="Trebuchet MS" w:hAnsi="Trebuchet MS"/>
        </w:rPr>
      </w:pPr>
      <w:r w:rsidRPr="00592CFF">
        <w:rPr>
          <w:rFonts w:ascii="Trebuchet MS" w:hAnsi="Trebuchet MS"/>
        </w:rPr>
        <w:t xml:space="preserve">Ultra-long read library preparation from ONT and CCS library preparation from PacBio were two additional breakthroughs that transformed how \textit{de novo} assembly is performed today. Ultra-long reads (&gt;100kb) have been particularly </w:t>
      </w:r>
      <w:r w:rsidRPr="00592CFF">
        <w:rPr>
          <w:rFonts w:ascii="Trebuchet MS" w:hAnsi="Trebuchet MS"/>
        </w:rPr>
        <w:lastRenderedPageBreak/>
        <w:t>useful for closing gaps\cite{Jain2018-zh}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megabases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\cite{Miga2014-uv}.</w:t>
      </w:r>
    </w:p>
    <w:p w14:paraId="01C6792D" w14:textId="77777777" w:rsidR="006E5B3C" w:rsidRPr="00592CFF" w:rsidRDefault="006E5B3C" w:rsidP="006E5B3C">
      <w:pPr>
        <w:rPr>
          <w:rFonts w:ascii="Trebuchet MS" w:hAnsi="Trebuchet MS"/>
        </w:rPr>
      </w:pPr>
    </w:p>
    <w:p w14:paraId="362353B8" w14:textId="77777777" w:rsidR="006E5B3C" w:rsidRPr="00592CFF" w:rsidRDefault="006E5B3C" w:rsidP="006E5B3C">
      <w:pPr>
        <w:rPr>
          <w:rFonts w:ascii="Trebuchet MS" w:hAnsi="Trebuchet MS"/>
        </w:rPr>
      </w:pPr>
      <w:r w:rsidRPr="00592CFF">
        <w:rPr>
          <w:rFonts w:ascii="Trebuchet MS" w:hAnsi="Trebuchet MS"/>
        </w:rPr>
        <w:t xml:space="preserve">CCS read length and accuracy have been leveraged to reduce computational complexity of all-to-all pairwise read alignments and shorten genome assembly time \cite{Chin_undated-ye}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\cite{Schneider2017-yo}. The completion of telomere-to-telomere (T2T) CHM13 (T2T-CHM13) genome, including the short arms of five acrocentric chromosomes and centromeric satellite array, has been the culmination of years of effort to produce gapless and error-free assemblies \cite{Nurk2022-dv}. These advancements allow us construct high-quality reference genomes for fraction of what it used to cost to build the human reference genome. The number of new plant and animal assemblies has burgeoned thanks to these developments \cite{}. </w:t>
      </w:r>
    </w:p>
    <w:p w14:paraId="0DA95F0F" w14:textId="2AC48587" w:rsidR="006E5B3C" w:rsidRPr="00592CFF" w:rsidRDefault="006E5B3C" w:rsidP="00FB3146">
      <w:pPr>
        <w:rPr>
          <w:rFonts w:ascii="Trebuchet MS" w:hAnsi="Trebuchet MS"/>
          <w:b/>
          <w:bCs/>
        </w:rPr>
      </w:pPr>
    </w:p>
    <w:p w14:paraId="50434690" w14:textId="77777777" w:rsidR="006E5B3C" w:rsidRPr="00592CFF" w:rsidRDefault="006E5B3C" w:rsidP="00FB3146">
      <w:pPr>
        <w:rPr>
          <w:rFonts w:ascii="Trebuchet MS" w:hAnsi="Trebuchet MS"/>
          <w:b/>
          <w:bCs/>
        </w:rPr>
      </w:pPr>
    </w:p>
    <w:p w14:paraId="4F8D954B" w14:textId="46BE8C14" w:rsidR="00831633" w:rsidRPr="00592CFF" w:rsidRDefault="00831633" w:rsidP="00FB3146">
      <w:pPr>
        <w:rPr>
          <w:rFonts w:ascii="Trebuchet MS" w:hAnsi="Trebuchet MS"/>
          <w:b/>
          <w:bCs/>
        </w:rPr>
      </w:pPr>
      <w:r w:rsidRPr="00592CFF">
        <w:rPr>
          <w:rFonts w:ascii="Trebuchet MS" w:hAnsi="Trebuchet MS"/>
          <w:b/>
          <w:bCs/>
        </w:rPr>
        <w:t>\subsubsection{Full-length transcript sequencing}</w:t>
      </w:r>
    </w:p>
    <w:p w14:paraId="7D889D31" w14:textId="795A302A" w:rsidR="00831633" w:rsidRPr="00592CFF" w:rsidRDefault="00831633" w:rsidP="00FB3146">
      <w:pPr>
        <w:rPr>
          <w:rFonts w:ascii="Trebuchet MS" w:hAnsi="Trebuchet MS"/>
          <w:b/>
          <w:bCs/>
        </w:rPr>
      </w:pPr>
    </w:p>
    <w:p w14:paraId="7A18BA9D" w14:textId="77777777" w:rsidR="00DA1AA1" w:rsidRDefault="006E5B3C" w:rsidP="006E5B3C">
      <w:pPr>
        <w:rPr>
          <w:rFonts w:ascii="Trebuchet MS" w:hAnsi="Trebuchet MS"/>
        </w:rPr>
      </w:pPr>
      <w:r w:rsidRPr="00592CFF">
        <w:rPr>
          <w:rFonts w:ascii="Trebuchet MS" w:hAnsi="Trebuchet MS"/>
        </w:rPr>
        <w:t xml:space="preserve">In contrast, to short-read sequencing that requires \textit{de novo} assembly of RNA reads to acquire full-length transcripts, long-read sequencing can be used to obtain full-length transcript without assembly. Long-read sequencing has been used to successfully identify new isoforms in tissues </w:t>
      </w:r>
      <w:r w:rsidR="00ED08E8">
        <w:rPr>
          <w:rFonts w:ascii="Trebuchet MS" w:hAnsi="Trebuchet MS"/>
        </w:rPr>
        <w:t xml:space="preserve">\cite{} </w:t>
      </w:r>
      <w:r w:rsidRPr="00592CFF">
        <w:rPr>
          <w:rFonts w:ascii="Trebuchet MS" w:hAnsi="Trebuchet MS"/>
        </w:rPr>
        <w:t>and novel gene fusions in cancers \cite{}.</w:t>
      </w:r>
    </w:p>
    <w:p w14:paraId="65F2E213" w14:textId="77777777" w:rsidR="00DA1AA1" w:rsidRDefault="00DA1AA1" w:rsidP="006E5B3C">
      <w:pPr>
        <w:rPr>
          <w:rFonts w:ascii="Trebuchet MS" w:hAnsi="Trebuchet MS"/>
        </w:rPr>
      </w:pPr>
    </w:p>
    <w:p w14:paraId="4AA58448" w14:textId="02722E38" w:rsidR="006E5B3C" w:rsidRPr="00592CFF" w:rsidRDefault="006E5B3C" w:rsidP="006E5B3C">
      <w:pPr>
        <w:rPr>
          <w:rFonts w:ascii="Trebuchet MS" w:hAnsi="Trebuchet MS"/>
        </w:rPr>
      </w:pPr>
      <w:r w:rsidRPr="00592CFF">
        <w:rPr>
          <w:rFonts w:ascii="Trebuchet MS" w:hAnsi="Trebuchet MS"/>
        </w:rPr>
        <w:t>Single-cell isoform-sequencing has also been used to find new isoform, to define the transcriptome atlas and to quantify the transcript in combination with single-cell RNA sequencing. In addition, these full-length transcripts has been successfully used for gene annotation of newly assembled genomes \cite{}.</w:t>
      </w:r>
    </w:p>
    <w:p w14:paraId="13F6AC54" w14:textId="40F2A13C" w:rsidR="006E5B3C" w:rsidRPr="00592CFF" w:rsidRDefault="006E5B3C" w:rsidP="00FB3146">
      <w:pPr>
        <w:rPr>
          <w:rFonts w:ascii="Trebuchet MS" w:hAnsi="Trebuchet MS"/>
          <w:b/>
          <w:bCs/>
        </w:rPr>
      </w:pPr>
    </w:p>
    <w:p w14:paraId="37204487" w14:textId="77777777" w:rsidR="006E5B3C" w:rsidRPr="00592CFF" w:rsidRDefault="006E5B3C" w:rsidP="00FB3146">
      <w:pPr>
        <w:rPr>
          <w:rFonts w:ascii="Trebuchet MS" w:hAnsi="Trebuchet MS"/>
          <w:b/>
          <w:bCs/>
        </w:rPr>
      </w:pPr>
    </w:p>
    <w:p w14:paraId="0FC325E2" w14:textId="77777777" w:rsidR="00831633" w:rsidRPr="00592CFF" w:rsidRDefault="00831633" w:rsidP="00831633">
      <w:pPr>
        <w:rPr>
          <w:rFonts w:ascii="Trebuchet MS" w:hAnsi="Trebuchet MS"/>
          <w:b/>
          <w:bCs/>
        </w:rPr>
      </w:pPr>
      <w:r w:rsidRPr="00592CFF">
        <w:rPr>
          <w:rFonts w:ascii="Trebuchet MS" w:hAnsi="Trebuchet MS"/>
          <w:b/>
          <w:bCs/>
        </w:rPr>
        <w:t>\subsubsection{Germline and somatic mutation detection}</w:t>
      </w:r>
    </w:p>
    <w:p w14:paraId="1F4F9FDF" w14:textId="7EEB253C" w:rsidR="00831633" w:rsidRPr="00592CFF" w:rsidRDefault="00831633" w:rsidP="00FB3146">
      <w:pPr>
        <w:rPr>
          <w:rFonts w:ascii="Trebuchet MS" w:hAnsi="Trebuchet MS"/>
          <w:b/>
          <w:bCs/>
        </w:rPr>
      </w:pPr>
    </w:p>
    <w:p w14:paraId="4A978B5D" w14:textId="37647AE2" w:rsidR="006E5B3C" w:rsidRPr="00592CFF" w:rsidRDefault="006E5B3C" w:rsidP="006E5B3C">
      <w:pPr>
        <w:rPr>
          <w:rFonts w:ascii="Trebuchet MS" w:hAnsi="Trebuchet MS"/>
          <w:lang w:val="en-US"/>
        </w:rPr>
      </w:pPr>
      <w:r w:rsidRPr="00592CFF">
        <w:rPr>
          <w:rFonts w:ascii="Trebuchet MS" w:hAnsi="Trebuchet MS"/>
        </w:rPr>
        <w:t xml:space="preserve">To date, </w:t>
      </w:r>
      <w:r w:rsidR="00DA1AA1">
        <w:rPr>
          <w:rFonts w:ascii="Trebuchet MS" w:hAnsi="Trebuchet MS"/>
        </w:rPr>
        <w:t xml:space="preserve">long </w:t>
      </w:r>
      <w:r w:rsidRPr="00592CFF">
        <w:rPr>
          <w:rFonts w:ascii="Trebuchet MS" w:hAnsi="Trebuchet MS"/>
        </w:rPr>
        <w:t xml:space="preserve">reads have been successfully used for germline SNP, small insertion and deletion\cite{} and structural variation detection \cite{}. The lower base accuracy and higher </w:t>
      </w:r>
      <w:r w:rsidRPr="00592CFF">
        <w:rPr>
          <w:rFonts w:ascii="Trebuchet MS" w:hAnsi="Trebuchet MS"/>
          <w:lang w:val="en-US"/>
        </w:rPr>
        <w:t xml:space="preserve">per base sequencing cost has limited the use </w:t>
      </w:r>
      <w:r w:rsidR="00764070">
        <w:rPr>
          <w:rFonts w:ascii="Trebuchet MS" w:hAnsi="Trebuchet MS"/>
          <w:lang w:val="en-US"/>
        </w:rPr>
        <w:t xml:space="preserve">of </w:t>
      </w:r>
      <w:r w:rsidRPr="00592CFF">
        <w:rPr>
          <w:rFonts w:ascii="Trebuchet MS" w:hAnsi="Trebuchet MS"/>
          <w:lang w:val="en-US"/>
        </w:rPr>
        <w:t xml:space="preserve">CLR reads for SNP and indel detection. </w:t>
      </w:r>
      <w:r w:rsidR="00764070">
        <w:rPr>
          <w:rFonts w:ascii="Trebuchet MS" w:hAnsi="Trebuchet MS"/>
          <w:lang w:val="en-US"/>
        </w:rPr>
        <w:t>However, t</w:t>
      </w:r>
      <w:r w:rsidRPr="00592CFF">
        <w:rPr>
          <w:rFonts w:ascii="Trebuchet MS" w:hAnsi="Trebuchet MS"/>
          <w:lang w:val="en-US"/>
        </w:rPr>
        <w:t>he longer read length</w:t>
      </w:r>
      <w:r w:rsidR="00764070">
        <w:rPr>
          <w:rFonts w:ascii="Trebuchet MS" w:hAnsi="Trebuchet MS"/>
          <w:lang w:val="en-US"/>
        </w:rPr>
        <w:t xml:space="preserve"> </w:t>
      </w:r>
      <w:r w:rsidRPr="00592CFF">
        <w:rPr>
          <w:rFonts w:ascii="Trebuchet MS" w:hAnsi="Trebuchet MS"/>
          <w:lang w:val="en-US"/>
        </w:rPr>
        <w:t>enabled access to regions of the genome</w:t>
      </w:r>
      <w:r w:rsidR="00FF59CA">
        <w:rPr>
          <w:rFonts w:ascii="Trebuchet MS" w:hAnsi="Trebuchet MS"/>
          <w:lang w:val="en-US"/>
        </w:rPr>
        <w:t xml:space="preserve"> previously </w:t>
      </w:r>
      <w:r w:rsidRPr="00592CFF">
        <w:rPr>
          <w:rFonts w:ascii="Trebuchet MS" w:hAnsi="Trebuchet MS"/>
          <w:lang w:val="en-US"/>
        </w:rPr>
        <w:t>inaccessible with short reads</w:t>
      </w:r>
      <w:r w:rsidR="00FF59CA">
        <w:rPr>
          <w:rFonts w:ascii="Trebuchet MS" w:hAnsi="Trebuchet MS"/>
          <w:lang w:val="en-US"/>
        </w:rPr>
        <w:t>,</w:t>
      </w:r>
      <w:r w:rsidRPr="00592CFF">
        <w:rPr>
          <w:rFonts w:ascii="Trebuchet MS" w:hAnsi="Trebuchet MS"/>
          <w:lang w:val="en-US"/>
        </w:rPr>
        <w:t xml:space="preserve"> and </w:t>
      </w:r>
      <w:r w:rsidR="00FF59CA">
        <w:rPr>
          <w:rFonts w:ascii="Trebuchet MS" w:hAnsi="Trebuchet MS"/>
          <w:lang w:val="en-US"/>
        </w:rPr>
        <w:t>successful</w:t>
      </w:r>
      <w:r w:rsidRPr="00592CFF">
        <w:rPr>
          <w:rFonts w:ascii="Trebuchet MS" w:hAnsi="Trebuchet MS"/>
          <w:lang w:val="en-US"/>
        </w:rPr>
        <w:t xml:space="preserve"> identification of pathogenic mutations in patients with rare diseases \cite{}.</w:t>
      </w:r>
    </w:p>
    <w:p w14:paraId="32CA4AA6" w14:textId="77777777" w:rsidR="006E5B3C" w:rsidRPr="00592CFF" w:rsidRDefault="006E5B3C" w:rsidP="006E5B3C">
      <w:pPr>
        <w:rPr>
          <w:rFonts w:ascii="Trebuchet MS" w:hAnsi="Trebuchet MS"/>
        </w:rPr>
      </w:pPr>
    </w:p>
    <w:p w14:paraId="7DB50B33" w14:textId="77777777" w:rsidR="006C26C7" w:rsidRDefault="006E5B3C" w:rsidP="006E5B3C">
      <w:pPr>
        <w:rPr>
          <w:rFonts w:ascii="Trebuchet MS" w:hAnsi="Trebuchet MS"/>
        </w:rPr>
      </w:pPr>
      <w:r w:rsidRPr="00592CFF">
        <w:rPr>
          <w:rFonts w:ascii="Trebuchet MS" w:hAnsi="Trebuchet MS"/>
        </w:rPr>
        <w:t xml:space="preserve">Structural variation detection with short reads relies on changes in sequence coverage for copy number variation (CNV) detection and identification of discordant read pairs with aberrant distance and orientation for breakpoint, translocation and inversion detection \cite{Alkan2011-dv}. In contrast, long reads enable </w:t>
      </w:r>
      <w:r w:rsidR="005835B0">
        <w:rPr>
          <w:rFonts w:ascii="Trebuchet MS" w:hAnsi="Trebuchet MS"/>
        </w:rPr>
        <w:t xml:space="preserve">nucleotide-resolution </w:t>
      </w:r>
      <w:r w:rsidRPr="00592CFF">
        <w:rPr>
          <w:rFonts w:ascii="Trebuchet MS" w:hAnsi="Trebuchet MS"/>
        </w:rPr>
        <w:t xml:space="preserve">structural variation detection through direct comparison of </w:t>
      </w:r>
      <w:r w:rsidR="0057353A">
        <w:rPr>
          <w:rFonts w:ascii="Trebuchet MS" w:hAnsi="Trebuchet MS"/>
        </w:rPr>
        <w:t xml:space="preserve">the </w:t>
      </w:r>
      <w:r w:rsidRPr="00592CFF">
        <w:rPr>
          <w:rFonts w:ascii="Trebuchet MS" w:hAnsi="Trebuchet MS"/>
        </w:rPr>
        <w:t>read and</w:t>
      </w:r>
      <w:r w:rsidR="00D73925">
        <w:rPr>
          <w:rFonts w:ascii="Trebuchet MS" w:hAnsi="Trebuchet MS"/>
        </w:rPr>
        <w:t xml:space="preserve"> the</w:t>
      </w:r>
      <w:r w:rsidRPr="00592CFF">
        <w:rPr>
          <w:rFonts w:ascii="Trebuchet MS" w:hAnsi="Trebuchet MS"/>
        </w:rPr>
        <w:t xml:space="preserve"> reference genome</w:t>
      </w:r>
      <w:r w:rsidR="006C26C7">
        <w:rPr>
          <w:rFonts w:ascii="Trebuchet MS" w:hAnsi="Trebuchet MS"/>
        </w:rPr>
        <w:t>.</w:t>
      </w:r>
    </w:p>
    <w:p w14:paraId="7638A8E3" w14:textId="77777777" w:rsidR="006C26C7" w:rsidRDefault="006C26C7" w:rsidP="006E5B3C">
      <w:pPr>
        <w:rPr>
          <w:rFonts w:ascii="Trebuchet MS" w:hAnsi="Trebuchet MS"/>
        </w:rPr>
      </w:pPr>
    </w:p>
    <w:p w14:paraId="72FE78BA" w14:textId="77777777" w:rsidR="006C26C7" w:rsidRDefault="006E5B3C" w:rsidP="006E5B3C">
      <w:pPr>
        <w:rPr>
          <w:rFonts w:ascii="Trebuchet MS" w:hAnsi="Trebuchet MS"/>
        </w:rPr>
      </w:pPr>
      <w:r w:rsidRPr="00592CFF">
        <w:rPr>
          <w:rFonts w:ascii="Trebuchet MS" w:hAnsi="Trebuchet MS"/>
        </w:rPr>
        <w:t xml:space="preserve"> and is also more sensitive towards short tandem repeat (STR) expansions, short interspersed nuclear element (SINE) and long interspersed nuclear elements (LINE) insertion detection \cite{Chaisson2015-zz, Sedlazeck2018-oh, Denti2022-ux}. </w:t>
      </w:r>
    </w:p>
    <w:p w14:paraId="3D6295EF" w14:textId="77777777" w:rsidR="006C26C7" w:rsidRDefault="006C26C7" w:rsidP="006E5B3C">
      <w:pPr>
        <w:rPr>
          <w:rFonts w:ascii="Trebuchet MS" w:hAnsi="Trebuchet MS"/>
        </w:rPr>
      </w:pPr>
    </w:p>
    <w:p w14:paraId="159E904F" w14:textId="45A09AE1" w:rsidR="006E5B3C" w:rsidRPr="00592CFF" w:rsidRDefault="006E5B3C" w:rsidP="006E5B3C">
      <w:pPr>
        <w:rPr>
          <w:rFonts w:ascii="Trebuchet MS" w:hAnsi="Trebuchet MS"/>
        </w:rPr>
      </w:pPr>
      <w:r w:rsidRPr="00592CFF">
        <w:rPr>
          <w:rFonts w:ascii="Trebuchet MS" w:hAnsi="Trebuchet MS"/>
        </w:rPr>
        <w:t xml:space="preserve">CHM1 CLR reads, for example, were also used to correct small misassembles in the reference genome and identify approximately 26,000 structural variations that were recalcitrant to detection using short reads \cite{Chaisson2015-zz};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translocation\cite{Weischenfeldt2013-tl} and conformational changes in three-dimensional genome configuration\cite{Spielmann2018-fm,}. In addition, complex structural rearrangements such as chromothripsis\cite{Stephens2011-gj, Korbel2013-to}, chromoplexy\cite{Baca2013-po} and templated insertions\cite{Yu2010-jr} are common oncogenic mechanisms. Repeat expansions and accompanied hypermethylation are common causes of neurological diseases\cite{Zhou2022-ci}. The severity of Parkinson’s disease, for example, is associated with repeat content and the size of the repeat expansion\cite{}.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disease\cite{}. </w:t>
      </w:r>
    </w:p>
    <w:p w14:paraId="7F12DD8B" w14:textId="77777777" w:rsidR="006E5B3C" w:rsidRPr="00592CFF" w:rsidRDefault="006E5B3C" w:rsidP="006E5B3C">
      <w:pPr>
        <w:rPr>
          <w:rFonts w:ascii="Trebuchet MS" w:hAnsi="Trebuchet MS"/>
        </w:rPr>
      </w:pPr>
    </w:p>
    <w:p w14:paraId="11CA1C34" w14:textId="77777777" w:rsidR="006E5B3C" w:rsidRPr="00592CFF" w:rsidRDefault="006E5B3C" w:rsidP="006E5B3C">
      <w:pPr>
        <w:rPr>
          <w:rFonts w:ascii="Trebuchet MS" w:hAnsi="Trebuchet MS"/>
          <w:lang w:val="en-US"/>
        </w:rPr>
      </w:pPr>
      <w:r w:rsidRPr="00592CFF">
        <w:rPr>
          <w:rFonts w:ascii="Trebuchet MS" w:hAnsi="Trebuchet MS"/>
        </w:rPr>
        <w:t xml:space="preserve">Despite the advantages that long-read sequencing technologies offers compared to short-read sequencing technologies for somatic structural rearrangement detection, the application of long-read sequencing technologies to somatic mutation detection has been limited to date. There has been a handful </w:t>
      </w:r>
      <w:r w:rsidRPr="00592CFF">
        <w:rPr>
          <w:rFonts w:ascii="Trebuchet MS" w:hAnsi="Trebuchet MS"/>
          <w:lang w:val="en-US"/>
        </w:rPr>
        <w:t>publications that interrogated somatic structural rearrangements in breast cancer cell lines with long reads \cite{}. Somatic mutation detection with long reads is at the stage where we are re-creating the capabilities provided by short-sequencing technology and is not at the stage where we are finding somatic mutations that cannot be detected with short-read sequencing technology.</w:t>
      </w:r>
    </w:p>
    <w:p w14:paraId="1E006B55" w14:textId="608C8D68" w:rsidR="006E5B3C" w:rsidRPr="00592CFF" w:rsidRDefault="006E5B3C" w:rsidP="00FB3146">
      <w:pPr>
        <w:rPr>
          <w:rFonts w:ascii="Trebuchet MS" w:hAnsi="Trebuchet MS"/>
          <w:b/>
          <w:bCs/>
          <w:lang w:val="en-US"/>
        </w:rPr>
      </w:pPr>
    </w:p>
    <w:p w14:paraId="0B19B596" w14:textId="77777777" w:rsidR="006E5B3C" w:rsidRPr="00592CFF" w:rsidRDefault="006E5B3C" w:rsidP="00FB3146">
      <w:pPr>
        <w:rPr>
          <w:rFonts w:ascii="Trebuchet MS" w:hAnsi="Trebuchet MS"/>
          <w:b/>
          <w:bCs/>
        </w:rPr>
      </w:pPr>
    </w:p>
    <w:p w14:paraId="015A2F69" w14:textId="3456A052" w:rsidR="00707F1B" w:rsidRPr="00592CFF" w:rsidRDefault="00831633" w:rsidP="00FB3146">
      <w:pPr>
        <w:rPr>
          <w:rFonts w:ascii="Trebuchet MS" w:hAnsi="Trebuchet MS"/>
          <w:b/>
          <w:bCs/>
        </w:rPr>
      </w:pPr>
      <w:r w:rsidRPr="00592CFF">
        <w:rPr>
          <w:rFonts w:ascii="Trebuchet MS" w:hAnsi="Trebuchet MS"/>
          <w:b/>
          <w:bCs/>
        </w:rPr>
        <w:t>\section{Tree of Life}</w:t>
      </w:r>
    </w:p>
    <w:p w14:paraId="42D154A3" w14:textId="3BD4E196" w:rsidR="00831633" w:rsidRPr="00592CFF" w:rsidRDefault="00831633" w:rsidP="00FB3146">
      <w:pPr>
        <w:rPr>
          <w:rFonts w:ascii="Trebuchet MS" w:hAnsi="Trebuchet MS"/>
          <w:b/>
          <w:bCs/>
        </w:rPr>
      </w:pPr>
    </w:p>
    <w:p w14:paraId="70DF04BE" w14:textId="21909446" w:rsidR="00831633" w:rsidRPr="00592CFF" w:rsidRDefault="00831633" w:rsidP="00FB3146">
      <w:pPr>
        <w:rPr>
          <w:rFonts w:ascii="Trebuchet MS" w:hAnsi="Trebuchet MS"/>
          <w:b/>
          <w:bCs/>
        </w:rPr>
      </w:pPr>
      <w:r w:rsidRPr="00592CFF">
        <w:rPr>
          <w:rFonts w:ascii="Trebuchet MS" w:hAnsi="Trebuchet MS"/>
          <w:b/>
          <w:bCs/>
        </w:rPr>
        <w:t>\subsection{Peto’s paradox}</w:t>
      </w:r>
    </w:p>
    <w:p w14:paraId="39B66B6F" w14:textId="77777777" w:rsidR="00831633" w:rsidRPr="00592CFF" w:rsidRDefault="00831633" w:rsidP="00FB3146">
      <w:pPr>
        <w:rPr>
          <w:rFonts w:ascii="Trebuchet MS" w:hAnsi="Trebuchet MS"/>
          <w:b/>
          <w:bCs/>
        </w:rPr>
      </w:pPr>
    </w:p>
    <w:p w14:paraId="774005EA" w14:textId="57EA6A44" w:rsidR="00831633" w:rsidRPr="00592CFF" w:rsidRDefault="00831633" w:rsidP="00FB3146">
      <w:pPr>
        <w:rPr>
          <w:rFonts w:ascii="Trebuchet MS" w:hAnsi="Trebuchet MS"/>
          <w:b/>
          <w:bCs/>
        </w:rPr>
      </w:pPr>
      <w:r w:rsidRPr="00592CFF">
        <w:rPr>
          <w:rFonts w:ascii="Trebuchet MS" w:hAnsi="Trebuchet MS"/>
          <w:b/>
          <w:bCs/>
        </w:rPr>
        <w:t>\subsection{Darwin Tree of Life project}</w:t>
      </w:r>
    </w:p>
    <w:p w14:paraId="240E91A3" w14:textId="7362590D" w:rsidR="00831633" w:rsidRPr="00592CFF" w:rsidRDefault="00831633" w:rsidP="00FB3146">
      <w:pPr>
        <w:rPr>
          <w:rFonts w:ascii="Trebuchet MS" w:hAnsi="Trebuchet MS"/>
          <w:b/>
          <w:bCs/>
        </w:rPr>
      </w:pPr>
    </w:p>
    <w:p w14:paraId="1D33803A" w14:textId="77777777" w:rsidR="001A371E" w:rsidRPr="00592CFF" w:rsidRDefault="001A371E" w:rsidP="001A371E">
      <w:pPr>
        <w:rPr>
          <w:rFonts w:ascii="Trebuchet MS" w:hAnsi="Trebuchet MS"/>
          <w:lang w:val="en-US"/>
        </w:rPr>
      </w:pPr>
    </w:p>
    <w:p w14:paraId="5BCB04EA" w14:textId="77777777" w:rsidR="001A371E" w:rsidRPr="00592CFF" w:rsidRDefault="001A371E" w:rsidP="001A371E">
      <w:pPr>
        <w:rPr>
          <w:rFonts w:ascii="Trebuchet MS" w:hAnsi="Trebuchet MS"/>
        </w:rPr>
      </w:pPr>
      <w:r w:rsidRPr="00592CFF">
        <w:rPr>
          <w:rFonts w:ascii="Trebuchet MS" w:hAnsi="Trebuchet MS"/>
        </w:rPr>
        <w:t xml:space="preserve">The advent of high-throughput long-read sequencing and genome mapping technologies \cite{}, improvements in base accuracy of long reads \cite{} and development of algorithms that take advantage of the longer read length and long-range genomic interactions \cite{} has brought new enthusiasm to sequence and assemble high-quality reference genomes \cite {}. </w:t>
      </w:r>
    </w:p>
    <w:p w14:paraId="168868AA" w14:textId="77777777" w:rsidR="001A371E" w:rsidRPr="00592CFF" w:rsidRDefault="001A371E" w:rsidP="001A371E">
      <w:pPr>
        <w:rPr>
          <w:rFonts w:ascii="Trebuchet MS" w:hAnsi="Trebuchet MS"/>
        </w:rPr>
      </w:pPr>
    </w:p>
    <w:p w14:paraId="0A240B91" w14:textId="77777777" w:rsidR="001A371E" w:rsidRPr="00592CFF" w:rsidRDefault="001A371E" w:rsidP="001A371E">
      <w:pPr>
        <w:rPr>
          <w:rFonts w:ascii="Trebuchet MS" w:hAnsi="Trebuchet MS"/>
        </w:rPr>
      </w:pPr>
      <w:r w:rsidRPr="00592CFF">
        <w:rPr>
          <w:rFonts w:ascii="Trebuchet MS" w:hAnsi="Trebuchet MS"/>
        </w:rPr>
        <w:t xml:space="preserve">The Darwin Tree of Life (DToL) project is an ambitious project that aspires to construct chromosome-length scaffolds for 70, 000 eukaryotic species in Britain and Ireland \cite{}. In parallel, other international consortiums has initiated projects with similar aspirations for insects \cite{}, vertebrates \cite{}, invertebrates \cite{} and all of life \cite{}. The DToL project, currently, uses CCS reads for contig generation, Hi-C reads to order and orient contigs, and Hi-C contact matrix to manually inspect and correct chromosome-length scaffolds. We would like to highlight that the DToL project regularly updates their primary sequencing and mapping technologies and assembly, purging and scaffolding algorithms to reflect the advancements in the field. At the time of writing, the DToL project has sequenced approximately 800 species, completed the assemblies of approximately 500 species, and raw data and reference genomes have been made available to the public \cite{}. </w:t>
      </w:r>
    </w:p>
    <w:p w14:paraId="23DC69EF" w14:textId="7B6D3EFA" w:rsidR="001A371E" w:rsidRDefault="001A371E" w:rsidP="001A371E">
      <w:pPr>
        <w:rPr>
          <w:rFonts w:ascii="Trebuchet MS" w:hAnsi="Trebuchet MS"/>
        </w:rPr>
      </w:pPr>
    </w:p>
    <w:p w14:paraId="30331849" w14:textId="360552F1" w:rsidR="00212433" w:rsidRDefault="00212433" w:rsidP="001A371E">
      <w:pPr>
        <w:rPr>
          <w:rFonts w:ascii="Trebuchet MS" w:hAnsi="Trebuchet MS"/>
          <w:b/>
          <w:bCs/>
        </w:rPr>
      </w:pPr>
      <w:r w:rsidRPr="00C473EA">
        <w:rPr>
          <w:rFonts w:ascii="Trebuchet MS" w:hAnsi="Trebuchet MS"/>
          <w:b/>
          <w:bCs/>
        </w:rPr>
        <w:t xml:space="preserve">\subsection{Somatic mutation detection </w:t>
      </w:r>
      <w:r w:rsidR="00C473EA" w:rsidRPr="00C473EA">
        <w:rPr>
          <w:rFonts w:ascii="Trebuchet MS" w:hAnsi="Trebuchet MS"/>
          <w:b/>
          <w:bCs/>
        </w:rPr>
        <w:t>in non-human samples</w:t>
      </w:r>
      <w:r w:rsidRPr="00C473EA">
        <w:rPr>
          <w:rFonts w:ascii="Trebuchet MS" w:hAnsi="Trebuchet MS"/>
          <w:b/>
          <w:bCs/>
        </w:rPr>
        <w:t>}</w:t>
      </w:r>
    </w:p>
    <w:p w14:paraId="054BC2F8" w14:textId="7BDDD867" w:rsidR="00C473EA" w:rsidRDefault="00C473EA" w:rsidP="001A371E">
      <w:pPr>
        <w:rPr>
          <w:rFonts w:ascii="Trebuchet MS" w:hAnsi="Trebuchet MS"/>
          <w:b/>
          <w:bCs/>
        </w:rPr>
      </w:pPr>
    </w:p>
    <w:p w14:paraId="08C3EC45" w14:textId="77777777" w:rsidR="00C473EA" w:rsidRPr="00C473EA" w:rsidRDefault="00C473EA" w:rsidP="001A371E">
      <w:pPr>
        <w:rPr>
          <w:rFonts w:ascii="Trebuchet MS" w:hAnsi="Trebuchet MS"/>
          <w:b/>
          <w:bCs/>
        </w:rPr>
      </w:pPr>
    </w:p>
    <w:p w14:paraId="5471291F" w14:textId="37D63819" w:rsidR="00831633" w:rsidRPr="00592CFF" w:rsidRDefault="005E3235" w:rsidP="00FB3146">
      <w:pPr>
        <w:rPr>
          <w:rFonts w:ascii="Trebuchet MS" w:hAnsi="Trebuchet MS"/>
          <w:b/>
          <w:bCs/>
        </w:rPr>
      </w:pPr>
      <w:r w:rsidRPr="00592CFF">
        <w:rPr>
          <w:rFonts w:ascii="Trebuchet MS" w:hAnsi="Trebuchet MS"/>
          <w:b/>
          <w:bCs/>
        </w:rPr>
        <w:t>\section{Thesis objectives}</w:t>
      </w:r>
    </w:p>
    <w:p w14:paraId="7DEA95E9" w14:textId="1527C251" w:rsidR="005E3235" w:rsidRDefault="005E3235" w:rsidP="005E3235">
      <w:pPr>
        <w:rPr>
          <w:rFonts w:ascii="Trebuchet MS" w:hAnsi="Trebuchet MS"/>
        </w:rPr>
      </w:pPr>
    </w:p>
    <w:p w14:paraId="315650E7" w14:textId="4FCB5AAF" w:rsidR="00106CC5" w:rsidRDefault="00106CC5" w:rsidP="005E3235">
      <w:pPr>
        <w:rPr>
          <w:rFonts w:ascii="Trebuchet MS" w:hAnsi="Trebuchet MS"/>
        </w:rPr>
      </w:pPr>
    </w:p>
    <w:p w14:paraId="4762C3EA" w14:textId="77777777" w:rsidR="00106CC5" w:rsidRPr="00631407" w:rsidRDefault="00106CC5" w:rsidP="005E3235">
      <w:pPr>
        <w:rPr>
          <w:rFonts w:ascii="Trebuchet MS" w:hAnsi="Trebuchet MS"/>
          <w:lang w:val="en-US"/>
        </w:rPr>
      </w:pPr>
    </w:p>
    <w:p w14:paraId="2B860AA6" w14:textId="77777777" w:rsidR="005E3235" w:rsidRPr="00592CFF" w:rsidRDefault="005E3235" w:rsidP="005E3235">
      <w:pPr>
        <w:rPr>
          <w:rFonts w:ascii="Trebuchet MS" w:hAnsi="Trebuchet MS"/>
        </w:rPr>
      </w:pPr>
      <w:r w:rsidRPr="00592CFF">
        <w:rPr>
          <w:rFonts w:ascii="Trebuchet MS" w:hAnsi="Trebuchet MS"/>
        </w:rPr>
        <w:t>To determine the germline and somatic mutational process across the Tree of Life, we considered the following:</w:t>
      </w:r>
    </w:p>
    <w:p w14:paraId="505357A6" w14:textId="77777777" w:rsidR="005E3235" w:rsidRPr="00592CFF" w:rsidRDefault="005E3235" w:rsidP="005E3235">
      <w:pPr>
        <w:rPr>
          <w:rFonts w:ascii="Trebuchet MS" w:hAnsi="Trebuchet MS"/>
        </w:rPr>
      </w:pPr>
    </w:p>
    <w:p w14:paraId="285650E0" w14:textId="77777777" w:rsidR="005E3235" w:rsidRPr="00592CFF" w:rsidRDefault="005E3235" w:rsidP="005E3235">
      <w:pPr>
        <w:rPr>
          <w:rFonts w:ascii="Trebuchet MS" w:hAnsi="Trebuchet MS"/>
        </w:rPr>
      </w:pPr>
      <w:r w:rsidRPr="00592CFF">
        <w:rPr>
          <w:rFonts w:ascii="Trebuchet MS" w:hAnsi="Trebuchet MS"/>
        </w:rPr>
        <w:t>\begin{enumerate}</w:t>
      </w:r>
    </w:p>
    <w:p w14:paraId="1269657D" w14:textId="77777777" w:rsidR="005E3235" w:rsidRPr="00592CFF" w:rsidRDefault="005E3235" w:rsidP="005E3235">
      <w:pPr>
        <w:ind w:firstLine="720"/>
        <w:rPr>
          <w:rFonts w:ascii="Trebuchet MS" w:hAnsi="Trebuchet MS"/>
        </w:rPr>
      </w:pPr>
      <w:r w:rsidRPr="00592CFF">
        <w:rPr>
          <w:rFonts w:ascii="Trebuchet MS" w:hAnsi="Trebuchet MS"/>
        </w:rPr>
        <w:t>\item Based on the similarities between the duplex \cite{} and CCS library sequencing \cite{}, we hypothesized that CCS reads might have sufficient base accuracy for ultra-rare somatic mutation and potentially single molecule somatic mutation detection.</w:t>
      </w:r>
    </w:p>
    <w:p w14:paraId="70672427" w14:textId="77777777" w:rsidR="005E3235" w:rsidRPr="00592CFF" w:rsidRDefault="005E3235" w:rsidP="005E3235">
      <w:pPr>
        <w:ind w:firstLine="720"/>
        <w:rPr>
          <w:rFonts w:ascii="Trebuchet MS" w:hAnsi="Trebuchet MS"/>
        </w:rPr>
      </w:pPr>
      <w:r w:rsidRPr="00592CFF">
        <w:rPr>
          <w:rFonts w:ascii="Trebuchet MS" w:hAnsi="Trebuchet MS"/>
        </w:rPr>
        <w:t xml:space="preserve">\item CCS reads are reported to have a predicted accuracy above Q20, but their base accuracies have not been independently examined. </w:t>
      </w:r>
    </w:p>
    <w:p w14:paraId="3FE2F1C4" w14:textId="77777777" w:rsidR="005E3235" w:rsidRPr="00592CFF" w:rsidRDefault="005E3235" w:rsidP="005E3235">
      <w:pPr>
        <w:ind w:firstLine="720"/>
        <w:rPr>
          <w:rFonts w:ascii="Trebuchet MS" w:hAnsi="Trebuchet MS"/>
        </w:rPr>
      </w:pPr>
      <w:r w:rsidRPr="00592CFF">
        <w:rPr>
          <w:rFonts w:ascii="Trebuchet MS" w:hAnsi="Trebuchet MS"/>
        </w:rPr>
        <w:t xml:space="preserve">\item Somatic mutation detection algorithm needs to distinguish somatic mutations from germline mutations, in addition to, sequencing, alignment and systematic bioinformatic errors. We, unfortunately, cannot differentiate somatic mutations from library errors unless there are upstream modifications to the library preparation protocol. </w:t>
      </w:r>
    </w:p>
    <w:p w14:paraId="0061C0F4" w14:textId="77777777" w:rsidR="005E3235" w:rsidRPr="00592CFF" w:rsidRDefault="005E3235" w:rsidP="005E3235">
      <w:pPr>
        <w:ind w:firstLine="720"/>
        <w:rPr>
          <w:rFonts w:ascii="Trebuchet MS" w:hAnsi="Trebuchet MS"/>
        </w:rPr>
      </w:pPr>
      <w:r w:rsidRPr="00592CFF">
        <w:rPr>
          <w:rFonts w:ascii="Trebuchet MS" w:hAnsi="Trebuchet MS"/>
        </w:rPr>
        <w:t>\item Using samples with single ongoing somatic mutational process and mutational signature analysis, we can demonstrate that CCS reads have sufficient or insufficient base accuracy for single molecule somatic mutation detection and determine the parameters that influence sensitivity and specificity.</w:t>
      </w:r>
    </w:p>
    <w:p w14:paraId="4133EE76" w14:textId="77777777" w:rsidR="005E3235" w:rsidRPr="00592CFF" w:rsidRDefault="005E3235" w:rsidP="005E3235">
      <w:pPr>
        <w:ind w:firstLine="720"/>
        <w:rPr>
          <w:rFonts w:ascii="Trebuchet MS" w:hAnsi="Trebuchet MS"/>
        </w:rPr>
      </w:pPr>
      <w:r w:rsidRPr="00592CFF">
        <w:rPr>
          <w:rFonts w:ascii="Trebuchet MS" w:hAnsi="Trebuchet MS"/>
        </w:rPr>
        <w:lastRenderedPageBreak/>
        <w:t xml:space="preserve">\item If the sample in question has either high mutation rate or high mutation burden, the expected and the correct mutational spectrum will be observable from the validation and test data sets, respectively. </w:t>
      </w:r>
    </w:p>
    <w:p w14:paraId="005009F3" w14:textId="77777777" w:rsidR="005E3235" w:rsidRPr="00592CFF" w:rsidRDefault="005E3235" w:rsidP="005E3235">
      <w:pPr>
        <w:rPr>
          <w:rFonts w:ascii="Trebuchet MS" w:hAnsi="Trebuchet MS"/>
        </w:rPr>
      </w:pPr>
      <w:r w:rsidRPr="00592CFF">
        <w:rPr>
          <w:rFonts w:ascii="Trebuchet MS" w:hAnsi="Trebuchet MS"/>
        </w:rPr>
        <w:t xml:space="preserve">\end{enumerate} </w:t>
      </w:r>
    </w:p>
    <w:p w14:paraId="199A726A" w14:textId="77777777" w:rsidR="005E3235" w:rsidRPr="00592CFF" w:rsidRDefault="005E3235" w:rsidP="005E3235">
      <w:pPr>
        <w:rPr>
          <w:rFonts w:ascii="Trebuchet MS" w:hAnsi="Trebuchet MS"/>
        </w:rPr>
      </w:pPr>
    </w:p>
    <w:p w14:paraId="55241CC2" w14:textId="77777777" w:rsidR="005E3235" w:rsidRPr="00592CFF" w:rsidRDefault="005E3235" w:rsidP="005E3235">
      <w:pPr>
        <w:rPr>
          <w:rFonts w:ascii="Trebuchet MS" w:hAnsi="Trebuchet MS"/>
          <w:lang w:val="en-US"/>
        </w:rPr>
      </w:pPr>
      <w:r w:rsidRPr="00592CFF">
        <w:rPr>
          <w:rFonts w:ascii="Trebuchet MS" w:hAnsi="Trebuchet MS"/>
        </w:rPr>
        <w:t xml:space="preserve">In short, we aimed to measure the CCS error rate, assess whether CCS bases have sufficient base accuracy for single molecule somatic mutation detection, develop a method to detect somatic mutations where a single read alignment supports the mismatch between the sample and the reference genome and apply the method to understand germline and somatic mutational processes across the Tree of Life. </w:t>
      </w:r>
    </w:p>
    <w:p w14:paraId="6580AE72" w14:textId="77777777" w:rsidR="00C107A3" w:rsidRPr="00592CFF" w:rsidRDefault="00C107A3" w:rsidP="00C107A3">
      <w:pPr>
        <w:rPr>
          <w:rFonts w:ascii="Trebuchet MS" w:hAnsi="Trebuchet MS"/>
          <w:b/>
          <w:bCs/>
          <w:lang w:val="en-US"/>
        </w:rPr>
      </w:pPr>
    </w:p>
    <w:p w14:paraId="5AFA67DB" w14:textId="77777777" w:rsidR="00DC0173" w:rsidRPr="00592CFF" w:rsidRDefault="00DC0173" w:rsidP="00B72BC2">
      <w:pPr>
        <w:rPr>
          <w:rFonts w:ascii="Trebuchet MS" w:hAnsi="Trebuchet MS"/>
          <w:lang w:val="en-US"/>
        </w:rPr>
      </w:pPr>
    </w:p>
    <w:sectPr w:rsidR="00DC0173" w:rsidRPr="00592CFF"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48A"/>
    <w:multiLevelType w:val="multilevel"/>
    <w:tmpl w:val="612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83AD3"/>
    <w:multiLevelType w:val="multilevel"/>
    <w:tmpl w:val="E45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F4FAF"/>
    <w:multiLevelType w:val="multilevel"/>
    <w:tmpl w:val="55A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776FF"/>
    <w:multiLevelType w:val="multilevel"/>
    <w:tmpl w:val="DF56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06778"/>
    <w:rsid w:val="00015AB9"/>
    <w:rsid w:val="00021A36"/>
    <w:rsid w:val="000269CE"/>
    <w:rsid w:val="000309AD"/>
    <w:rsid w:val="00031DDB"/>
    <w:rsid w:val="000329D0"/>
    <w:rsid w:val="0003509D"/>
    <w:rsid w:val="00040627"/>
    <w:rsid w:val="000466B3"/>
    <w:rsid w:val="00046D18"/>
    <w:rsid w:val="00051B2F"/>
    <w:rsid w:val="0005213D"/>
    <w:rsid w:val="000606CD"/>
    <w:rsid w:val="00062077"/>
    <w:rsid w:val="00073352"/>
    <w:rsid w:val="000A0245"/>
    <w:rsid w:val="000A3F1C"/>
    <w:rsid w:val="000B38ED"/>
    <w:rsid w:val="000C22FB"/>
    <w:rsid w:val="000C3A31"/>
    <w:rsid w:val="000D3E0F"/>
    <w:rsid w:val="000D3F97"/>
    <w:rsid w:val="000E0749"/>
    <w:rsid w:val="000E7AE7"/>
    <w:rsid w:val="000E7FE5"/>
    <w:rsid w:val="000F0973"/>
    <w:rsid w:val="000F196A"/>
    <w:rsid w:val="000F2108"/>
    <w:rsid w:val="000F344A"/>
    <w:rsid w:val="000F4DCB"/>
    <w:rsid w:val="00106924"/>
    <w:rsid w:val="00106CC5"/>
    <w:rsid w:val="001104FE"/>
    <w:rsid w:val="001145B6"/>
    <w:rsid w:val="00114970"/>
    <w:rsid w:val="00117038"/>
    <w:rsid w:val="001278BB"/>
    <w:rsid w:val="001304A6"/>
    <w:rsid w:val="00131173"/>
    <w:rsid w:val="00133EDE"/>
    <w:rsid w:val="00152FD5"/>
    <w:rsid w:val="001605B9"/>
    <w:rsid w:val="001618DF"/>
    <w:rsid w:val="00163EAB"/>
    <w:rsid w:val="001663B0"/>
    <w:rsid w:val="00171092"/>
    <w:rsid w:val="00172129"/>
    <w:rsid w:val="00175E39"/>
    <w:rsid w:val="001766DE"/>
    <w:rsid w:val="00176A3F"/>
    <w:rsid w:val="00185155"/>
    <w:rsid w:val="00186291"/>
    <w:rsid w:val="00192564"/>
    <w:rsid w:val="001A1F44"/>
    <w:rsid w:val="001A371E"/>
    <w:rsid w:val="001B2AC8"/>
    <w:rsid w:val="001B56C1"/>
    <w:rsid w:val="001B6090"/>
    <w:rsid w:val="001C0B67"/>
    <w:rsid w:val="001C28B8"/>
    <w:rsid w:val="001C2A56"/>
    <w:rsid w:val="001E1B8A"/>
    <w:rsid w:val="001E1EE9"/>
    <w:rsid w:val="001E48A3"/>
    <w:rsid w:val="001F0171"/>
    <w:rsid w:val="001F1547"/>
    <w:rsid w:val="001F6150"/>
    <w:rsid w:val="00200556"/>
    <w:rsid w:val="00202EC3"/>
    <w:rsid w:val="00203F63"/>
    <w:rsid w:val="00204C80"/>
    <w:rsid w:val="00211BAE"/>
    <w:rsid w:val="00212433"/>
    <w:rsid w:val="002134E5"/>
    <w:rsid w:val="002139B9"/>
    <w:rsid w:val="00216677"/>
    <w:rsid w:val="002273B3"/>
    <w:rsid w:val="00230968"/>
    <w:rsid w:val="002438C8"/>
    <w:rsid w:val="00256D76"/>
    <w:rsid w:val="002637FD"/>
    <w:rsid w:val="00263BE5"/>
    <w:rsid w:val="002665B1"/>
    <w:rsid w:val="00275D54"/>
    <w:rsid w:val="0027643F"/>
    <w:rsid w:val="002767F7"/>
    <w:rsid w:val="00276EBE"/>
    <w:rsid w:val="0027714C"/>
    <w:rsid w:val="00277454"/>
    <w:rsid w:val="00281C8C"/>
    <w:rsid w:val="00283B78"/>
    <w:rsid w:val="00283C67"/>
    <w:rsid w:val="0028596A"/>
    <w:rsid w:val="002863AA"/>
    <w:rsid w:val="00292791"/>
    <w:rsid w:val="00294401"/>
    <w:rsid w:val="00296872"/>
    <w:rsid w:val="002A610E"/>
    <w:rsid w:val="002B1D8C"/>
    <w:rsid w:val="002B7595"/>
    <w:rsid w:val="002C043B"/>
    <w:rsid w:val="002C04B6"/>
    <w:rsid w:val="002C2709"/>
    <w:rsid w:val="002D0E77"/>
    <w:rsid w:val="002D5909"/>
    <w:rsid w:val="002D61E9"/>
    <w:rsid w:val="002D6553"/>
    <w:rsid w:val="002D66CA"/>
    <w:rsid w:val="002E2D06"/>
    <w:rsid w:val="002E3D5C"/>
    <w:rsid w:val="002E6457"/>
    <w:rsid w:val="002F0277"/>
    <w:rsid w:val="002F0A1A"/>
    <w:rsid w:val="002F1267"/>
    <w:rsid w:val="002F4DB5"/>
    <w:rsid w:val="003003DD"/>
    <w:rsid w:val="00304A4A"/>
    <w:rsid w:val="003050FD"/>
    <w:rsid w:val="0031697B"/>
    <w:rsid w:val="00317888"/>
    <w:rsid w:val="00323146"/>
    <w:rsid w:val="00326445"/>
    <w:rsid w:val="00326E85"/>
    <w:rsid w:val="0033664B"/>
    <w:rsid w:val="00341BFE"/>
    <w:rsid w:val="003436C7"/>
    <w:rsid w:val="003457A1"/>
    <w:rsid w:val="00353C52"/>
    <w:rsid w:val="0036007E"/>
    <w:rsid w:val="00360413"/>
    <w:rsid w:val="00361BD4"/>
    <w:rsid w:val="0036286B"/>
    <w:rsid w:val="00374139"/>
    <w:rsid w:val="00374759"/>
    <w:rsid w:val="00380FA4"/>
    <w:rsid w:val="003873C1"/>
    <w:rsid w:val="00391727"/>
    <w:rsid w:val="003A1A90"/>
    <w:rsid w:val="003A465E"/>
    <w:rsid w:val="003A6810"/>
    <w:rsid w:val="003B25E5"/>
    <w:rsid w:val="003B3600"/>
    <w:rsid w:val="003B3BB0"/>
    <w:rsid w:val="003B6B2A"/>
    <w:rsid w:val="003C0785"/>
    <w:rsid w:val="003C4CB3"/>
    <w:rsid w:val="003C63DC"/>
    <w:rsid w:val="003D0555"/>
    <w:rsid w:val="003D172C"/>
    <w:rsid w:val="003D4805"/>
    <w:rsid w:val="003D58EE"/>
    <w:rsid w:val="003D6B79"/>
    <w:rsid w:val="003D6C00"/>
    <w:rsid w:val="003E5617"/>
    <w:rsid w:val="003F33BB"/>
    <w:rsid w:val="003F5C0A"/>
    <w:rsid w:val="003F73D3"/>
    <w:rsid w:val="00400BB9"/>
    <w:rsid w:val="004025C6"/>
    <w:rsid w:val="00402F79"/>
    <w:rsid w:val="0040347D"/>
    <w:rsid w:val="004067E8"/>
    <w:rsid w:val="00417D65"/>
    <w:rsid w:val="004268CB"/>
    <w:rsid w:val="00427FDB"/>
    <w:rsid w:val="0044200A"/>
    <w:rsid w:val="004466C7"/>
    <w:rsid w:val="00452907"/>
    <w:rsid w:val="00455659"/>
    <w:rsid w:val="00456705"/>
    <w:rsid w:val="00467564"/>
    <w:rsid w:val="00472E5C"/>
    <w:rsid w:val="00475791"/>
    <w:rsid w:val="00480F4F"/>
    <w:rsid w:val="0048123E"/>
    <w:rsid w:val="004835F8"/>
    <w:rsid w:val="00490063"/>
    <w:rsid w:val="0049476E"/>
    <w:rsid w:val="004C1BF6"/>
    <w:rsid w:val="004C577E"/>
    <w:rsid w:val="004D7740"/>
    <w:rsid w:val="004E064C"/>
    <w:rsid w:val="004E1836"/>
    <w:rsid w:val="004E5433"/>
    <w:rsid w:val="00502172"/>
    <w:rsid w:val="00502373"/>
    <w:rsid w:val="00504F11"/>
    <w:rsid w:val="00506201"/>
    <w:rsid w:val="00510DC9"/>
    <w:rsid w:val="005230F4"/>
    <w:rsid w:val="005305E8"/>
    <w:rsid w:val="00535C81"/>
    <w:rsid w:val="005370CC"/>
    <w:rsid w:val="005427ED"/>
    <w:rsid w:val="00542E4E"/>
    <w:rsid w:val="00545918"/>
    <w:rsid w:val="00545C94"/>
    <w:rsid w:val="0054639B"/>
    <w:rsid w:val="00547A18"/>
    <w:rsid w:val="00553349"/>
    <w:rsid w:val="00566418"/>
    <w:rsid w:val="0057353A"/>
    <w:rsid w:val="005763DD"/>
    <w:rsid w:val="005835B0"/>
    <w:rsid w:val="0058493B"/>
    <w:rsid w:val="0059074C"/>
    <w:rsid w:val="0059261E"/>
    <w:rsid w:val="00592CFF"/>
    <w:rsid w:val="00592E97"/>
    <w:rsid w:val="00596457"/>
    <w:rsid w:val="005A042B"/>
    <w:rsid w:val="005A11B7"/>
    <w:rsid w:val="005A1317"/>
    <w:rsid w:val="005A3CDF"/>
    <w:rsid w:val="005A44D6"/>
    <w:rsid w:val="005B2F75"/>
    <w:rsid w:val="005B5B0A"/>
    <w:rsid w:val="005D3D8C"/>
    <w:rsid w:val="005D5BB9"/>
    <w:rsid w:val="005D6906"/>
    <w:rsid w:val="005D71A6"/>
    <w:rsid w:val="005E1C53"/>
    <w:rsid w:val="005E3235"/>
    <w:rsid w:val="005E32C1"/>
    <w:rsid w:val="006056B9"/>
    <w:rsid w:val="00611644"/>
    <w:rsid w:val="00616C87"/>
    <w:rsid w:val="00617653"/>
    <w:rsid w:val="00624B37"/>
    <w:rsid w:val="00625B2D"/>
    <w:rsid w:val="006261FF"/>
    <w:rsid w:val="00630135"/>
    <w:rsid w:val="00630E9E"/>
    <w:rsid w:val="00631407"/>
    <w:rsid w:val="006326F1"/>
    <w:rsid w:val="00634DE0"/>
    <w:rsid w:val="00636FDF"/>
    <w:rsid w:val="00642EB9"/>
    <w:rsid w:val="00645E67"/>
    <w:rsid w:val="00647DFE"/>
    <w:rsid w:val="006520AD"/>
    <w:rsid w:val="0065350D"/>
    <w:rsid w:val="00656749"/>
    <w:rsid w:val="00674705"/>
    <w:rsid w:val="0067687D"/>
    <w:rsid w:val="00682B70"/>
    <w:rsid w:val="00683551"/>
    <w:rsid w:val="00687CCE"/>
    <w:rsid w:val="00687CED"/>
    <w:rsid w:val="006976E4"/>
    <w:rsid w:val="006A1213"/>
    <w:rsid w:val="006B2A4D"/>
    <w:rsid w:val="006B6428"/>
    <w:rsid w:val="006B7F37"/>
    <w:rsid w:val="006C26C7"/>
    <w:rsid w:val="006C55E8"/>
    <w:rsid w:val="006C7B7E"/>
    <w:rsid w:val="006D6D09"/>
    <w:rsid w:val="006D741B"/>
    <w:rsid w:val="006E25F7"/>
    <w:rsid w:val="006E5B3C"/>
    <w:rsid w:val="006F66F1"/>
    <w:rsid w:val="00702D5A"/>
    <w:rsid w:val="00702FB8"/>
    <w:rsid w:val="00707F1B"/>
    <w:rsid w:val="007110E3"/>
    <w:rsid w:val="007133BD"/>
    <w:rsid w:val="00716C0F"/>
    <w:rsid w:val="00722A4E"/>
    <w:rsid w:val="007271FF"/>
    <w:rsid w:val="00732362"/>
    <w:rsid w:val="007340AC"/>
    <w:rsid w:val="00742D1B"/>
    <w:rsid w:val="0074781A"/>
    <w:rsid w:val="00751599"/>
    <w:rsid w:val="007535B4"/>
    <w:rsid w:val="00764070"/>
    <w:rsid w:val="0076441A"/>
    <w:rsid w:val="00764478"/>
    <w:rsid w:val="00773076"/>
    <w:rsid w:val="00775362"/>
    <w:rsid w:val="007767BA"/>
    <w:rsid w:val="00780E87"/>
    <w:rsid w:val="00780F71"/>
    <w:rsid w:val="00783867"/>
    <w:rsid w:val="00786888"/>
    <w:rsid w:val="007A0C5C"/>
    <w:rsid w:val="007A2A56"/>
    <w:rsid w:val="007A50AB"/>
    <w:rsid w:val="007A5950"/>
    <w:rsid w:val="007A6773"/>
    <w:rsid w:val="007C0D80"/>
    <w:rsid w:val="007C6B79"/>
    <w:rsid w:val="007D4293"/>
    <w:rsid w:val="007D4777"/>
    <w:rsid w:val="007E1A3F"/>
    <w:rsid w:val="007E374E"/>
    <w:rsid w:val="007E6989"/>
    <w:rsid w:val="007F245A"/>
    <w:rsid w:val="007F2E34"/>
    <w:rsid w:val="0080296C"/>
    <w:rsid w:val="0080361E"/>
    <w:rsid w:val="008050E6"/>
    <w:rsid w:val="00806BB6"/>
    <w:rsid w:val="00812C47"/>
    <w:rsid w:val="00812EC7"/>
    <w:rsid w:val="0082461B"/>
    <w:rsid w:val="00825FE7"/>
    <w:rsid w:val="00827624"/>
    <w:rsid w:val="00831633"/>
    <w:rsid w:val="00842574"/>
    <w:rsid w:val="00843D9E"/>
    <w:rsid w:val="0084771D"/>
    <w:rsid w:val="00862FED"/>
    <w:rsid w:val="00863839"/>
    <w:rsid w:val="008821B8"/>
    <w:rsid w:val="00882459"/>
    <w:rsid w:val="00883F7F"/>
    <w:rsid w:val="0088707F"/>
    <w:rsid w:val="00892CF2"/>
    <w:rsid w:val="00893337"/>
    <w:rsid w:val="008935F0"/>
    <w:rsid w:val="008962B8"/>
    <w:rsid w:val="00897178"/>
    <w:rsid w:val="008A2178"/>
    <w:rsid w:val="008A29EE"/>
    <w:rsid w:val="008B3959"/>
    <w:rsid w:val="008B4341"/>
    <w:rsid w:val="008D0009"/>
    <w:rsid w:val="008D0F25"/>
    <w:rsid w:val="008D1E09"/>
    <w:rsid w:val="008D4AC5"/>
    <w:rsid w:val="008D6BB5"/>
    <w:rsid w:val="008D7AC6"/>
    <w:rsid w:val="008E16A3"/>
    <w:rsid w:val="008E24CB"/>
    <w:rsid w:val="008E3D7F"/>
    <w:rsid w:val="008E6CA4"/>
    <w:rsid w:val="008E6F50"/>
    <w:rsid w:val="008F256A"/>
    <w:rsid w:val="008F6280"/>
    <w:rsid w:val="009005E9"/>
    <w:rsid w:val="0090399F"/>
    <w:rsid w:val="00903B4C"/>
    <w:rsid w:val="00903F5D"/>
    <w:rsid w:val="00905026"/>
    <w:rsid w:val="00913667"/>
    <w:rsid w:val="00915E0F"/>
    <w:rsid w:val="009273E1"/>
    <w:rsid w:val="00935AEE"/>
    <w:rsid w:val="0093603D"/>
    <w:rsid w:val="009406B5"/>
    <w:rsid w:val="00944D6B"/>
    <w:rsid w:val="00950169"/>
    <w:rsid w:val="00954AAA"/>
    <w:rsid w:val="009613D8"/>
    <w:rsid w:val="0096391C"/>
    <w:rsid w:val="00970750"/>
    <w:rsid w:val="0097520B"/>
    <w:rsid w:val="00977879"/>
    <w:rsid w:val="00981D78"/>
    <w:rsid w:val="009826F1"/>
    <w:rsid w:val="00986050"/>
    <w:rsid w:val="00990384"/>
    <w:rsid w:val="00990E83"/>
    <w:rsid w:val="009926C7"/>
    <w:rsid w:val="00996AB7"/>
    <w:rsid w:val="009A2E73"/>
    <w:rsid w:val="009A4EBF"/>
    <w:rsid w:val="009A5FF8"/>
    <w:rsid w:val="009B381B"/>
    <w:rsid w:val="009B625D"/>
    <w:rsid w:val="009B7A8B"/>
    <w:rsid w:val="009C1D35"/>
    <w:rsid w:val="009C329F"/>
    <w:rsid w:val="009C6872"/>
    <w:rsid w:val="009D7E29"/>
    <w:rsid w:val="009F3A1B"/>
    <w:rsid w:val="009F49BC"/>
    <w:rsid w:val="009F5E7F"/>
    <w:rsid w:val="00A01D79"/>
    <w:rsid w:val="00A07482"/>
    <w:rsid w:val="00A24E18"/>
    <w:rsid w:val="00A26E67"/>
    <w:rsid w:val="00A34506"/>
    <w:rsid w:val="00A37643"/>
    <w:rsid w:val="00A42E79"/>
    <w:rsid w:val="00A440FC"/>
    <w:rsid w:val="00A5059B"/>
    <w:rsid w:val="00A5270A"/>
    <w:rsid w:val="00A5373F"/>
    <w:rsid w:val="00A54BE1"/>
    <w:rsid w:val="00A54F4C"/>
    <w:rsid w:val="00A60222"/>
    <w:rsid w:val="00A60B64"/>
    <w:rsid w:val="00A6227C"/>
    <w:rsid w:val="00A623AA"/>
    <w:rsid w:val="00A665BC"/>
    <w:rsid w:val="00A66D7D"/>
    <w:rsid w:val="00A670A6"/>
    <w:rsid w:val="00A87109"/>
    <w:rsid w:val="00A9385E"/>
    <w:rsid w:val="00A94814"/>
    <w:rsid w:val="00AA1F22"/>
    <w:rsid w:val="00AA5222"/>
    <w:rsid w:val="00AA679A"/>
    <w:rsid w:val="00AB3361"/>
    <w:rsid w:val="00AB6FA5"/>
    <w:rsid w:val="00AC0A88"/>
    <w:rsid w:val="00AC4C10"/>
    <w:rsid w:val="00AC7B48"/>
    <w:rsid w:val="00AD0455"/>
    <w:rsid w:val="00AD1A78"/>
    <w:rsid w:val="00AD2858"/>
    <w:rsid w:val="00AD5932"/>
    <w:rsid w:val="00AD6B9E"/>
    <w:rsid w:val="00AD7966"/>
    <w:rsid w:val="00AE238D"/>
    <w:rsid w:val="00AE2D9C"/>
    <w:rsid w:val="00AE3C83"/>
    <w:rsid w:val="00AE6A8F"/>
    <w:rsid w:val="00AF142A"/>
    <w:rsid w:val="00AF24E9"/>
    <w:rsid w:val="00AF4DFB"/>
    <w:rsid w:val="00AF5B2E"/>
    <w:rsid w:val="00B036B0"/>
    <w:rsid w:val="00B15831"/>
    <w:rsid w:val="00B2180D"/>
    <w:rsid w:val="00B3251D"/>
    <w:rsid w:val="00B32B5D"/>
    <w:rsid w:val="00B33D2D"/>
    <w:rsid w:val="00B34D53"/>
    <w:rsid w:val="00B3626F"/>
    <w:rsid w:val="00B368CB"/>
    <w:rsid w:val="00B37193"/>
    <w:rsid w:val="00B40F7F"/>
    <w:rsid w:val="00B42AD7"/>
    <w:rsid w:val="00B47D88"/>
    <w:rsid w:val="00B523A3"/>
    <w:rsid w:val="00B53632"/>
    <w:rsid w:val="00B577B8"/>
    <w:rsid w:val="00B643E8"/>
    <w:rsid w:val="00B64A0C"/>
    <w:rsid w:val="00B72BC2"/>
    <w:rsid w:val="00B75EA6"/>
    <w:rsid w:val="00B82392"/>
    <w:rsid w:val="00B90333"/>
    <w:rsid w:val="00B933E6"/>
    <w:rsid w:val="00B95BF8"/>
    <w:rsid w:val="00BA2782"/>
    <w:rsid w:val="00BB24F6"/>
    <w:rsid w:val="00BB4D95"/>
    <w:rsid w:val="00BB7754"/>
    <w:rsid w:val="00BB790E"/>
    <w:rsid w:val="00BC45A7"/>
    <w:rsid w:val="00BC5A35"/>
    <w:rsid w:val="00BD182E"/>
    <w:rsid w:val="00BD435A"/>
    <w:rsid w:val="00BE16BC"/>
    <w:rsid w:val="00BE336F"/>
    <w:rsid w:val="00BF12B3"/>
    <w:rsid w:val="00BF285A"/>
    <w:rsid w:val="00BF546B"/>
    <w:rsid w:val="00C107A3"/>
    <w:rsid w:val="00C1344C"/>
    <w:rsid w:val="00C161F7"/>
    <w:rsid w:val="00C23228"/>
    <w:rsid w:val="00C30167"/>
    <w:rsid w:val="00C3639A"/>
    <w:rsid w:val="00C42891"/>
    <w:rsid w:val="00C45D46"/>
    <w:rsid w:val="00C46BDE"/>
    <w:rsid w:val="00C473EA"/>
    <w:rsid w:val="00C5397E"/>
    <w:rsid w:val="00C54B8C"/>
    <w:rsid w:val="00C61DB6"/>
    <w:rsid w:val="00C66AC9"/>
    <w:rsid w:val="00C71AFA"/>
    <w:rsid w:val="00C8172C"/>
    <w:rsid w:val="00C82653"/>
    <w:rsid w:val="00C94CFE"/>
    <w:rsid w:val="00C96A49"/>
    <w:rsid w:val="00C9785A"/>
    <w:rsid w:val="00CA099A"/>
    <w:rsid w:val="00CA11E3"/>
    <w:rsid w:val="00CA43A1"/>
    <w:rsid w:val="00CC7CCE"/>
    <w:rsid w:val="00CD62BA"/>
    <w:rsid w:val="00CE0325"/>
    <w:rsid w:val="00CE2259"/>
    <w:rsid w:val="00CE3D6D"/>
    <w:rsid w:val="00CE44AE"/>
    <w:rsid w:val="00CF2018"/>
    <w:rsid w:val="00CF766D"/>
    <w:rsid w:val="00D04FE9"/>
    <w:rsid w:val="00D10704"/>
    <w:rsid w:val="00D2317D"/>
    <w:rsid w:val="00D25007"/>
    <w:rsid w:val="00D26FF9"/>
    <w:rsid w:val="00D2775A"/>
    <w:rsid w:val="00D3114C"/>
    <w:rsid w:val="00D33524"/>
    <w:rsid w:val="00D37154"/>
    <w:rsid w:val="00D40B61"/>
    <w:rsid w:val="00D47AAE"/>
    <w:rsid w:val="00D54588"/>
    <w:rsid w:val="00D601A7"/>
    <w:rsid w:val="00D67867"/>
    <w:rsid w:val="00D73925"/>
    <w:rsid w:val="00D74264"/>
    <w:rsid w:val="00D750D9"/>
    <w:rsid w:val="00D75CF0"/>
    <w:rsid w:val="00D87657"/>
    <w:rsid w:val="00D9297A"/>
    <w:rsid w:val="00D96C79"/>
    <w:rsid w:val="00DA1AA1"/>
    <w:rsid w:val="00DB1E82"/>
    <w:rsid w:val="00DC0173"/>
    <w:rsid w:val="00DC1D12"/>
    <w:rsid w:val="00DC251E"/>
    <w:rsid w:val="00DC3DCF"/>
    <w:rsid w:val="00DC4C1A"/>
    <w:rsid w:val="00DC6665"/>
    <w:rsid w:val="00DD524B"/>
    <w:rsid w:val="00DD6A86"/>
    <w:rsid w:val="00DD75D1"/>
    <w:rsid w:val="00DD7854"/>
    <w:rsid w:val="00DE0E03"/>
    <w:rsid w:val="00DE1C6F"/>
    <w:rsid w:val="00DE3C2E"/>
    <w:rsid w:val="00DE3CC8"/>
    <w:rsid w:val="00DE4612"/>
    <w:rsid w:val="00DE5CF3"/>
    <w:rsid w:val="00DE6FAF"/>
    <w:rsid w:val="00DF1A11"/>
    <w:rsid w:val="00DF2278"/>
    <w:rsid w:val="00DF3794"/>
    <w:rsid w:val="00DF3C38"/>
    <w:rsid w:val="00E00177"/>
    <w:rsid w:val="00E034EE"/>
    <w:rsid w:val="00E1269A"/>
    <w:rsid w:val="00E211F1"/>
    <w:rsid w:val="00E41A15"/>
    <w:rsid w:val="00E4228F"/>
    <w:rsid w:val="00E425CF"/>
    <w:rsid w:val="00E451A1"/>
    <w:rsid w:val="00E506D3"/>
    <w:rsid w:val="00E545F7"/>
    <w:rsid w:val="00E579B0"/>
    <w:rsid w:val="00E66D8D"/>
    <w:rsid w:val="00E75E93"/>
    <w:rsid w:val="00E7651B"/>
    <w:rsid w:val="00E860B1"/>
    <w:rsid w:val="00E94CE4"/>
    <w:rsid w:val="00E95E04"/>
    <w:rsid w:val="00EA042E"/>
    <w:rsid w:val="00EA1521"/>
    <w:rsid w:val="00EA4CEA"/>
    <w:rsid w:val="00EA64DC"/>
    <w:rsid w:val="00EA7981"/>
    <w:rsid w:val="00EB3D4E"/>
    <w:rsid w:val="00EB48A2"/>
    <w:rsid w:val="00EB78BA"/>
    <w:rsid w:val="00EB7E0D"/>
    <w:rsid w:val="00EC3CE8"/>
    <w:rsid w:val="00EC47BC"/>
    <w:rsid w:val="00ED08E8"/>
    <w:rsid w:val="00EE4708"/>
    <w:rsid w:val="00EE5106"/>
    <w:rsid w:val="00EE7E20"/>
    <w:rsid w:val="00EF4687"/>
    <w:rsid w:val="00EF6634"/>
    <w:rsid w:val="00EF7167"/>
    <w:rsid w:val="00F0207A"/>
    <w:rsid w:val="00F04B4B"/>
    <w:rsid w:val="00F13078"/>
    <w:rsid w:val="00F1361A"/>
    <w:rsid w:val="00F14BDE"/>
    <w:rsid w:val="00F15032"/>
    <w:rsid w:val="00F31CBD"/>
    <w:rsid w:val="00F32556"/>
    <w:rsid w:val="00F36B5B"/>
    <w:rsid w:val="00F57608"/>
    <w:rsid w:val="00F61BAF"/>
    <w:rsid w:val="00F61DA2"/>
    <w:rsid w:val="00F700AB"/>
    <w:rsid w:val="00F81E84"/>
    <w:rsid w:val="00F907E6"/>
    <w:rsid w:val="00F92335"/>
    <w:rsid w:val="00F9321F"/>
    <w:rsid w:val="00F97FD9"/>
    <w:rsid w:val="00FA4CC6"/>
    <w:rsid w:val="00FA63BA"/>
    <w:rsid w:val="00FB2B3E"/>
    <w:rsid w:val="00FB3146"/>
    <w:rsid w:val="00FB4374"/>
    <w:rsid w:val="00FC0035"/>
    <w:rsid w:val="00FC520B"/>
    <w:rsid w:val="00FD0622"/>
    <w:rsid w:val="00FE4EA3"/>
    <w:rsid w:val="00FE5701"/>
    <w:rsid w:val="00FF2AA4"/>
    <w:rsid w:val="00FF59CA"/>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7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E451A1"/>
    <w:pPr>
      <w:spacing w:before="100" w:beforeAutospacing="1" w:after="100" w:afterAutospacing="1"/>
    </w:pPr>
  </w:style>
  <w:style w:type="paragraph" w:customStyle="1" w:styleId="p">
    <w:name w:val="p"/>
    <w:basedOn w:val="Normal"/>
    <w:rsid w:val="00825F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338">
      <w:bodyDiv w:val="1"/>
      <w:marLeft w:val="0"/>
      <w:marRight w:val="0"/>
      <w:marTop w:val="0"/>
      <w:marBottom w:val="0"/>
      <w:divBdr>
        <w:top w:val="none" w:sz="0" w:space="0" w:color="auto"/>
        <w:left w:val="none" w:sz="0" w:space="0" w:color="auto"/>
        <w:bottom w:val="none" w:sz="0" w:space="0" w:color="auto"/>
        <w:right w:val="none" w:sz="0" w:space="0" w:color="auto"/>
      </w:divBdr>
    </w:div>
    <w:div w:id="103381941">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49509370">
      <w:bodyDiv w:val="1"/>
      <w:marLeft w:val="0"/>
      <w:marRight w:val="0"/>
      <w:marTop w:val="0"/>
      <w:marBottom w:val="0"/>
      <w:divBdr>
        <w:top w:val="none" w:sz="0" w:space="0" w:color="auto"/>
        <w:left w:val="none" w:sz="0" w:space="0" w:color="auto"/>
        <w:bottom w:val="none" w:sz="0" w:space="0" w:color="auto"/>
        <w:right w:val="none" w:sz="0" w:space="0" w:color="auto"/>
      </w:divBdr>
    </w:div>
    <w:div w:id="540947371">
      <w:bodyDiv w:val="1"/>
      <w:marLeft w:val="0"/>
      <w:marRight w:val="0"/>
      <w:marTop w:val="0"/>
      <w:marBottom w:val="0"/>
      <w:divBdr>
        <w:top w:val="none" w:sz="0" w:space="0" w:color="auto"/>
        <w:left w:val="none" w:sz="0" w:space="0" w:color="auto"/>
        <w:bottom w:val="none" w:sz="0" w:space="0" w:color="auto"/>
        <w:right w:val="none" w:sz="0" w:space="0" w:color="auto"/>
      </w:divBdr>
    </w:div>
    <w:div w:id="674696653">
      <w:bodyDiv w:val="1"/>
      <w:marLeft w:val="0"/>
      <w:marRight w:val="0"/>
      <w:marTop w:val="0"/>
      <w:marBottom w:val="0"/>
      <w:divBdr>
        <w:top w:val="none" w:sz="0" w:space="0" w:color="auto"/>
        <w:left w:val="none" w:sz="0" w:space="0" w:color="auto"/>
        <w:bottom w:val="none" w:sz="0" w:space="0" w:color="auto"/>
        <w:right w:val="none" w:sz="0" w:space="0" w:color="auto"/>
      </w:divBdr>
    </w:div>
    <w:div w:id="778839088">
      <w:bodyDiv w:val="1"/>
      <w:marLeft w:val="0"/>
      <w:marRight w:val="0"/>
      <w:marTop w:val="0"/>
      <w:marBottom w:val="0"/>
      <w:divBdr>
        <w:top w:val="none" w:sz="0" w:space="0" w:color="auto"/>
        <w:left w:val="none" w:sz="0" w:space="0" w:color="auto"/>
        <w:bottom w:val="none" w:sz="0" w:space="0" w:color="auto"/>
        <w:right w:val="none" w:sz="0" w:space="0" w:color="auto"/>
      </w:divBdr>
    </w:div>
    <w:div w:id="850028579">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039358923">
      <w:bodyDiv w:val="1"/>
      <w:marLeft w:val="0"/>
      <w:marRight w:val="0"/>
      <w:marTop w:val="0"/>
      <w:marBottom w:val="0"/>
      <w:divBdr>
        <w:top w:val="none" w:sz="0" w:space="0" w:color="auto"/>
        <w:left w:val="none" w:sz="0" w:space="0" w:color="auto"/>
        <w:bottom w:val="none" w:sz="0" w:space="0" w:color="auto"/>
        <w:right w:val="none" w:sz="0" w:space="0" w:color="auto"/>
      </w:divBdr>
    </w:div>
    <w:div w:id="1126704807">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392462174">
      <w:bodyDiv w:val="1"/>
      <w:marLeft w:val="0"/>
      <w:marRight w:val="0"/>
      <w:marTop w:val="0"/>
      <w:marBottom w:val="0"/>
      <w:divBdr>
        <w:top w:val="none" w:sz="0" w:space="0" w:color="auto"/>
        <w:left w:val="none" w:sz="0" w:space="0" w:color="auto"/>
        <w:bottom w:val="none" w:sz="0" w:space="0" w:color="auto"/>
        <w:right w:val="none" w:sz="0" w:space="0" w:color="auto"/>
      </w:divBdr>
    </w:div>
    <w:div w:id="1739862551">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 w:id="1864779275">
      <w:bodyDiv w:val="1"/>
      <w:marLeft w:val="0"/>
      <w:marRight w:val="0"/>
      <w:marTop w:val="0"/>
      <w:marBottom w:val="0"/>
      <w:divBdr>
        <w:top w:val="none" w:sz="0" w:space="0" w:color="auto"/>
        <w:left w:val="none" w:sz="0" w:space="0" w:color="auto"/>
        <w:bottom w:val="none" w:sz="0" w:space="0" w:color="auto"/>
        <w:right w:val="none" w:sz="0" w:space="0" w:color="auto"/>
      </w:divBdr>
    </w:div>
    <w:div w:id="1988393540">
      <w:bodyDiv w:val="1"/>
      <w:marLeft w:val="0"/>
      <w:marRight w:val="0"/>
      <w:marTop w:val="0"/>
      <w:marBottom w:val="0"/>
      <w:divBdr>
        <w:top w:val="none" w:sz="0" w:space="0" w:color="auto"/>
        <w:left w:val="none" w:sz="0" w:space="0" w:color="auto"/>
        <w:bottom w:val="none" w:sz="0" w:space="0" w:color="auto"/>
        <w:right w:val="none" w:sz="0" w:space="0" w:color="auto"/>
      </w:divBdr>
    </w:div>
    <w:div w:id="1993676322">
      <w:bodyDiv w:val="1"/>
      <w:marLeft w:val="0"/>
      <w:marRight w:val="0"/>
      <w:marTop w:val="0"/>
      <w:marBottom w:val="0"/>
      <w:divBdr>
        <w:top w:val="none" w:sz="0" w:space="0" w:color="auto"/>
        <w:left w:val="none" w:sz="0" w:space="0" w:color="auto"/>
        <w:bottom w:val="none" w:sz="0" w:space="0" w:color="auto"/>
        <w:right w:val="none" w:sz="0" w:space="0" w:color="auto"/>
      </w:divBdr>
    </w:div>
    <w:div w:id="2009598604">
      <w:bodyDiv w:val="1"/>
      <w:marLeft w:val="0"/>
      <w:marRight w:val="0"/>
      <w:marTop w:val="0"/>
      <w:marBottom w:val="0"/>
      <w:divBdr>
        <w:top w:val="none" w:sz="0" w:space="0" w:color="auto"/>
        <w:left w:val="none" w:sz="0" w:space="0" w:color="auto"/>
        <w:bottom w:val="none" w:sz="0" w:space="0" w:color="auto"/>
        <w:right w:val="none" w:sz="0" w:space="0" w:color="auto"/>
      </w:divBdr>
    </w:div>
    <w:div w:id="2014064347">
      <w:bodyDiv w:val="1"/>
      <w:marLeft w:val="0"/>
      <w:marRight w:val="0"/>
      <w:marTop w:val="0"/>
      <w:marBottom w:val="0"/>
      <w:divBdr>
        <w:top w:val="none" w:sz="0" w:space="0" w:color="auto"/>
        <w:left w:val="none" w:sz="0" w:space="0" w:color="auto"/>
        <w:bottom w:val="none" w:sz="0" w:space="0" w:color="auto"/>
        <w:right w:val="none" w:sz="0" w:space="0" w:color="auto"/>
      </w:divBdr>
    </w:div>
    <w:div w:id="2015182627">
      <w:bodyDiv w:val="1"/>
      <w:marLeft w:val="0"/>
      <w:marRight w:val="0"/>
      <w:marTop w:val="0"/>
      <w:marBottom w:val="0"/>
      <w:divBdr>
        <w:top w:val="none" w:sz="0" w:space="0" w:color="auto"/>
        <w:left w:val="none" w:sz="0" w:space="0" w:color="auto"/>
        <w:bottom w:val="none" w:sz="0" w:space="0" w:color="auto"/>
        <w:right w:val="none" w:sz="0" w:space="0" w:color="auto"/>
      </w:divBdr>
    </w:div>
    <w:div w:id="2021354315">
      <w:bodyDiv w:val="1"/>
      <w:marLeft w:val="0"/>
      <w:marRight w:val="0"/>
      <w:marTop w:val="0"/>
      <w:marBottom w:val="0"/>
      <w:divBdr>
        <w:top w:val="none" w:sz="0" w:space="0" w:color="auto"/>
        <w:left w:val="none" w:sz="0" w:space="0" w:color="auto"/>
        <w:bottom w:val="none" w:sz="0" w:space="0" w:color="auto"/>
        <w:right w:val="none" w:sz="0" w:space="0" w:color="auto"/>
      </w:divBdr>
    </w:div>
    <w:div w:id="2096778675">
      <w:bodyDiv w:val="1"/>
      <w:marLeft w:val="0"/>
      <w:marRight w:val="0"/>
      <w:marTop w:val="0"/>
      <w:marBottom w:val="0"/>
      <w:divBdr>
        <w:top w:val="none" w:sz="0" w:space="0" w:color="auto"/>
        <w:left w:val="none" w:sz="0" w:space="0" w:color="auto"/>
        <w:bottom w:val="none" w:sz="0" w:space="0" w:color="auto"/>
        <w:right w:val="none" w:sz="0" w:space="0" w:color="auto"/>
      </w:divBdr>
      <w:divsChild>
        <w:div w:id="1111049808">
          <w:marLeft w:val="0"/>
          <w:marRight w:val="0"/>
          <w:marTop w:val="400"/>
          <w:marBottom w:val="400"/>
          <w:divBdr>
            <w:top w:val="none" w:sz="0" w:space="0" w:color="auto"/>
            <w:left w:val="none" w:sz="0" w:space="0" w:color="auto"/>
            <w:bottom w:val="none" w:sz="0" w:space="0" w:color="auto"/>
            <w:right w:val="none" w:sz="0" w:space="0" w:color="auto"/>
          </w:divBdr>
        </w:div>
        <w:div w:id="185484309">
          <w:marLeft w:val="0"/>
          <w:marRight w:val="0"/>
          <w:marTop w:val="400"/>
          <w:marBottom w:val="400"/>
          <w:divBdr>
            <w:top w:val="none" w:sz="0" w:space="0" w:color="auto"/>
            <w:left w:val="none" w:sz="0" w:space="0" w:color="auto"/>
            <w:bottom w:val="none" w:sz="0" w:space="0" w:color="auto"/>
            <w:right w:val="none" w:sz="0" w:space="0" w:color="auto"/>
          </w:divBdr>
        </w:div>
      </w:divsChild>
    </w:div>
    <w:div w:id="2133161705">
      <w:bodyDiv w:val="1"/>
      <w:marLeft w:val="0"/>
      <w:marRight w:val="0"/>
      <w:marTop w:val="0"/>
      <w:marBottom w:val="0"/>
      <w:divBdr>
        <w:top w:val="none" w:sz="0" w:space="0" w:color="auto"/>
        <w:left w:val="none" w:sz="0" w:space="0" w:color="auto"/>
        <w:bottom w:val="none" w:sz="0" w:space="0" w:color="auto"/>
        <w:right w:val="none" w:sz="0" w:space="0" w:color="auto"/>
      </w:divBdr>
      <w:divsChild>
        <w:div w:id="11803809">
          <w:marLeft w:val="0"/>
          <w:marRight w:val="0"/>
          <w:marTop w:val="400"/>
          <w:marBottom w:val="400"/>
          <w:divBdr>
            <w:top w:val="none" w:sz="0" w:space="0" w:color="auto"/>
            <w:left w:val="none" w:sz="0" w:space="0" w:color="auto"/>
            <w:bottom w:val="none" w:sz="0" w:space="0" w:color="auto"/>
            <w:right w:val="none" w:sz="0" w:space="0" w:color="auto"/>
          </w:divBdr>
        </w:div>
        <w:div w:id="128106286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15</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479</cp:revision>
  <dcterms:created xsi:type="dcterms:W3CDTF">2022-10-12T11:53:00Z</dcterms:created>
  <dcterms:modified xsi:type="dcterms:W3CDTF">2023-04-29T17:31:00Z</dcterms:modified>
</cp:coreProperties>
</file>