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6520" w14:textId="77777777" w:rsidR="000A074F" w:rsidRPr="00C5118A" w:rsidRDefault="000A074F" w:rsidP="000A074F">
      <w:pPr>
        <w:rPr>
          <w:rFonts w:ascii="Trebuchet MS" w:hAnsi="Trebuchet MS"/>
        </w:rPr>
      </w:pPr>
    </w:p>
    <w:p w14:paraId="515A2633" w14:textId="0302838F" w:rsidR="000A074F" w:rsidRPr="00C5118A" w:rsidRDefault="000A074F" w:rsidP="000A074F">
      <w:pPr>
        <w:rPr>
          <w:rFonts w:ascii="Trebuchet MS" w:eastAsiaTheme="minorEastAsia" w:hAnsi="Trebuchet MS"/>
        </w:rPr>
      </w:pPr>
      <w:r w:rsidRPr="00C5118A">
        <w:rPr>
          <w:rFonts w:ascii="Trebuchet MS" w:hAnsi="Trebuchet MS"/>
        </w:rPr>
        <w:t>\</w:t>
      </w:r>
      <w:proofErr w:type="spellStart"/>
      <w:proofErr w:type="gramStart"/>
      <w:r w:rsidRPr="00C5118A">
        <w:rPr>
          <w:rFonts w:ascii="Trebuchet MS" w:hAnsi="Trebuchet MS"/>
        </w:rPr>
        <w:t>textit</w:t>
      </w:r>
      <w:proofErr w:type="spellEnd"/>
      <w:r w:rsidRPr="00C5118A">
        <w:rPr>
          <w:rFonts w:ascii="Trebuchet MS" w:hAnsi="Trebuchet MS"/>
        </w:rPr>
        <w:t>{</w:t>
      </w:r>
      <w:proofErr w:type="gramEnd"/>
      <w:r w:rsidRPr="00C5118A">
        <w:rPr>
          <w:rFonts w:ascii="Trebuchet MS" w:hAnsi="Trebuchet MS"/>
        </w:rPr>
        <w:t xml:space="preserve">Most sequences have been derived by priming on both strands; this allows more confidence than when only one strand could be used} </w:t>
      </w:r>
    </w:p>
    <w:p w14:paraId="0A784135" w14:textId="212B0315" w:rsidR="000A074F" w:rsidRPr="00C5118A" w:rsidRDefault="000A074F" w:rsidP="000A074F">
      <w:pPr>
        <w:rPr>
          <w:rFonts w:ascii="Trebuchet MS" w:hAnsi="Trebuchet MS"/>
        </w:rPr>
      </w:pPr>
      <w:r w:rsidRPr="00C5118A">
        <w:rPr>
          <w:rFonts w:ascii="Trebuchet MS" w:eastAsiaTheme="minorEastAsia" w:hAnsi="Trebuchet MS"/>
        </w:rPr>
        <w:t>\begin{</w:t>
      </w:r>
      <w:proofErr w:type="spellStart"/>
      <w:r w:rsidRPr="00C5118A">
        <w:rPr>
          <w:rFonts w:ascii="Trebuchet MS" w:eastAsiaTheme="minorEastAsia" w:hAnsi="Trebuchet MS"/>
        </w:rPr>
        <w:t>flushright</w:t>
      </w:r>
      <w:proofErr w:type="spellEnd"/>
      <w:r w:rsidRPr="00C5118A">
        <w:rPr>
          <w:rFonts w:ascii="Trebuchet MS" w:eastAsiaTheme="minorEastAsia" w:hAnsi="Trebuchet MS"/>
        </w:rPr>
        <w:t>} (</w:t>
      </w:r>
      <w:r w:rsidRPr="00C5118A">
        <w:rPr>
          <w:rFonts w:ascii="Trebuchet MS" w:hAnsi="Trebuchet MS"/>
        </w:rPr>
        <w:t>Frederick Sanger</w:t>
      </w:r>
      <w:r w:rsidR="0099089F" w:rsidRPr="00C5118A">
        <w:rPr>
          <w:rFonts w:ascii="Trebuchet MS" w:hAnsi="Trebuchet MS"/>
        </w:rPr>
        <w:t>, 1977</w:t>
      </w:r>
      <w:r w:rsidRPr="00C5118A">
        <w:rPr>
          <w:rFonts w:ascii="Trebuchet MS" w:hAnsi="Trebuchet MS"/>
        </w:rPr>
        <w:t xml:space="preserve">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Sanger1977-os}) \end{</w:t>
      </w:r>
      <w:proofErr w:type="spellStart"/>
      <w:r w:rsidRPr="00C5118A">
        <w:rPr>
          <w:rFonts w:ascii="Trebuchet MS" w:eastAsiaTheme="minorEastAsia" w:hAnsi="Trebuchet MS"/>
        </w:rPr>
        <w:t>flushright</w:t>
      </w:r>
      <w:proofErr w:type="spellEnd"/>
      <w:r w:rsidRPr="00C5118A">
        <w:rPr>
          <w:rFonts w:ascii="Trebuchet MS" w:eastAsiaTheme="minorEastAsia" w:hAnsi="Trebuchet MS"/>
        </w:rPr>
        <w:t>}</w:t>
      </w:r>
    </w:p>
    <w:p w14:paraId="47590ABD" w14:textId="77777777" w:rsidR="000A074F" w:rsidRPr="00C5118A" w:rsidRDefault="000A074F" w:rsidP="00C00019">
      <w:pPr>
        <w:rPr>
          <w:rFonts w:ascii="Trebuchet MS" w:eastAsiaTheme="minorEastAsia" w:hAnsi="Trebuchet MS"/>
          <w:b/>
          <w:bCs/>
        </w:rPr>
      </w:pPr>
    </w:p>
    <w:p w14:paraId="615E466C" w14:textId="0D1059FE" w:rsidR="00C00019" w:rsidRPr="00C5118A" w:rsidRDefault="00C00019"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Introduction}</w:t>
      </w:r>
    </w:p>
    <w:p w14:paraId="4987A85A" w14:textId="002ADA1C" w:rsidR="008C3D97" w:rsidRPr="00C5118A" w:rsidRDefault="008C3D97" w:rsidP="00C00019">
      <w:pPr>
        <w:rPr>
          <w:rFonts w:ascii="Trebuchet MS" w:eastAsiaTheme="minorEastAsia" w:hAnsi="Trebuchet MS"/>
        </w:rPr>
      </w:pPr>
    </w:p>
    <w:p w14:paraId="06FE0BE3" w14:textId="561FC073" w:rsidR="004A5072" w:rsidRPr="00C5118A" w:rsidRDefault="004A5072" w:rsidP="00C00019">
      <w:pPr>
        <w:rPr>
          <w:rFonts w:ascii="Trebuchet MS" w:eastAsiaTheme="minorEastAsia" w:hAnsi="Trebuchet MS"/>
        </w:rPr>
      </w:pPr>
      <w:r w:rsidRPr="00C5118A">
        <w:rPr>
          <w:rFonts w:ascii="Trebuchet MS" w:eastAsiaTheme="minorEastAsia" w:hAnsi="Trebuchet MS"/>
        </w:rPr>
        <w:t>CCS sequencing like duplex sequencing also takes advantage of the redundant sequencing and complementary base pairing between the forward and reverse strand to construct a highly accurate circular consensus sequence.</w:t>
      </w:r>
    </w:p>
    <w:p w14:paraId="49B88413" w14:textId="77777777" w:rsidR="004A5072" w:rsidRPr="00C5118A" w:rsidRDefault="004A5072" w:rsidP="00C00019">
      <w:pPr>
        <w:rPr>
          <w:rFonts w:ascii="Trebuchet MS" w:eastAsiaTheme="minorEastAsia" w:hAnsi="Trebuchet MS"/>
        </w:rPr>
      </w:pPr>
    </w:p>
    <w:p w14:paraId="662387BE" w14:textId="73AD65E7" w:rsidR="00D418B2" w:rsidRPr="00C5118A" w:rsidRDefault="00717EC1" w:rsidP="00717EC1">
      <w:pPr>
        <w:rPr>
          <w:rFonts w:ascii="Trebuchet MS" w:eastAsiaTheme="minorEastAsia" w:hAnsi="Trebuchet MS"/>
        </w:rPr>
      </w:pPr>
      <w:r w:rsidRPr="00C5118A">
        <w:rPr>
          <w:rFonts w:ascii="Trebuchet MS" w:eastAsiaTheme="minorEastAsia" w:hAnsi="Trebuchet MS"/>
        </w:rPr>
        <w:t>Considering the similarities between duplex and CCS sequencing and based on my understanding of the duplex sequencing method \</w:t>
      </w:r>
      <w:proofErr w:type="gramStart"/>
      <w:r w:rsidRPr="00C5118A">
        <w:rPr>
          <w:rFonts w:ascii="Trebuchet MS" w:eastAsiaTheme="minorEastAsia" w:hAnsi="Trebuchet MS"/>
        </w:rPr>
        <w:t>cite{</w:t>
      </w:r>
      <w:proofErr w:type="gramEnd"/>
      <w:r w:rsidRPr="00C5118A">
        <w:rPr>
          <w:rFonts w:ascii="Trebuchet MS" w:eastAsiaTheme="minorEastAsia" w:hAnsi="Trebuchet MS"/>
        </w:rPr>
        <w:t>Schmitt2012-yr, Hoang2016-jx}</w:t>
      </w:r>
      <w:r w:rsidR="004A5072" w:rsidRPr="00C5118A">
        <w:rPr>
          <w:rFonts w:ascii="Trebuchet MS" w:eastAsiaTheme="minorEastAsia" w:hAnsi="Trebuchet MS"/>
        </w:rPr>
        <w:t>,</w:t>
      </w:r>
      <w:r w:rsidRPr="00C5118A">
        <w:rPr>
          <w:rFonts w:ascii="Trebuchet MS" w:eastAsiaTheme="minorEastAsia" w:hAnsi="Trebuchet MS"/>
        </w:rPr>
        <w:t xml:space="preserve"> I hypothesised that CCS reads might be as accurate or more accurate than duplex reads and that they can be used for single molecule somatic mutation detection. \</w:t>
      </w:r>
      <w:proofErr w:type="gramStart"/>
      <w:r w:rsidRPr="00C5118A">
        <w:rPr>
          <w:rFonts w:ascii="Trebuchet MS" w:eastAsiaTheme="minorEastAsia" w:hAnsi="Trebuchet MS"/>
        </w:rPr>
        <w:t>newline</w:t>
      </w:r>
      <w:proofErr w:type="gramEnd"/>
    </w:p>
    <w:p w14:paraId="1C44D3DF" w14:textId="604CF6BA" w:rsidR="00717EC1" w:rsidRPr="00C5118A" w:rsidRDefault="00717EC1" w:rsidP="00C00019">
      <w:pPr>
        <w:rPr>
          <w:rFonts w:ascii="Trebuchet MS" w:eastAsiaTheme="minorEastAsia" w:hAnsi="Trebuchet MS"/>
        </w:rPr>
      </w:pPr>
    </w:p>
    <w:p w14:paraId="03A22E0B" w14:textId="23540217"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Sanger sequencing}</w:t>
      </w:r>
    </w:p>
    <w:p w14:paraId="5198365E" w14:textId="38F4ECDD" w:rsidR="00D418B2" w:rsidRPr="00C5118A" w:rsidRDefault="00D418B2" w:rsidP="00F26E4A">
      <w:pPr>
        <w:rPr>
          <w:rFonts w:ascii="Trebuchet MS" w:eastAsiaTheme="minorEastAsia" w:hAnsi="Trebuchet MS"/>
        </w:rPr>
      </w:pPr>
    </w:p>
    <w:p w14:paraId="075AFE4C" w14:textId="4A7AF15C" w:rsidR="0030590B" w:rsidRPr="00C5118A" w:rsidRDefault="00A1692E" w:rsidP="00F26E4A">
      <w:pPr>
        <w:rPr>
          <w:rFonts w:ascii="Trebuchet MS" w:eastAsiaTheme="minorEastAsia" w:hAnsi="Trebuchet MS"/>
        </w:rPr>
      </w:pPr>
      <w:r w:rsidRPr="00C5118A">
        <w:rPr>
          <w:rFonts w:ascii="Trebuchet MS" w:eastAsiaTheme="minorEastAsia" w:hAnsi="Trebuchet MS"/>
          <w:b/>
          <w:bCs/>
          <w:i/>
          <w:iCs/>
        </w:rPr>
        <w:t xml:space="preserve">The </w:t>
      </w:r>
      <w:r w:rsidR="00F26E4A" w:rsidRPr="00C5118A">
        <w:rPr>
          <w:rFonts w:ascii="Trebuchet MS" w:eastAsiaTheme="minorEastAsia" w:hAnsi="Trebuchet MS"/>
          <w:b/>
          <w:bCs/>
          <w:i/>
          <w:iCs/>
        </w:rPr>
        <w:t>Sanger sequencing method can be described as one of the first-generation of sequencing methods and the original duplex sequencing method</w:t>
      </w:r>
      <w:r w:rsidR="005A050D" w:rsidRPr="00C5118A">
        <w:rPr>
          <w:rFonts w:ascii="Trebuchet MS" w:eastAsiaTheme="minorEastAsia" w:hAnsi="Trebuchet MS"/>
          <w:b/>
          <w:bCs/>
          <w:i/>
          <w:iCs/>
        </w:rPr>
        <w:t xml:space="preserve">. The first iteration of the Sanger sequencing method required a single-stranded DNA template, a primer designed to bind to the start of the template DNA molecule, DNA polymerase to bind to the primer and initiate DNA synthesis, and free </w:t>
      </w:r>
      <w:r w:rsidR="005A050D" w:rsidRPr="00C5118A">
        <w:rPr>
          <w:rFonts w:ascii="Trebuchet MS" w:hAnsi="Trebuchet MS"/>
          <w:b/>
          <w:bCs/>
          <w:i/>
          <w:iCs/>
        </w:rPr>
        <w:t>deoxyribonucleotides</w:t>
      </w:r>
      <w:r w:rsidR="0043521B" w:rsidRPr="00C5118A">
        <w:rPr>
          <w:rFonts w:ascii="Trebuchet MS" w:hAnsi="Trebuchet MS"/>
          <w:b/>
          <w:bCs/>
          <w:i/>
          <w:iCs/>
        </w:rPr>
        <w:t xml:space="preserve"> (dNTP)</w:t>
      </w:r>
      <w:r w:rsidR="005A050D" w:rsidRPr="00C5118A">
        <w:rPr>
          <w:rFonts w:ascii="Trebuchet MS" w:eastAsiaTheme="minorEastAsia" w:hAnsi="Trebuchet MS"/>
          <w:b/>
          <w:bCs/>
          <w:i/>
          <w:iCs/>
        </w:rPr>
        <w:t xml:space="preserve"> and dideoxynuc</w:t>
      </w:r>
      <w:r w:rsidR="00EC605C" w:rsidRPr="00C5118A">
        <w:rPr>
          <w:rFonts w:ascii="Trebuchet MS" w:eastAsiaTheme="minorEastAsia" w:hAnsi="Trebuchet MS"/>
          <w:b/>
          <w:bCs/>
          <w:i/>
          <w:iCs/>
        </w:rPr>
        <w:t>leo</w:t>
      </w:r>
      <w:r w:rsidR="005A050D" w:rsidRPr="00C5118A">
        <w:rPr>
          <w:rFonts w:ascii="Trebuchet MS" w:eastAsiaTheme="minorEastAsia" w:hAnsi="Trebuchet MS"/>
          <w:b/>
          <w:bCs/>
          <w:i/>
          <w:iCs/>
        </w:rPr>
        <w:t>tides</w:t>
      </w:r>
      <w:r w:rsidR="00EC605C" w:rsidRPr="00C5118A">
        <w:rPr>
          <w:rFonts w:ascii="Trebuchet MS" w:eastAsiaTheme="minorEastAsia" w:hAnsi="Trebuchet MS"/>
          <w:b/>
          <w:bCs/>
          <w:i/>
          <w:iCs/>
        </w:rPr>
        <w:t xml:space="preserve"> (</w:t>
      </w:r>
      <w:proofErr w:type="spellStart"/>
      <w:r w:rsidR="00EC605C" w:rsidRPr="00C5118A">
        <w:rPr>
          <w:rFonts w:ascii="Trebuchet MS" w:eastAsiaTheme="minorEastAsia" w:hAnsi="Trebuchet MS"/>
          <w:b/>
          <w:bCs/>
          <w:i/>
          <w:iCs/>
        </w:rPr>
        <w:t>ddNTP</w:t>
      </w:r>
      <w:proofErr w:type="spellEnd"/>
      <w:r w:rsidR="00EC605C" w:rsidRPr="00C5118A">
        <w:rPr>
          <w:rFonts w:ascii="Trebuchet MS" w:eastAsiaTheme="minorEastAsia" w:hAnsi="Trebuchet MS"/>
          <w:b/>
          <w:bCs/>
          <w:i/>
          <w:iCs/>
        </w:rPr>
        <w:t>)</w:t>
      </w:r>
      <w:r w:rsidR="005A050D" w:rsidRPr="00C5118A">
        <w:rPr>
          <w:rFonts w:ascii="Trebuchet MS" w:eastAsiaTheme="minorEastAsia" w:hAnsi="Trebuchet MS"/>
          <w:b/>
          <w:bCs/>
          <w:i/>
          <w:iCs/>
        </w:rPr>
        <w:t xml:space="preserve"> to elongate and terminate </w:t>
      </w:r>
      <w:r w:rsidR="005E51CB" w:rsidRPr="00C5118A">
        <w:rPr>
          <w:rFonts w:ascii="Trebuchet MS" w:eastAsiaTheme="minorEastAsia" w:hAnsi="Trebuchet MS"/>
          <w:b/>
          <w:bCs/>
          <w:i/>
          <w:iCs/>
        </w:rPr>
        <w:t xml:space="preserve">DNA </w:t>
      </w:r>
      <w:r w:rsidR="00A52DAF" w:rsidRPr="00C5118A">
        <w:rPr>
          <w:rFonts w:ascii="Trebuchet MS" w:eastAsiaTheme="minorEastAsia" w:hAnsi="Trebuchet MS"/>
          <w:b/>
          <w:bCs/>
          <w:i/>
          <w:iCs/>
        </w:rPr>
        <w:t>synthesis,</w:t>
      </w:r>
      <w:r w:rsidR="005A050D" w:rsidRPr="00C5118A">
        <w:rPr>
          <w:rFonts w:ascii="Trebuchet MS" w:eastAsiaTheme="minorEastAsia" w:hAnsi="Trebuchet MS"/>
          <w:b/>
          <w:bCs/>
          <w:i/>
          <w:iCs/>
        </w:rPr>
        <w:t xml:space="preserve"> respectively. The chain</w:t>
      </w:r>
      <w:r w:rsidR="009F0627" w:rsidRPr="00C5118A">
        <w:rPr>
          <w:rFonts w:ascii="Trebuchet MS" w:eastAsiaTheme="minorEastAsia" w:hAnsi="Trebuchet MS"/>
          <w:b/>
          <w:bCs/>
          <w:i/>
          <w:iCs/>
        </w:rPr>
        <w:t>-</w:t>
      </w:r>
      <w:r w:rsidR="005A050D" w:rsidRPr="00C5118A">
        <w:rPr>
          <w:rFonts w:ascii="Trebuchet MS" w:eastAsiaTheme="minorEastAsia" w:hAnsi="Trebuchet MS"/>
          <w:b/>
          <w:bCs/>
          <w:i/>
          <w:iCs/>
        </w:rPr>
        <w:t xml:space="preserve">termination experiment </w:t>
      </w:r>
      <w:r w:rsidR="002043EA" w:rsidRPr="00C5118A">
        <w:rPr>
          <w:rFonts w:ascii="Trebuchet MS" w:eastAsiaTheme="minorEastAsia" w:hAnsi="Trebuchet MS"/>
          <w:b/>
          <w:bCs/>
          <w:i/>
          <w:iCs/>
        </w:rPr>
        <w:t>is</w:t>
      </w:r>
      <w:r w:rsidR="005A050D" w:rsidRPr="00C5118A">
        <w:rPr>
          <w:rFonts w:ascii="Trebuchet MS" w:eastAsiaTheme="minorEastAsia" w:hAnsi="Trebuchet MS"/>
          <w:b/>
          <w:bCs/>
          <w:i/>
          <w:iCs/>
        </w:rPr>
        <w:t xml:space="preserve"> repeated multiple times with four </w:t>
      </w:r>
      <w:r w:rsidR="005A050D" w:rsidRPr="00C5118A">
        <w:rPr>
          <w:rFonts w:ascii="Trebuchet MS" w:hAnsi="Trebuchet MS"/>
          <w:b/>
          <w:bCs/>
          <w:i/>
          <w:iCs/>
        </w:rPr>
        <w:t>dideoxynucleotides (</w:t>
      </w:r>
      <w:proofErr w:type="spellStart"/>
      <w:r w:rsidR="005A050D" w:rsidRPr="00C5118A">
        <w:rPr>
          <w:rFonts w:ascii="Trebuchet MS" w:hAnsi="Trebuchet MS"/>
          <w:b/>
          <w:bCs/>
          <w:i/>
          <w:iCs/>
        </w:rPr>
        <w:t>ddATP</w:t>
      </w:r>
      <w:proofErr w:type="spellEnd"/>
      <w:r w:rsidR="005A050D" w:rsidRPr="00C5118A">
        <w:rPr>
          <w:rFonts w:ascii="Trebuchet MS" w:hAnsi="Trebuchet MS"/>
          <w:b/>
          <w:bCs/>
          <w:i/>
          <w:iCs/>
        </w:rPr>
        <w:t xml:space="preserve">, </w:t>
      </w:r>
      <w:proofErr w:type="spellStart"/>
      <w:r w:rsidR="005A050D" w:rsidRPr="00C5118A">
        <w:rPr>
          <w:rFonts w:ascii="Trebuchet MS" w:hAnsi="Trebuchet MS"/>
          <w:b/>
          <w:bCs/>
          <w:i/>
          <w:iCs/>
        </w:rPr>
        <w:t>ddGTP</w:t>
      </w:r>
      <w:proofErr w:type="spellEnd"/>
      <w:r w:rsidR="005A050D" w:rsidRPr="00C5118A">
        <w:rPr>
          <w:rFonts w:ascii="Trebuchet MS" w:hAnsi="Trebuchet MS"/>
          <w:b/>
          <w:bCs/>
          <w:i/>
          <w:iCs/>
        </w:rPr>
        <w:t xml:space="preserve">, </w:t>
      </w:r>
      <w:proofErr w:type="spellStart"/>
      <w:r w:rsidR="005A050D" w:rsidRPr="00C5118A">
        <w:rPr>
          <w:rFonts w:ascii="Trebuchet MS" w:hAnsi="Trebuchet MS"/>
          <w:b/>
          <w:bCs/>
          <w:i/>
          <w:iCs/>
        </w:rPr>
        <w:t>ddCTP</w:t>
      </w:r>
      <w:proofErr w:type="spellEnd"/>
      <w:r w:rsidR="005A050D" w:rsidRPr="00C5118A">
        <w:rPr>
          <w:rFonts w:ascii="Trebuchet MS" w:hAnsi="Trebuchet MS"/>
          <w:b/>
          <w:bCs/>
          <w:i/>
          <w:iCs/>
        </w:rPr>
        <w:t xml:space="preserve">, </w:t>
      </w:r>
      <w:proofErr w:type="spellStart"/>
      <w:r w:rsidR="005A050D" w:rsidRPr="00C5118A">
        <w:rPr>
          <w:rFonts w:ascii="Trebuchet MS" w:hAnsi="Trebuchet MS"/>
          <w:b/>
          <w:bCs/>
          <w:i/>
          <w:iCs/>
        </w:rPr>
        <w:t>ddTTP</w:t>
      </w:r>
      <w:proofErr w:type="spellEnd"/>
      <w:r w:rsidR="005A050D" w:rsidRPr="00C5118A">
        <w:rPr>
          <w:rFonts w:ascii="Trebuchet MS" w:hAnsi="Trebuchet MS"/>
          <w:b/>
          <w:bCs/>
          <w:i/>
          <w:iCs/>
        </w:rPr>
        <w:t>)</w:t>
      </w:r>
      <w:r w:rsidR="002043EA" w:rsidRPr="00C5118A">
        <w:rPr>
          <w:rFonts w:ascii="Trebuchet MS" w:hAnsi="Trebuchet MS"/>
          <w:b/>
          <w:bCs/>
          <w:i/>
          <w:iCs/>
        </w:rPr>
        <w:t xml:space="preserve"> to obtain DNA fragments of different sizes and DNA sequence is </w:t>
      </w:r>
      <w:r w:rsidR="00384F5E" w:rsidRPr="00C5118A">
        <w:rPr>
          <w:rFonts w:ascii="Trebuchet MS" w:hAnsi="Trebuchet MS"/>
          <w:b/>
          <w:bCs/>
          <w:i/>
          <w:iCs/>
        </w:rPr>
        <w:t xml:space="preserve">subsequently </w:t>
      </w:r>
      <w:r w:rsidR="002043EA" w:rsidRPr="00C5118A">
        <w:rPr>
          <w:rFonts w:ascii="Trebuchet MS" w:hAnsi="Trebuchet MS"/>
          <w:b/>
          <w:bCs/>
          <w:i/>
          <w:iCs/>
        </w:rPr>
        <w:t>determined from</w:t>
      </w:r>
      <w:r w:rsidR="000A066A" w:rsidRPr="00C5118A">
        <w:rPr>
          <w:rFonts w:ascii="Trebuchet MS" w:hAnsi="Trebuchet MS"/>
          <w:b/>
          <w:bCs/>
          <w:i/>
          <w:iCs/>
        </w:rPr>
        <w:t xml:space="preserve"> reading the</w:t>
      </w:r>
      <w:r w:rsidR="002043EA" w:rsidRPr="00C5118A">
        <w:rPr>
          <w:rFonts w:ascii="Trebuchet MS" w:hAnsi="Trebuchet MS"/>
          <w:b/>
          <w:bCs/>
          <w:i/>
          <w:iCs/>
        </w:rPr>
        <w:t xml:space="preserve"> </w:t>
      </w:r>
      <w:r w:rsidR="00D84377" w:rsidRPr="00C5118A">
        <w:rPr>
          <w:rFonts w:ascii="Trebuchet MS" w:hAnsi="Trebuchet MS"/>
          <w:b/>
          <w:bCs/>
          <w:i/>
          <w:iCs/>
        </w:rPr>
        <w:t xml:space="preserve">gel electrophoresis </w:t>
      </w:r>
      <w:r w:rsidR="000A066A" w:rsidRPr="00C5118A">
        <w:rPr>
          <w:rFonts w:ascii="Trebuchet MS" w:hAnsi="Trebuchet MS"/>
          <w:b/>
          <w:bCs/>
          <w:i/>
          <w:iCs/>
        </w:rPr>
        <w:t>results</w:t>
      </w:r>
      <w:r w:rsidR="00D84377" w:rsidRPr="00C5118A">
        <w:rPr>
          <w:rFonts w:ascii="Trebuchet MS" w:hAnsi="Trebuchet MS"/>
          <w:b/>
          <w:bCs/>
          <w:i/>
          <w:iCs/>
        </w:rPr>
        <w:t xml:space="preserve"> from the four chain</w:t>
      </w:r>
      <w:r w:rsidR="009F0627" w:rsidRPr="00C5118A">
        <w:rPr>
          <w:rFonts w:ascii="Trebuchet MS" w:hAnsi="Trebuchet MS"/>
          <w:b/>
          <w:bCs/>
          <w:i/>
          <w:iCs/>
        </w:rPr>
        <w:t>-</w:t>
      </w:r>
      <w:r w:rsidR="00D84377" w:rsidRPr="00C5118A">
        <w:rPr>
          <w:rFonts w:ascii="Trebuchet MS" w:hAnsi="Trebuchet MS"/>
          <w:b/>
          <w:bCs/>
          <w:i/>
          <w:iCs/>
        </w:rPr>
        <w:t>termination experiments.</w:t>
      </w:r>
      <w:r w:rsidR="00D84377" w:rsidRPr="00C5118A">
        <w:rPr>
          <w:rFonts w:ascii="Trebuchet MS" w:hAnsi="Trebuchet MS"/>
        </w:rPr>
        <w:t xml:space="preserve"> </w:t>
      </w:r>
      <w:r w:rsidR="00384F5E" w:rsidRPr="00C5118A">
        <w:rPr>
          <w:rFonts w:ascii="Trebuchet MS" w:hAnsi="Trebuchet MS"/>
        </w:rPr>
        <w:t>B</w:t>
      </w:r>
      <w:r w:rsidR="002E3503" w:rsidRPr="00C5118A">
        <w:rPr>
          <w:rFonts w:ascii="Trebuchet MS" w:hAnsi="Trebuchet MS"/>
        </w:rPr>
        <w:t xml:space="preserve">i-directional Sanger sequencing </w:t>
      </w:r>
      <w:r w:rsidR="002E3503" w:rsidRPr="00C5118A">
        <w:rPr>
          <w:rFonts w:ascii="Trebuchet MS" w:hAnsi="Trebuchet MS"/>
          <w:lang w:val="en-US"/>
        </w:rPr>
        <w:t xml:space="preserve">can </w:t>
      </w:r>
      <w:r w:rsidR="00384F5E" w:rsidRPr="00C5118A">
        <w:rPr>
          <w:rFonts w:ascii="Trebuchet MS" w:hAnsi="Trebuchet MS"/>
          <w:lang w:val="en-US"/>
        </w:rPr>
        <w:t xml:space="preserve">also </w:t>
      </w:r>
      <w:r w:rsidR="002E3503" w:rsidRPr="00C5118A">
        <w:rPr>
          <w:rFonts w:ascii="Trebuchet MS" w:hAnsi="Trebuchet MS"/>
          <w:lang w:val="en-US"/>
        </w:rPr>
        <w:t xml:space="preserve">be performed </w:t>
      </w:r>
      <w:r w:rsidR="0030590B" w:rsidRPr="00C5118A">
        <w:rPr>
          <w:rFonts w:ascii="Trebuchet MS" w:hAnsi="Trebuchet MS"/>
          <w:lang w:val="en-US"/>
        </w:rPr>
        <w:t xml:space="preserve">to </w:t>
      </w:r>
      <w:r w:rsidR="00856254" w:rsidRPr="00C5118A">
        <w:rPr>
          <w:rFonts w:ascii="Trebuchet MS" w:hAnsi="Trebuchet MS"/>
          <w:lang w:val="en-US"/>
        </w:rPr>
        <w:t>sequence both</w:t>
      </w:r>
      <w:r w:rsidR="0030590B" w:rsidRPr="00C5118A">
        <w:rPr>
          <w:rFonts w:ascii="Trebuchet MS" w:hAnsi="Trebuchet MS"/>
          <w:lang w:val="en-US"/>
        </w:rPr>
        <w:t xml:space="preserve"> the forward and reverse strand of the template molecule and complementary base pairing between the two strands is leveraged to construct</w:t>
      </w:r>
      <w:r w:rsidR="00FC383B" w:rsidRPr="00C5118A">
        <w:rPr>
          <w:rFonts w:ascii="Trebuchet MS" w:hAnsi="Trebuchet MS"/>
          <w:lang w:val="en-US"/>
        </w:rPr>
        <w:t>, what is in essence, a</w:t>
      </w:r>
      <w:r w:rsidR="006B0C6A" w:rsidRPr="00C5118A">
        <w:rPr>
          <w:rFonts w:ascii="Trebuchet MS" w:hAnsi="Trebuchet MS"/>
          <w:lang w:val="en-US"/>
        </w:rPr>
        <w:t xml:space="preserve"> </w:t>
      </w:r>
      <w:r w:rsidR="0030590B" w:rsidRPr="00C5118A">
        <w:rPr>
          <w:rFonts w:ascii="Trebuchet MS" w:hAnsi="Trebuchet MS"/>
          <w:lang w:val="en-US"/>
        </w:rPr>
        <w:t xml:space="preserve">duplex </w:t>
      </w:r>
      <w:r w:rsidR="00856254" w:rsidRPr="00C5118A">
        <w:rPr>
          <w:rFonts w:ascii="Trebuchet MS" w:hAnsi="Trebuchet MS"/>
          <w:lang w:val="en-US"/>
        </w:rPr>
        <w:t>read with higher base accuracy</w:t>
      </w:r>
      <w:r w:rsidR="00D67B7F" w:rsidRPr="00C5118A">
        <w:rPr>
          <w:rFonts w:ascii="Trebuchet MS" w:hAnsi="Trebuchet MS"/>
          <w:lang w:val="en-US"/>
        </w:rPr>
        <w:t xml:space="preserve"> </w:t>
      </w:r>
      <w:r w:rsidR="00D67B7F" w:rsidRPr="00C5118A">
        <w:rPr>
          <w:rFonts w:ascii="Trebuchet MS" w:eastAsiaTheme="minorEastAsia" w:hAnsi="Trebuchet MS"/>
        </w:rPr>
        <w:t>\</w:t>
      </w:r>
      <w:proofErr w:type="gramStart"/>
      <w:r w:rsidR="00D67B7F" w:rsidRPr="00C5118A">
        <w:rPr>
          <w:rFonts w:ascii="Trebuchet MS" w:eastAsiaTheme="minorEastAsia" w:hAnsi="Trebuchet MS"/>
        </w:rPr>
        <w:t>cite{</w:t>
      </w:r>
      <w:proofErr w:type="gramEnd"/>
      <w:r w:rsidR="00D67B7F" w:rsidRPr="00C5118A">
        <w:rPr>
          <w:rFonts w:ascii="Trebuchet MS" w:eastAsiaTheme="minorEastAsia" w:hAnsi="Trebuchet MS"/>
        </w:rPr>
        <w:t>Sanger1977-os}</w:t>
      </w:r>
      <w:r w:rsidR="006B0C6A" w:rsidRPr="00C5118A">
        <w:rPr>
          <w:rFonts w:ascii="Trebuchet MS" w:eastAsiaTheme="minorEastAsia" w:hAnsi="Trebuchet MS"/>
        </w:rPr>
        <w:t xml:space="preserve">. </w:t>
      </w:r>
    </w:p>
    <w:p w14:paraId="5AB74984" w14:textId="3F0DF706" w:rsidR="00764345" w:rsidRPr="00C5118A" w:rsidRDefault="00764345" w:rsidP="00C00019">
      <w:pPr>
        <w:rPr>
          <w:rFonts w:ascii="Trebuchet MS" w:eastAsiaTheme="minorEastAsia" w:hAnsi="Trebuchet MS"/>
        </w:rPr>
      </w:pPr>
    </w:p>
    <w:p w14:paraId="15CA6B5D" w14:textId="307F8D08"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Duplex sequencing}</w:t>
      </w:r>
    </w:p>
    <w:p w14:paraId="4BDCF8C1" w14:textId="77777777" w:rsidR="0086309A" w:rsidRPr="00C5118A" w:rsidRDefault="0086309A" w:rsidP="00C00019">
      <w:pPr>
        <w:rPr>
          <w:rFonts w:ascii="Trebuchet MS" w:eastAsiaTheme="minorEastAsia" w:hAnsi="Trebuchet MS"/>
        </w:rPr>
      </w:pPr>
    </w:p>
    <w:p w14:paraId="3006D3C3" w14:textId="77777777" w:rsidR="008C2E17" w:rsidRPr="00C5118A" w:rsidRDefault="00F812E0" w:rsidP="00C00019">
      <w:pPr>
        <w:rPr>
          <w:rFonts w:ascii="Trebuchet MS" w:eastAsiaTheme="minorEastAsia" w:hAnsi="Trebuchet MS"/>
        </w:rPr>
      </w:pPr>
      <w:r w:rsidRPr="00C5118A">
        <w:rPr>
          <w:rFonts w:ascii="Trebuchet MS" w:eastAsiaTheme="minorEastAsia" w:hAnsi="Trebuchet MS"/>
        </w:rPr>
        <w:t xml:space="preserve">The current incarnation of the duplex sequencing method </w:t>
      </w:r>
      <w:r w:rsidR="00512092" w:rsidRPr="00C5118A">
        <w:rPr>
          <w:rFonts w:ascii="Trebuchet MS" w:eastAsiaTheme="minorEastAsia" w:hAnsi="Trebuchet MS"/>
        </w:rPr>
        <w:t>was developed for ultra-rare somatic mutation detection</w:t>
      </w:r>
      <w:r w:rsidR="004F54F2" w:rsidRPr="00C5118A">
        <w:rPr>
          <w:rFonts w:ascii="Trebuchet MS" w:eastAsiaTheme="minorEastAsia" w:hAnsi="Trebuchet MS"/>
        </w:rPr>
        <w:t xml:space="preserve"> (&lt;0.01</w:t>
      </w:r>
      <w:r w:rsidR="00E34F8B" w:rsidRPr="00C5118A">
        <w:rPr>
          <w:rFonts w:ascii="Trebuchet MS" w:eastAsiaTheme="minorEastAsia" w:hAnsi="Trebuchet MS"/>
        </w:rPr>
        <w:t>\</w:t>
      </w:r>
      <w:r w:rsidR="004F54F2" w:rsidRPr="00C5118A">
        <w:rPr>
          <w:rFonts w:ascii="Trebuchet MS" w:eastAsiaTheme="minorEastAsia" w:hAnsi="Trebuchet MS"/>
        </w:rPr>
        <w:t>% VAF)</w:t>
      </w:r>
      <w:r w:rsidR="00FB526F" w:rsidRPr="00C5118A">
        <w:rPr>
          <w:rFonts w:ascii="Trebuchet MS" w:eastAsiaTheme="minorEastAsia" w:hAnsi="Trebuchet MS"/>
        </w:rPr>
        <w:t xml:space="preserve"> and to increase the limit of detection threshold beyond the technical limitations of the Illumina platform</w:t>
      </w:r>
      <w:r w:rsidR="00940FB2" w:rsidRPr="00C5118A">
        <w:rPr>
          <w:rFonts w:ascii="Trebuchet MS" w:eastAsiaTheme="minorEastAsia" w:hAnsi="Trebuchet MS"/>
        </w:rPr>
        <w:t xml:space="preserve"> \</w:t>
      </w:r>
      <w:proofErr w:type="gramStart"/>
      <w:r w:rsidR="00940FB2" w:rsidRPr="00C5118A">
        <w:rPr>
          <w:rFonts w:ascii="Trebuchet MS" w:eastAsiaTheme="minorEastAsia" w:hAnsi="Trebuchet MS"/>
        </w:rPr>
        <w:t>cite{</w:t>
      </w:r>
      <w:proofErr w:type="gramEnd"/>
      <w:r w:rsidR="00940FB2" w:rsidRPr="00C5118A">
        <w:rPr>
          <w:rFonts w:ascii="Trebuchet MS" w:eastAsiaTheme="minorEastAsia" w:hAnsi="Trebuchet MS"/>
        </w:rPr>
        <w:t>Schmitt2012-yr}</w:t>
      </w:r>
      <w:r w:rsidR="008C2E17" w:rsidRPr="00C5118A">
        <w:rPr>
          <w:rFonts w:ascii="Trebuchet MS" w:eastAsiaTheme="minorEastAsia" w:hAnsi="Trebuchet MS"/>
        </w:rPr>
        <w:t>.</w:t>
      </w:r>
    </w:p>
    <w:p w14:paraId="0B7FC4E5" w14:textId="77777777" w:rsidR="008C2E17" w:rsidRPr="00C5118A" w:rsidRDefault="008C2E17" w:rsidP="00C00019">
      <w:pPr>
        <w:rPr>
          <w:rFonts w:ascii="Trebuchet MS" w:eastAsiaTheme="minorEastAsia" w:hAnsi="Trebuchet MS"/>
        </w:rPr>
      </w:pPr>
    </w:p>
    <w:p w14:paraId="24F06E84" w14:textId="6F25782A" w:rsidR="008B5E72" w:rsidRPr="00C5118A" w:rsidRDefault="0060602B" w:rsidP="00C00019">
      <w:pPr>
        <w:rPr>
          <w:rFonts w:ascii="Trebuchet MS" w:eastAsiaTheme="minorEastAsia" w:hAnsi="Trebuchet MS"/>
        </w:rPr>
      </w:pPr>
      <w:r w:rsidRPr="00C5118A">
        <w:rPr>
          <w:rFonts w:ascii="Trebuchet MS" w:eastAsiaTheme="minorEastAsia" w:hAnsi="Trebuchet MS"/>
        </w:rPr>
        <w:t xml:space="preserve">In addition, repeated Sanger sequencing of the same template molecule could have produced duplex reads with similar performance, but the sequencing cost would have been </w:t>
      </w:r>
      <w:r w:rsidR="008B5E72" w:rsidRPr="00C5118A">
        <w:rPr>
          <w:rFonts w:ascii="Trebuchet MS" w:eastAsiaTheme="minorEastAsia" w:hAnsi="Trebuchet MS"/>
        </w:rPr>
        <w:t xml:space="preserve">impractical. </w:t>
      </w:r>
      <w:r w:rsidRPr="00C5118A">
        <w:rPr>
          <w:rFonts w:ascii="Trebuchet MS" w:eastAsiaTheme="minorEastAsia" w:hAnsi="Trebuchet MS"/>
        </w:rPr>
        <w:t xml:space="preserve"> </w:t>
      </w:r>
    </w:p>
    <w:p w14:paraId="05152DA2" w14:textId="77777777" w:rsidR="008B5E72" w:rsidRPr="00C5118A" w:rsidRDefault="008B5E72" w:rsidP="00C00019">
      <w:pPr>
        <w:rPr>
          <w:rFonts w:ascii="Trebuchet MS" w:eastAsiaTheme="minorEastAsia" w:hAnsi="Trebuchet MS"/>
        </w:rPr>
      </w:pPr>
    </w:p>
    <w:p w14:paraId="7BACB046" w14:textId="783ADBF5" w:rsidR="004C52FA" w:rsidRPr="00C5118A" w:rsidRDefault="00C00019" w:rsidP="00C00019">
      <w:pPr>
        <w:rPr>
          <w:rFonts w:ascii="Trebuchet MS" w:eastAsiaTheme="minorEastAsia" w:hAnsi="Trebuchet MS"/>
        </w:rPr>
      </w:pPr>
      <w:r w:rsidRPr="00C5118A">
        <w:rPr>
          <w:rFonts w:ascii="Trebuchet MS" w:eastAsiaTheme="minorEastAsia" w:hAnsi="Trebuchet MS"/>
        </w:rPr>
        <w:t>The duplex library preparation protocol starts with the sonication and fragmentation of genomic DNA. Unique molecular identifier (UMI) consisting of 8 to 12 nucleotide</w:t>
      </w:r>
      <w:r w:rsidR="00CF2BC7" w:rsidRPr="00C5118A">
        <w:rPr>
          <w:rFonts w:ascii="Trebuchet MS" w:eastAsiaTheme="minorEastAsia" w:hAnsi="Trebuchet MS"/>
        </w:rPr>
        <w:t>s</w:t>
      </w:r>
      <w:r w:rsidRPr="00C5118A">
        <w:rPr>
          <w:rFonts w:ascii="Trebuchet MS" w:eastAsiaTheme="minorEastAsia" w:hAnsi="Trebuchet MS"/>
        </w:rPr>
        <w:t xml:space="preserve"> and Illumina adapters are attached to double-stranded DNA molecules prior to their PCR amplification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Schmitt2012-yr}. The duplex </w:t>
      </w:r>
      <w:r w:rsidRPr="00C5118A">
        <w:rPr>
          <w:rFonts w:ascii="Trebuchet MS" w:eastAsiaTheme="minorEastAsia" w:hAnsi="Trebuchet MS"/>
        </w:rPr>
        <w:lastRenderedPageBreak/>
        <w:t>library is diluted before PCR amplification to achieve optimal sampling and duplication per template molecule \</w:t>
      </w:r>
      <w:proofErr w:type="gramStart"/>
      <w:r w:rsidRPr="00C5118A">
        <w:rPr>
          <w:rFonts w:ascii="Trebuchet MS" w:eastAsiaTheme="minorEastAsia" w:hAnsi="Trebuchet MS"/>
        </w:rPr>
        <w:t>cite{</w:t>
      </w:r>
      <w:proofErr w:type="gramEnd"/>
      <w:r w:rsidRPr="00C5118A">
        <w:rPr>
          <w:rFonts w:ascii="Trebuchet MS" w:eastAsiaTheme="minorEastAsia" w:hAnsi="Trebuchet MS"/>
        </w:rPr>
        <w:t>Hoang2016-jx, Abascal2021-pk}. PCR amplified library is sequence</w:t>
      </w:r>
      <w:r w:rsidR="00F0363F" w:rsidRPr="00C5118A">
        <w:rPr>
          <w:rFonts w:ascii="Trebuchet MS" w:eastAsiaTheme="minorEastAsia" w:hAnsi="Trebuchet MS"/>
        </w:rPr>
        <w:t xml:space="preserve">d using one of many Illumina sequencing instruments. </w:t>
      </w:r>
      <w:r w:rsidRPr="00C5118A">
        <w:rPr>
          <w:rFonts w:ascii="Trebuchet MS" w:eastAsiaTheme="minorEastAsia" w:hAnsi="Trebuchet MS"/>
        </w:rPr>
        <w:t>Illumina reads are subsequently grouped according to their UMI and are classified as Watson or Crick strand depending on whether the sequence was derived from</w:t>
      </w:r>
      <w:r w:rsidR="00F0363F" w:rsidRPr="00C5118A">
        <w:rPr>
          <w:rFonts w:ascii="Trebuchet MS" w:eastAsiaTheme="minorEastAsia" w:hAnsi="Trebuchet MS"/>
        </w:rPr>
        <w:t xml:space="preserve"> the</w:t>
      </w:r>
      <w:r w:rsidRPr="00C5118A">
        <w:rPr>
          <w:rFonts w:ascii="Trebuchet MS" w:eastAsiaTheme="minorEastAsia" w:hAnsi="Trebuchet MS"/>
        </w:rPr>
        <w:t xml:space="preserve"> P5 or P7</w:t>
      </w:r>
      <w:r w:rsidR="00F0363F" w:rsidRPr="00C5118A">
        <w:rPr>
          <w:rFonts w:ascii="Trebuchet MS" w:eastAsiaTheme="minorEastAsia" w:hAnsi="Trebuchet MS"/>
        </w:rPr>
        <w:t xml:space="preserve"> Illumina adapter</w:t>
      </w:r>
      <w:r w:rsidRPr="00C5118A">
        <w:rPr>
          <w:rFonts w:ascii="Trebuchet MS" w:eastAsiaTheme="minorEastAsia" w:hAnsi="Trebuchet MS"/>
        </w:rPr>
        <w:t xml:space="preserve">, respectively. </w:t>
      </w:r>
    </w:p>
    <w:p w14:paraId="75D04C72" w14:textId="77777777" w:rsidR="004C52FA" w:rsidRPr="00C5118A" w:rsidRDefault="004C52FA" w:rsidP="00C00019">
      <w:pPr>
        <w:rPr>
          <w:rFonts w:ascii="Trebuchet MS" w:eastAsiaTheme="minorEastAsia" w:hAnsi="Trebuchet MS"/>
        </w:rPr>
      </w:pPr>
    </w:p>
    <w:p w14:paraId="7FB75C57" w14:textId="61402A47" w:rsidR="00C00019" w:rsidRPr="00C5118A" w:rsidRDefault="00C00019" w:rsidP="00C00019">
      <w:pPr>
        <w:rPr>
          <w:rFonts w:ascii="Trebuchet MS" w:eastAsiaTheme="minorEastAsia" w:hAnsi="Trebuchet MS"/>
        </w:rPr>
      </w:pPr>
      <w:r w:rsidRPr="00C5118A">
        <w:rPr>
          <w:rFonts w:ascii="Trebuchet MS" w:eastAsiaTheme="minorEastAsia" w:hAnsi="Trebuchet MS"/>
        </w:rPr>
        <w:t>A highly accurate</w:t>
      </w:r>
      <w:r w:rsidR="00F0363F" w:rsidRPr="00C5118A">
        <w:rPr>
          <w:rFonts w:ascii="Trebuchet MS" w:eastAsiaTheme="minorEastAsia" w:hAnsi="Trebuchet MS"/>
        </w:rPr>
        <w:t xml:space="preserve"> duplex consensus sequence</w:t>
      </w:r>
      <w:r w:rsidRPr="00C5118A">
        <w:rPr>
          <w:rFonts w:ascii="Trebuchet MS" w:eastAsiaTheme="minorEastAsia" w:hAnsi="Trebuchet MS"/>
        </w:rPr>
        <w:t xml:space="preserve"> is</w:t>
      </w:r>
      <w:r w:rsidR="004A446D" w:rsidRPr="00C5118A">
        <w:rPr>
          <w:rFonts w:ascii="Trebuchet MS" w:eastAsiaTheme="minorEastAsia" w:hAnsi="Trebuchet MS"/>
        </w:rPr>
        <w:t>, thereafter,</w:t>
      </w:r>
      <w:r w:rsidRPr="00C5118A">
        <w:rPr>
          <w:rFonts w:ascii="Trebuchet MS" w:eastAsiaTheme="minorEastAsia" w:hAnsi="Trebuchet MS"/>
        </w:rPr>
        <w:t xml:space="preserve"> generated </w:t>
      </w:r>
      <w:r w:rsidR="00651974" w:rsidRPr="00C5118A">
        <w:rPr>
          <w:rFonts w:ascii="Trebuchet MS" w:eastAsiaTheme="minorEastAsia" w:hAnsi="Trebuchet MS"/>
        </w:rPr>
        <w:t>taking advantage of</w:t>
      </w:r>
      <w:r w:rsidRPr="00C5118A">
        <w:rPr>
          <w:rFonts w:ascii="Trebuchet MS" w:eastAsiaTheme="minorEastAsia" w:hAnsi="Trebuchet MS"/>
        </w:rPr>
        <w:t xml:space="preserve"> the redundancies and complementa</w:t>
      </w:r>
      <w:r w:rsidR="006339E7" w:rsidRPr="00C5118A">
        <w:rPr>
          <w:rFonts w:ascii="Trebuchet MS" w:eastAsiaTheme="minorEastAsia" w:hAnsi="Trebuchet MS"/>
        </w:rPr>
        <w:t>ry base pairing</w:t>
      </w:r>
      <w:r w:rsidRPr="00C5118A">
        <w:rPr>
          <w:rFonts w:ascii="Trebuchet MS" w:eastAsiaTheme="minorEastAsia" w:hAnsi="Trebuchet MS"/>
        </w:rPr>
        <w:t xml:space="preserve"> between the forward and reverse strand reads</w:t>
      </w:r>
      <w:r w:rsidR="00713FE3" w:rsidRPr="00C5118A">
        <w:rPr>
          <w:rFonts w:ascii="Trebuchet MS" w:eastAsiaTheme="minorEastAsia" w:hAnsi="Trebuchet MS"/>
        </w:rPr>
        <w:t xml:space="preserve"> (Figure \</w:t>
      </w:r>
      <w:proofErr w:type="gramStart"/>
      <w:r w:rsidR="00713FE3" w:rsidRPr="00C5118A">
        <w:rPr>
          <w:rFonts w:ascii="Trebuchet MS" w:eastAsiaTheme="minorEastAsia" w:hAnsi="Trebuchet MS"/>
        </w:rPr>
        <w:t>ref{</w:t>
      </w:r>
      <w:proofErr w:type="gramEnd"/>
      <w:r w:rsidR="00713FE3" w:rsidRPr="00C5118A">
        <w:rPr>
          <w:rFonts w:ascii="Trebuchet MS" w:eastAsiaTheme="minorEastAsia" w:hAnsi="Trebuchet MS"/>
        </w:rPr>
        <w:t>})</w:t>
      </w:r>
      <w:r w:rsidRPr="00C5118A">
        <w:rPr>
          <w:rFonts w:ascii="Trebuchet MS" w:eastAsiaTheme="minorEastAsia" w:hAnsi="Trebuchet MS"/>
        </w:rPr>
        <w:t xml:space="preserve">. </w:t>
      </w:r>
      <w:r w:rsidR="00277DCB" w:rsidRPr="00C5118A">
        <w:rPr>
          <w:rFonts w:ascii="Trebuchet MS" w:eastAsiaTheme="minorEastAsia" w:hAnsi="Trebuchet MS"/>
        </w:rPr>
        <w:t>The higher sequence throughput of Illumina instrument</w:t>
      </w:r>
      <w:r w:rsidR="00332ACB" w:rsidRPr="00C5118A">
        <w:rPr>
          <w:rFonts w:ascii="Trebuchet MS" w:eastAsiaTheme="minorEastAsia" w:hAnsi="Trebuchet MS"/>
        </w:rPr>
        <w:t>s</w:t>
      </w:r>
      <w:r w:rsidR="00713FE3" w:rsidRPr="00C5118A">
        <w:rPr>
          <w:rFonts w:ascii="Trebuchet MS" w:eastAsiaTheme="minorEastAsia" w:hAnsi="Trebuchet MS"/>
        </w:rPr>
        <w:t xml:space="preserve"> is critical in acquiring multiple reads (redundancies) from both strands of the template molecule</w:t>
      </w:r>
      <w:r w:rsidR="006F6778" w:rsidRPr="00C5118A">
        <w:rPr>
          <w:rFonts w:ascii="Trebuchet MS" w:eastAsiaTheme="minorEastAsia" w:hAnsi="Trebuchet MS"/>
        </w:rPr>
        <w:t xml:space="preserve"> and to </w:t>
      </w:r>
      <w:r w:rsidR="00582A10" w:rsidRPr="00C5118A">
        <w:rPr>
          <w:rFonts w:ascii="Trebuchet MS" w:eastAsiaTheme="minorEastAsia" w:hAnsi="Trebuchet MS"/>
        </w:rPr>
        <w:t>identifying</w:t>
      </w:r>
      <w:r w:rsidR="006F6778" w:rsidRPr="00C5118A">
        <w:rPr>
          <w:rFonts w:ascii="Trebuchet MS" w:eastAsiaTheme="minorEastAsia" w:hAnsi="Trebuchet MS"/>
        </w:rPr>
        <w:t xml:space="preserve"> library </w:t>
      </w:r>
      <w:r w:rsidR="006C03C4" w:rsidRPr="00C5118A">
        <w:rPr>
          <w:rFonts w:ascii="Trebuchet MS" w:eastAsiaTheme="minorEastAsia" w:hAnsi="Trebuchet MS"/>
        </w:rPr>
        <w:t xml:space="preserve">and amplification </w:t>
      </w:r>
      <w:r w:rsidR="006F6778" w:rsidRPr="00C5118A">
        <w:rPr>
          <w:rFonts w:ascii="Trebuchet MS" w:eastAsiaTheme="minorEastAsia" w:hAnsi="Trebuchet MS"/>
        </w:rPr>
        <w:t xml:space="preserve">errors introduced upstream of sequencing. </w:t>
      </w:r>
      <w:r w:rsidRPr="00C5118A">
        <w:rPr>
          <w:rFonts w:ascii="Trebuchet MS" w:eastAsiaTheme="minorEastAsia" w:hAnsi="Trebuchet MS"/>
        </w:rPr>
        <w:t>DNA</w:t>
      </w:r>
      <w:r w:rsidR="00582A10" w:rsidRPr="00C5118A">
        <w:rPr>
          <w:rFonts w:ascii="Trebuchet MS" w:eastAsiaTheme="minorEastAsia" w:hAnsi="Trebuchet MS"/>
        </w:rPr>
        <w:t>P</w:t>
      </w:r>
      <w:r w:rsidRPr="00C5118A">
        <w:rPr>
          <w:rFonts w:ascii="Trebuchet MS" w:eastAsiaTheme="minorEastAsia" w:hAnsi="Trebuchet MS"/>
        </w:rPr>
        <w:t xml:space="preserve">, for example, might incorrectly replicate the template </w:t>
      </w:r>
      <w:r w:rsidR="004C52FA" w:rsidRPr="00C5118A">
        <w:rPr>
          <w:rFonts w:ascii="Trebuchet MS" w:eastAsiaTheme="minorEastAsia" w:hAnsi="Trebuchet MS"/>
        </w:rPr>
        <w:t xml:space="preserve">DNA </w:t>
      </w:r>
      <w:r w:rsidRPr="00C5118A">
        <w:rPr>
          <w:rFonts w:ascii="Trebuchet MS" w:eastAsiaTheme="minorEastAsia" w:hAnsi="Trebuchet MS"/>
        </w:rPr>
        <w:t>molecule during PCR amplification, but the polymerase error will be present only in one copy or a subset of the copies</w:t>
      </w:r>
      <w:r w:rsidR="004C52FA" w:rsidRPr="00C5118A">
        <w:rPr>
          <w:rFonts w:ascii="Trebuchet MS" w:eastAsiaTheme="minorEastAsia" w:hAnsi="Trebuchet MS"/>
        </w:rPr>
        <w:t>. In addition, if both forward and reverse strand</w:t>
      </w:r>
      <w:r w:rsidR="00332ACB" w:rsidRPr="00C5118A">
        <w:rPr>
          <w:rFonts w:ascii="Trebuchet MS" w:eastAsiaTheme="minorEastAsia" w:hAnsi="Trebuchet MS"/>
        </w:rPr>
        <w:t>s</w:t>
      </w:r>
      <w:r w:rsidR="004C52FA" w:rsidRPr="00C5118A">
        <w:rPr>
          <w:rFonts w:ascii="Trebuchet MS" w:eastAsiaTheme="minorEastAsia" w:hAnsi="Trebuchet MS"/>
        </w:rPr>
        <w:t xml:space="preserve"> </w:t>
      </w:r>
      <w:r w:rsidR="00332ACB" w:rsidRPr="00C5118A">
        <w:rPr>
          <w:rFonts w:ascii="Trebuchet MS" w:eastAsiaTheme="minorEastAsia" w:hAnsi="Trebuchet MS"/>
        </w:rPr>
        <w:t>are</w:t>
      </w:r>
      <w:r w:rsidR="004C52FA" w:rsidRPr="00C5118A">
        <w:rPr>
          <w:rFonts w:ascii="Trebuchet MS" w:eastAsiaTheme="minorEastAsia" w:hAnsi="Trebuchet MS"/>
        </w:rPr>
        <w:t xml:space="preserve"> sampled sufficiently, complementarity between the two strands </w:t>
      </w:r>
      <w:r w:rsidR="009B350D" w:rsidRPr="00C5118A">
        <w:rPr>
          <w:rFonts w:ascii="Trebuchet MS" w:eastAsiaTheme="minorEastAsia" w:hAnsi="Trebuchet MS"/>
        </w:rPr>
        <w:t>can be</w:t>
      </w:r>
      <w:r w:rsidR="004C52FA" w:rsidRPr="00C5118A">
        <w:rPr>
          <w:rFonts w:ascii="Trebuchet MS" w:eastAsiaTheme="minorEastAsia" w:hAnsi="Trebuchet MS"/>
        </w:rPr>
        <w:t xml:space="preserve"> used to demarcate </w:t>
      </w:r>
      <w:r w:rsidR="004C52FA" w:rsidRPr="00C5118A">
        <w:rPr>
          <w:rFonts w:ascii="Trebuchet MS" w:eastAsiaTheme="minorEastAsia" w:hAnsi="Trebuchet MS"/>
          <w:lang w:val="en-US"/>
        </w:rPr>
        <w:t>bases with high accuracy from bases with low accuracy</w:t>
      </w:r>
      <w:r w:rsidR="009B350D" w:rsidRPr="00C5118A">
        <w:rPr>
          <w:rFonts w:ascii="Trebuchet MS" w:eastAsiaTheme="minorEastAsia" w:hAnsi="Trebuchet MS"/>
          <w:lang w:val="en-US"/>
        </w:rPr>
        <w:t xml:space="preserve"> \</w:t>
      </w:r>
      <w:proofErr w:type="gramStart"/>
      <w:r w:rsidR="009B350D" w:rsidRPr="00C5118A">
        <w:rPr>
          <w:rFonts w:ascii="Trebuchet MS" w:eastAsiaTheme="minorEastAsia" w:hAnsi="Trebuchet MS"/>
          <w:lang w:val="en-US"/>
        </w:rPr>
        <w:t>cite{</w:t>
      </w:r>
      <w:proofErr w:type="gramEnd"/>
      <w:r w:rsidR="00AC1631" w:rsidRPr="00C5118A">
        <w:rPr>
          <w:rFonts w:ascii="Trebuchet MS" w:eastAsiaTheme="minorEastAsia" w:hAnsi="Trebuchet MS"/>
        </w:rPr>
        <w:t>Schmitt2012-yr</w:t>
      </w:r>
      <w:r w:rsidR="009B350D" w:rsidRPr="00C5118A">
        <w:rPr>
          <w:rFonts w:ascii="Trebuchet MS" w:eastAsiaTheme="minorEastAsia" w:hAnsi="Trebuchet MS"/>
          <w:lang w:val="en-US"/>
        </w:rPr>
        <w:t xml:space="preserve">} and to </w:t>
      </w:r>
      <w:r w:rsidR="00AC1631" w:rsidRPr="00C5118A">
        <w:rPr>
          <w:rFonts w:ascii="Trebuchet MS" w:eastAsiaTheme="minorEastAsia" w:hAnsi="Trebuchet MS"/>
          <w:lang w:val="en-US"/>
        </w:rPr>
        <w:t>estimate the base accuracy from the supporting bases and associated base quality scores \cite{</w:t>
      </w:r>
      <w:r w:rsidR="00AC1631" w:rsidRPr="00C5118A">
        <w:rPr>
          <w:rFonts w:ascii="Trebuchet MS" w:eastAsiaTheme="minorEastAsia" w:hAnsi="Trebuchet MS"/>
        </w:rPr>
        <w:t>Abascal2021-pk</w:t>
      </w:r>
      <w:r w:rsidR="00AC1631" w:rsidRPr="00C5118A">
        <w:rPr>
          <w:rFonts w:ascii="Trebuchet MS" w:eastAsiaTheme="minorEastAsia" w:hAnsi="Trebuchet MS"/>
          <w:lang w:val="en-US"/>
        </w:rPr>
        <w:t xml:space="preserve">}. Duplex reads, therefore, promises theoretical base accuracy of </w:t>
      </w:r>
      <w:r w:rsidRPr="00C5118A">
        <w:rPr>
          <w:rFonts w:ascii="Trebuchet MS" w:eastAsiaTheme="minorEastAsia" w:hAnsi="Trebuchet MS"/>
        </w:rPr>
        <w:t>$1 \times 10</w:t>
      </w:r>
      <w:proofErr w:type="gramStart"/>
      <w:r w:rsidRPr="00C5118A">
        <w:rPr>
          <w:rFonts w:ascii="Trebuchet MS" w:eastAsiaTheme="minorEastAsia" w:hAnsi="Trebuchet MS"/>
        </w:rPr>
        <w:t>^{</w:t>
      </w:r>
      <w:proofErr w:type="gramEnd"/>
      <w:r w:rsidRPr="00C5118A">
        <w:rPr>
          <w:rFonts w:ascii="Trebuchet MS" w:eastAsiaTheme="minorEastAsia" w:hAnsi="Trebuchet MS"/>
        </w:rPr>
        <w:t xml:space="preserve">-9}$ (Q90), </w:t>
      </w:r>
      <w:r w:rsidR="00365DE5" w:rsidRPr="00C5118A">
        <w:rPr>
          <w:rFonts w:ascii="Trebuchet MS" w:eastAsiaTheme="minorEastAsia" w:hAnsi="Trebuchet MS"/>
        </w:rPr>
        <w:t xml:space="preserve">although in practice </w:t>
      </w:r>
      <w:r w:rsidR="00BD3E8C" w:rsidRPr="00C5118A">
        <w:rPr>
          <w:rFonts w:ascii="Trebuchet MS" w:eastAsiaTheme="minorEastAsia" w:hAnsi="Trebuchet MS"/>
        </w:rPr>
        <w:t xml:space="preserve">duplex reads from the original protocol </w:t>
      </w:r>
      <w:r w:rsidRPr="00C5118A">
        <w:rPr>
          <w:rFonts w:ascii="Trebuchet MS" w:eastAsiaTheme="minorEastAsia" w:hAnsi="Trebuchet MS"/>
        </w:rPr>
        <w:t>achieve base accuracy of $1 \times 10^{-6}$ (Q60) \cite{Schmitt2012-yr}</w:t>
      </w:r>
      <w:r w:rsidR="00C97835" w:rsidRPr="00C5118A">
        <w:rPr>
          <w:rFonts w:ascii="Trebuchet MS" w:eastAsiaTheme="minorEastAsia" w:hAnsi="Trebuchet MS"/>
        </w:rPr>
        <w:t>.</w:t>
      </w:r>
    </w:p>
    <w:p w14:paraId="50EF80E3" w14:textId="004EC99F" w:rsidR="004B7EFE" w:rsidRPr="00C5118A" w:rsidRDefault="004B7EFE" w:rsidP="00C00019">
      <w:pPr>
        <w:rPr>
          <w:rFonts w:ascii="Trebuchet MS" w:eastAsiaTheme="minorEastAsia" w:hAnsi="Trebuchet MS"/>
        </w:rPr>
      </w:pPr>
    </w:p>
    <w:p w14:paraId="69998F88" w14:textId="30A44FF2"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spellStart"/>
      <w:proofErr w:type="gramEnd"/>
      <w:r w:rsidRPr="00C5118A">
        <w:rPr>
          <w:rFonts w:ascii="Trebuchet MS" w:eastAsiaTheme="minorEastAsia" w:hAnsi="Trebuchet MS"/>
          <w:b/>
          <w:bCs/>
        </w:rPr>
        <w:t>Nanorate</w:t>
      </w:r>
      <w:proofErr w:type="spellEnd"/>
      <w:r w:rsidRPr="00C5118A">
        <w:rPr>
          <w:rFonts w:ascii="Trebuchet MS" w:eastAsiaTheme="minorEastAsia" w:hAnsi="Trebuchet MS"/>
          <w:b/>
          <w:bCs/>
        </w:rPr>
        <w:t xml:space="preserve"> sequencing}</w:t>
      </w:r>
    </w:p>
    <w:p w14:paraId="38D46292" w14:textId="77777777" w:rsidR="0086309A" w:rsidRPr="00C5118A" w:rsidRDefault="0086309A" w:rsidP="00C00019">
      <w:pPr>
        <w:rPr>
          <w:rFonts w:ascii="Trebuchet MS" w:eastAsiaTheme="minorEastAsia" w:hAnsi="Trebuchet MS"/>
        </w:rPr>
      </w:pPr>
    </w:p>
    <w:p w14:paraId="7FAB10EE" w14:textId="1873B59D" w:rsidR="00CC7DFD" w:rsidRPr="00C5118A" w:rsidRDefault="00C00019" w:rsidP="00C00019">
      <w:pPr>
        <w:rPr>
          <w:rFonts w:ascii="Trebuchet MS" w:eastAsiaTheme="minorEastAsia" w:hAnsi="Trebuchet MS"/>
        </w:rPr>
      </w:pPr>
      <w:r w:rsidRPr="00C5118A">
        <w:rPr>
          <w:rFonts w:ascii="Trebuchet MS" w:eastAsiaTheme="minorEastAsia" w:hAnsi="Trebuchet MS"/>
        </w:rPr>
        <w:t xml:space="preserve">In contrast, duplex reads from the </w:t>
      </w:r>
      <w:r w:rsidR="00365DE5" w:rsidRPr="00C5118A">
        <w:rPr>
          <w:rFonts w:ascii="Trebuchet MS" w:eastAsiaTheme="minorEastAsia" w:hAnsi="Trebuchet MS"/>
        </w:rPr>
        <w:t xml:space="preserve">most recent </w:t>
      </w:r>
      <w:proofErr w:type="spellStart"/>
      <w:r w:rsidRPr="00C5118A">
        <w:rPr>
          <w:rFonts w:ascii="Trebuchet MS" w:eastAsiaTheme="minorEastAsia" w:hAnsi="Trebuchet MS"/>
        </w:rPr>
        <w:t>nanorate</w:t>
      </w:r>
      <w:proofErr w:type="spellEnd"/>
      <w:r w:rsidRPr="00C5118A">
        <w:rPr>
          <w:rFonts w:ascii="Trebuchet MS" w:eastAsiaTheme="minorEastAsia" w:hAnsi="Trebuchet MS"/>
        </w:rPr>
        <w:t xml:space="preserve"> library protocol achieves the promised Q90 base accuracy </w:t>
      </w:r>
      <w:r w:rsidR="00280777" w:rsidRPr="00C5118A">
        <w:rPr>
          <w:rFonts w:ascii="Trebuchet MS" w:eastAsiaTheme="minorEastAsia" w:hAnsi="Trebuchet MS"/>
        </w:rPr>
        <w:t xml:space="preserve">and single-molecule resolution somatic mutation detection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Abascal2021-pk}.</w:t>
      </w:r>
      <w:r w:rsidR="00CC7DFD" w:rsidRPr="00C5118A">
        <w:rPr>
          <w:rFonts w:ascii="Trebuchet MS" w:eastAsiaTheme="minorEastAsia" w:hAnsi="Trebuchet MS"/>
        </w:rPr>
        <w:t xml:space="preserve"> </w:t>
      </w:r>
      <w:r w:rsidRPr="00C5118A">
        <w:rPr>
          <w:rFonts w:ascii="Trebuchet MS" w:eastAsiaTheme="minorEastAsia" w:hAnsi="Trebuchet MS"/>
        </w:rPr>
        <w:t xml:space="preserve">To accomplish this, the </w:t>
      </w:r>
      <w:proofErr w:type="spellStart"/>
      <w:r w:rsidRPr="00C5118A">
        <w:rPr>
          <w:rFonts w:ascii="Trebuchet MS" w:eastAsiaTheme="minorEastAsia" w:hAnsi="Trebuchet MS"/>
        </w:rPr>
        <w:t>nanorate</w:t>
      </w:r>
      <w:proofErr w:type="spellEnd"/>
      <w:r w:rsidRPr="00C5118A">
        <w:rPr>
          <w:rFonts w:ascii="Trebuchet MS" w:eastAsiaTheme="minorEastAsia" w:hAnsi="Trebuchet MS"/>
        </w:rPr>
        <w:t xml:space="preserve"> library protocol </w:t>
      </w:r>
      <w:r w:rsidR="009F3261" w:rsidRPr="00C5118A">
        <w:rPr>
          <w:rFonts w:ascii="Trebuchet MS" w:eastAsiaTheme="minorEastAsia" w:hAnsi="Trebuchet MS"/>
        </w:rPr>
        <w:t xml:space="preserve">reduces </w:t>
      </w:r>
      <w:r w:rsidRPr="00C5118A">
        <w:rPr>
          <w:rFonts w:ascii="Trebuchet MS" w:eastAsiaTheme="minorEastAsia" w:hAnsi="Trebuchet MS"/>
        </w:rPr>
        <w:t>library errors upstream of PCR amplification to produce duplex libraries from error-free native DNA molecules.</w:t>
      </w:r>
      <w:r w:rsidR="00651FB7" w:rsidRPr="00C5118A">
        <w:rPr>
          <w:rFonts w:ascii="Trebuchet MS" w:eastAsiaTheme="minorEastAsia" w:hAnsi="Trebuchet MS"/>
        </w:rPr>
        <w:t xml:space="preserve"> </w:t>
      </w:r>
      <w:r w:rsidR="00313819" w:rsidRPr="00C5118A">
        <w:rPr>
          <w:rFonts w:ascii="Trebuchet MS" w:eastAsiaTheme="minorEastAsia" w:hAnsi="Trebuchet MS"/>
        </w:rPr>
        <w:t xml:space="preserve">Blunt end restriction enzyme, for example, is used to fragment gDNA to prevent enzymatic DNA misincorporation during end-repair and gap-filling. </w:t>
      </w:r>
      <w:r w:rsidR="00651FB7" w:rsidRPr="00C5118A">
        <w:rPr>
          <w:rFonts w:ascii="Trebuchet MS" w:eastAsiaTheme="minorEastAsia" w:hAnsi="Trebuchet MS"/>
        </w:rPr>
        <w:t xml:space="preserve">In addition, dideoxynucleotides are added to </w:t>
      </w:r>
      <w:r w:rsidR="002A389A" w:rsidRPr="00C5118A">
        <w:rPr>
          <w:rFonts w:ascii="Trebuchet MS" w:eastAsiaTheme="minorEastAsia" w:hAnsi="Trebuchet MS"/>
        </w:rPr>
        <w:t>terminate</w:t>
      </w:r>
      <w:r w:rsidR="007436D6" w:rsidRPr="00C5118A">
        <w:rPr>
          <w:rFonts w:ascii="Trebuchet MS" w:eastAsiaTheme="minorEastAsia" w:hAnsi="Trebuchet MS"/>
        </w:rPr>
        <w:t xml:space="preserve"> single-strand displacement synthesis through nick translation</w:t>
      </w:r>
      <w:r w:rsidR="00651FB7" w:rsidRPr="00C5118A">
        <w:rPr>
          <w:rFonts w:ascii="Trebuchet MS" w:eastAsiaTheme="minorEastAsia" w:hAnsi="Trebuchet MS"/>
        </w:rPr>
        <w:t>, rendering DNA molecules that require this process unsuitable for library creation</w:t>
      </w:r>
      <w:r w:rsidR="007436D6" w:rsidRPr="00C5118A">
        <w:rPr>
          <w:rFonts w:ascii="Trebuchet MS" w:eastAsiaTheme="minorEastAsia" w:hAnsi="Trebuchet MS"/>
        </w:rPr>
        <w:t xml:space="preserve"> (Figure \</w:t>
      </w:r>
      <w:proofErr w:type="gramStart"/>
      <w:r w:rsidR="007436D6" w:rsidRPr="00C5118A">
        <w:rPr>
          <w:rFonts w:ascii="Trebuchet MS" w:eastAsiaTheme="minorEastAsia" w:hAnsi="Trebuchet MS"/>
        </w:rPr>
        <w:t>ref{</w:t>
      </w:r>
      <w:proofErr w:type="gramEnd"/>
      <w:r w:rsidR="007436D6" w:rsidRPr="00C5118A">
        <w:rPr>
          <w:rFonts w:ascii="Trebuchet MS" w:eastAsiaTheme="minorEastAsia" w:hAnsi="Trebuchet MS"/>
        </w:rPr>
        <w:t>}).</w:t>
      </w:r>
      <w:r w:rsidR="00CC7DFD" w:rsidRPr="00C5118A">
        <w:rPr>
          <w:rFonts w:ascii="Trebuchet MS" w:eastAsiaTheme="minorEastAsia" w:hAnsi="Trebuchet MS"/>
        </w:rPr>
        <w:t xml:space="preserve"> A highly accurate duplex read, thereafter, is constructed as described above. </w:t>
      </w:r>
    </w:p>
    <w:p w14:paraId="53055E99" w14:textId="4EAA58E2" w:rsidR="00651FB7" w:rsidRPr="00C5118A" w:rsidRDefault="00651FB7" w:rsidP="00C00019">
      <w:pPr>
        <w:rPr>
          <w:rFonts w:ascii="Trebuchet MS" w:eastAsiaTheme="minorEastAsia" w:hAnsi="Trebuchet MS"/>
        </w:rPr>
      </w:pPr>
    </w:p>
    <w:p w14:paraId="7820BD47" w14:textId="2421E86A" w:rsidR="0086309A" w:rsidRPr="00C5118A" w:rsidRDefault="0086309A"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sequencing}</w:t>
      </w:r>
    </w:p>
    <w:p w14:paraId="7992A5D1" w14:textId="77777777" w:rsidR="0086309A" w:rsidRPr="00C5118A" w:rsidRDefault="0086309A" w:rsidP="00C00019">
      <w:pPr>
        <w:rPr>
          <w:rFonts w:ascii="Trebuchet MS" w:eastAsiaTheme="minorEastAsia" w:hAnsi="Trebuchet MS"/>
        </w:rPr>
      </w:pPr>
    </w:p>
    <w:p w14:paraId="177B4488" w14:textId="26B4343F" w:rsidR="00E16BB3" w:rsidRPr="00C5118A" w:rsidRDefault="00C00019" w:rsidP="00C00019">
      <w:pPr>
        <w:rPr>
          <w:rFonts w:ascii="Trebuchet MS" w:eastAsiaTheme="minorEastAsia" w:hAnsi="Trebuchet MS"/>
        </w:rPr>
      </w:pPr>
      <w:r w:rsidRPr="00C5118A">
        <w:rPr>
          <w:rFonts w:ascii="Trebuchet MS" w:eastAsiaTheme="minorEastAsia" w:hAnsi="Trebuchet MS"/>
        </w:rPr>
        <w:t xml:space="preserve">CCS sequencing </w:t>
      </w:r>
      <w:r w:rsidR="00702E6B" w:rsidRPr="00C5118A">
        <w:rPr>
          <w:rFonts w:ascii="Trebuchet MS" w:eastAsiaTheme="minorEastAsia" w:hAnsi="Trebuchet MS"/>
        </w:rPr>
        <w:t xml:space="preserve">like duplex sequencing </w:t>
      </w:r>
      <w:r w:rsidRPr="00C5118A">
        <w:rPr>
          <w:rFonts w:ascii="Trebuchet MS" w:eastAsiaTheme="minorEastAsia" w:hAnsi="Trebuchet MS"/>
        </w:rPr>
        <w:t xml:space="preserve">also takes advantage of the redundant sequencing and complementary base pairing between the forward and reverse strand to construct </w:t>
      </w:r>
      <w:r w:rsidR="00CC7DFD" w:rsidRPr="00C5118A">
        <w:rPr>
          <w:rFonts w:ascii="Trebuchet MS" w:eastAsiaTheme="minorEastAsia" w:hAnsi="Trebuchet MS"/>
        </w:rPr>
        <w:t xml:space="preserve">a </w:t>
      </w:r>
      <w:r w:rsidRPr="00C5118A">
        <w:rPr>
          <w:rFonts w:ascii="Trebuchet MS" w:eastAsiaTheme="minorEastAsia" w:hAnsi="Trebuchet MS"/>
        </w:rPr>
        <w:t xml:space="preserve">highly accurate </w:t>
      </w:r>
      <w:r w:rsidR="00CC7DFD" w:rsidRPr="00C5118A">
        <w:rPr>
          <w:rFonts w:ascii="Trebuchet MS" w:eastAsiaTheme="minorEastAsia" w:hAnsi="Trebuchet MS"/>
        </w:rPr>
        <w:t xml:space="preserve">circular </w:t>
      </w:r>
      <w:r w:rsidRPr="00C5118A">
        <w:rPr>
          <w:rFonts w:ascii="Trebuchet MS" w:eastAsiaTheme="minorEastAsia" w:hAnsi="Trebuchet MS"/>
        </w:rPr>
        <w:t>consensus sequence</w:t>
      </w:r>
      <w:r w:rsidR="00CC7DFD" w:rsidRPr="00C5118A">
        <w:rPr>
          <w:rFonts w:ascii="Trebuchet MS" w:eastAsiaTheme="minorEastAsia" w:hAnsi="Trebuchet MS"/>
        </w:rPr>
        <w:t>.</w:t>
      </w:r>
      <w:r w:rsidR="00E16BB3" w:rsidRPr="00C5118A">
        <w:rPr>
          <w:rFonts w:ascii="Trebuchet MS" w:eastAsiaTheme="minorEastAsia" w:hAnsi="Trebuchet MS"/>
        </w:rPr>
        <w:t xml:space="preserve"> </w:t>
      </w:r>
      <w:r w:rsidRPr="00C5118A">
        <w:rPr>
          <w:rFonts w:ascii="Trebuchet MS" w:eastAsiaTheme="minorEastAsia" w:hAnsi="Trebuchet MS"/>
        </w:rPr>
        <w:t>The single-strand reads are referred to as subreads and an individual subread</w:t>
      </w:r>
      <w:r w:rsidR="00E16BB3" w:rsidRPr="00C5118A">
        <w:rPr>
          <w:rFonts w:ascii="Trebuchet MS" w:eastAsiaTheme="minorEastAsia" w:hAnsi="Trebuchet MS"/>
        </w:rPr>
        <w:t xml:space="preserve"> typically</w:t>
      </w:r>
      <w:r w:rsidRPr="00C5118A">
        <w:rPr>
          <w:rFonts w:ascii="Trebuchet MS" w:eastAsiaTheme="minorEastAsia" w:hAnsi="Trebuchet MS"/>
        </w:rPr>
        <w:t xml:space="preserve"> has 10-15\% error rate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Chaisson2012-vr}. CCS reads are reported to have an average read accuracy </w:t>
      </w:r>
      <w:r w:rsidR="00E16BB3" w:rsidRPr="00C5118A">
        <w:rPr>
          <w:rFonts w:ascii="Trebuchet MS" w:eastAsiaTheme="minorEastAsia" w:hAnsi="Trebuchet MS"/>
        </w:rPr>
        <w:t xml:space="preserve">above </w:t>
      </w:r>
      <w:r w:rsidRPr="00C5118A">
        <w:rPr>
          <w:rFonts w:ascii="Trebuchet MS" w:eastAsiaTheme="minorEastAsia" w:hAnsi="Trebuchet MS"/>
        </w:rPr>
        <w:t>Q2</w:t>
      </w:r>
      <w:r w:rsidR="00E16BB3" w:rsidRPr="00C5118A">
        <w:rPr>
          <w:rFonts w:ascii="Trebuchet MS" w:eastAsiaTheme="minorEastAsia" w:hAnsi="Trebuchet MS"/>
        </w:rPr>
        <w:t>0 \</w:t>
      </w:r>
      <w:proofErr w:type="gramStart"/>
      <w:r w:rsidR="00E16BB3" w:rsidRPr="00C5118A">
        <w:rPr>
          <w:rFonts w:ascii="Trebuchet MS" w:eastAsiaTheme="minorEastAsia" w:hAnsi="Trebuchet MS"/>
        </w:rPr>
        <w:t>cite{</w:t>
      </w:r>
      <w:proofErr w:type="gramEnd"/>
      <w:r w:rsidR="00E16BB3" w:rsidRPr="00C5118A">
        <w:rPr>
          <w:rFonts w:ascii="Trebuchet MS" w:eastAsiaTheme="minorEastAsia" w:hAnsi="Trebuchet MS"/>
        </w:rPr>
        <w:t>Wenger2019-pw}</w:t>
      </w:r>
      <w:r w:rsidRPr="00C5118A">
        <w:rPr>
          <w:rFonts w:ascii="Trebuchet MS" w:eastAsiaTheme="minorEastAsia" w:hAnsi="Trebuchet MS"/>
        </w:rPr>
        <w:t xml:space="preserve">, but their individual base accuracies have not been examined to date. </w:t>
      </w:r>
      <w:r w:rsidR="0028767F" w:rsidRPr="00C5118A">
        <w:rPr>
          <w:rFonts w:ascii="Trebuchet MS" w:eastAsiaTheme="minorEastAsia" w:hAnsi="Trebuchet MS"/>
        </w:rPr>
        <w:t>I</w:t>
      </w:r>
      <w:r w:rsidRPr="00C5118A">
        <w:rPr>
          <w:rFonts w:ascii="Trebuchet MS" w:eastAsiaTheme="minorEastAsia" w:hAnsi="Trebuchet MS"/>
        </w:rPr>
        <w:t xml:space="preserve"> and others have hypothesised that PacBio circular consensus sequence (CCS) reads might be as accurate or more accurate than conventional duplex reads based on the similarities between the two protocols</w:t>
      </w:r>
      <w:r w:rsidR="006F37C8" w:rsidRPr="00C5118A">
        <w:rPr>
          <w:rFonts w:ascii="Trebuchet MS" w:eastAsiaTheme="minorEastAsia" w:hAnsi="Trebuchet MS"/>
        </w:rPr>
        <w:t xml:space="preserve"> \</w:t>
      </w:r>
      <w:proofErr w:type="gramStart"/>
      <w:r w:rsidR="006F37C8" w:rsidRPr="00C5118A">
        <w:rPr>
          <w:rFonts w:ascii="Trebuchet MS" w:eastAsiaTheme="minorEastAsia" w:hAnsi="Trebuchet MS"/>
        </w:rPr>
        <w:t>cite{</w:t>
      </w:r>
      <w:proofErr w:type="gramEnd"/>
      <w:r w:rsidR="006F37C8" w:rsidRPr="00C5118A">
        <w:rPr>
          <w:rFonts w:ascii="Trebuchet MS" w:eastAsiaTheme="minorEastAsia" w:hAnsi="Trebuchet MS"/>
        </w:rPr>
        <w:t>}</w:t>
      </w:r>
      <w:r w:rsidRPr="00C5118A">
        <w:rPr>
          <w:rFonts w:ascii="Trebuchet MS" w:eastAsiaTheme="minorEastAsia" w:hAnsi="Trebuchet MS"/>
        </w:rPr>
        <w:t xml:space="preserve"> </w:t>
      </w:r>
      <w:r w:rsidR="00E16BB3" w:rsidRPr="00C5118A">
        <w:rPr>
          <w:rFonts w:ascii="Trebuchet MS" w:eastAsiaTheme="minorEastAsia" w:hAnsi="Trebuchet MS"/>
        </w:rPr>
        <w:t xml:space="preserve">and the absence of PCR jackpot errors that occur in the earliest stage of PCR amplification. </w:t>
      </w:r>
      <w:r w:rsidR="00042B69" w:rsidRPr="00C5118A">
        <w:rPr>
          <w:rFonts w:ascii="Trebuchet MS" w:eastAsiaTheme="minorEastAsia" w:hAnsi="Trebuchet MS"/>
        </w:rPr>
        <w:t>I would</w:t>
      </w:r>
      <w:r w:rsidR="00D91A58" w:rsidRPr="00C5118A">
        <w:rPr>
          <w:rFonts w:ascii="Trebuchet MS" w:eastAsiaTheme="minorEastAsia" w:hAnsi="Trebuchet MS"/>
        </w:rPr>
        <w:t xml:space="preserve"> also</w:t>
      </w:r>
      <w:r w:rsidR="00042B69" w:rsidRPr="00C5118A">
        <w:rPr>
          <w:rFonts w:ascii="Trebuchet MS" w:eastAsiaTheme="minorEastAsia" w:hAnsi="Trebuchet MS"/>
        </w:rPr>
        <w:t xml:space="preserve"> like to emphasise that the commercial CCS library preparation protocol is more </w:t>
      </w:r>
      <w:proofErr w:type="gramStart"/>
      <w:r w:rsidR="00042B69" w:rsidRPr="00C5118A">
        <w:rPr>
          <w:rFonts w:ascii="Trebuchet MS" w:eastAsiaTheme="minorEastAsia" w:hAnsi="Trebuchet MS"/>
        </w:rPr>
        <w:t>similar to</w:t>
      </w:r>
      <w:proofErr w:type="gramEnd"/>
      <w:r w:rsidR="00042B69" w:rsidRPr="00C5118A">
        <w:rPr>
          <w:rFonts w:ascii="Trebuchet MS" w:eastAsiaTheme="minorEastAsia" w:hAnsi="Trebuchet MS"/>
        </w:rPr>
        <w:t xml:space="preserve"> the original duplex sequencing </w:t>
      </w:r>
      <w:r w:rsidR="00042B69" w:rsidRPr="00C5118A">
        <w:rPr>
          <w:rFonts w:ascii="Trebuchet MS" w:eastAsiaTheme="minorEastAsia" w:hAnsi="Trebuchet MS"/>
        </w:rPr>
        <w:lastRenderedPageBreak/>
        <w:t xml:space="preserve">protocol than the </w:t>
      </w:r>
      <w:proofErr w:type="spellStart"/>
      <w:r w:rsidR="00042B69" w:rsidRPr="00C5118A">
        <w:rPr>
          <w:rFonts w:ascii="Trebuchet MS" w:eastAsiaTheme="minorEastAsia" w:hAnsi="Trebuchet MS"/>
        </w:rPr>
        <w:t>nanorate</w:t>
      </w:r>
      <w:proofErr w:type="spellEnd"/>
      <w:r w:rsidR="00042B69" w:rsidRPr="00C5118A">
        <w:rPr>
          <w:rFonts w:ascii="Trebuchet MS" w:eastAsiaTheme="minorEastAsia" w:hAnsi="Trebuchet MS"/>
        </w:rPr>
        <w:t xml:space="preserve"> library protocol. </w:t>
      </w:r>
      <w:r w:rsidR="0061264E" w:rsidRPr="00C5118A">
        <w:rPr>
          <w:rFonts w:ascii="Trebuchet MS" w:eastAsiaTheme="minorEastAsia" w:hAnsi="Trebuchet MS"/>
        </w:rPr>
        <w:t xml:space="preserve">In addition, CCS reads have the added benefit of substantially longer read length ($\sim$10-20kb) that enables accurate placement of reads despite the presence of long repeats and </w:t>
      </w:r>
      <w:r w:rsidR="00175C2C" w:rsidRPr="00C5118A">
        <w:rPr>
          <w:rFonts w:ascii="Trebuchet MS" w:eastAsiaTheme="minorEastAsia" w:hAnsi="Trebuchet MS"/>
        </w:rPr>
        <w:t xml:space="preserve">the higher base accuracy </w:t>
      </w:r>
      <w:r w:rsidR="0061264E" w:rsidRPr="00C5118A">
        <w:rPr>
          <w:rFonts w:ascii="Trebuchet MS" w:eastAsiaTheme="minorEastAsia" w:hAnsi="Trebuchet MS"/>
        </w:rPr>
        <w:t>allows more recently diverged repeats to be distinguished from each other \</w:t>
      </w:r>
      <w:proofErr w:type="gramStart"/>
      <w:r w:rsidR="0061264E" w:rsidRPr="00C5118A">
        <w:rPr>
          <w:rFonts w:ascii="Trebuchet MS" w:eastAsiaTheme="minorEastAsia" w:hAnsi="Trebuchet MS"/>
        </w:rPr>
        <w:t>cite{</w:t>
      </w:r>
      <w:proofErr w:type="gramEnd"/>
      <w:r w:rsidR="0061264E" w:rsidRPr="00C5118A">
        <w:rPr>
          <w:rFonts w:ascii="Trebuchet MS" w:eastAsiaTheme="minorEastAsia" w:hAnsi="Trebuchet MS"/>
        </w:rPr>
        <w:t>}</w:t>
      </w:r>
      <w:r w:rsidR="00D80D79" w:rsidRPr="00C5118A">
        <w:rPr>
          <w:rFonts w:ascii="Trebuchet MS" w:eastAsiaTheme="minorEastAsia" w:hAnsi="Trebuchet MS"/>
        </w:rPr>
        <w:t>.</w:t>
      </w:r>
    </w:p>
    <w:p w14:paraId="4C0034F6" w14:textId="77777777" w:rsidR="00E16BB3" w:rsidRPr="00C5118A" w:rsidRDefault="00E16BB3" w:rsidP="00C00019">
      <w:pPr>
        <w:rPr>
          <w:rFonts w:ascii="Trebuchet MS" w:eastAsiaTheme="minorEastAsia" w:hAnsi="Trebuchet MS"/>
          <w:lang w:val="en-US"/>
        </w:rPr>
      </w:pPr>
    </w:p>
    <w:p w14:paraId="0D3E8D42" w14:textId="2FC6CA09" w:rsidR="00A84705" w:rsidRPr="00C5118A" w:rsidRDefault="00A84705" w:rsidP="00C00019">
      <w:pPr>
        <w:rPr>
          <w:rFonts w:ascii="Trebuchet MS" w:eastAsiaTheme="minorEastAsia" w:hAnsi="Trebuchet MS"/>
          <w:b/>
          <w:bCs/>
          <w:i/>
          <w:iCs/>
        </w:rPr>
      </w:pPr>
      <w:r w:rsidRPr="00C5118A">
        <w:rPr>
          <w:rFonts w:ascii="Trebuchet MS" w:eastAsiaTheme="minorEastAsia" w:hAnsi="Trebuchet MS"/>
          <w:b/>
          <w:bCs/>
          <w:i/>
          <w:iCs/>
        </w:rPr>
        <w:t xml:space="preserve">The PacBio base </w:t>
      </w:r>
      <w:r w:rsidR="00C00019" w:rsidRPr="00C5118A">
        <w:rPr>
          <w:rFonts w:ascii="Trebuchet MS" w:eastAsiaTheme="minorEastAsia" w:hAnsi="Trebuchet MS"/>
          <w:b/>
          <w:bCs/>
          <w:i/>
          <w:iCs/>
        </w:rPr>
        <w:t xml:space="preserve">CCS </w:t>
      </w:r>
      <w:r w:rsidR="00D91A58" w:rsidRPr="00C5118A">
        <w:rPr>
          <w:rFonts w:ascii="Trebuchet MS" w:eastAsiaTheme="minorEastAsia" w:hAnsi="Trebuchet MS"/>
          <w:b/>
          <w:bCs/>
          <w:i/>
          <w:iCs/>
        </w:rPr>
        <w:t>BQ</w:t>
      </w:r>
      <w:r w:rsidR="00C00019" w:rsidRPr="00C5118A">
        <w:rPr>
          <w:rFonts w:ascii="Trebuchet MS" w:eastAsiaTheme="minorEastAsia" w:hAnsi="Trebuchet MS"/>
          <w:b/>
          <w:bCs/>
          <w:i/>
          <w:iCs/>
        </w:rPr>
        <w:t xml:space="preserve"> score ranges from Q1 to nominal Q93, representing an error rate of 1 in 5 billion bases. If the </w:t>
      </w:r>
      <w:r w:rsidR="0028767F" w:rsidRPr="00C5118A">
        <w:rPr>
          <w:rFonts w:ascii="Trebuchet MS" w:eastAsiaTheme="minorEastAsia" w:hAnsi="Trebuchet MS"/>
          <w:b/>
          <w:bCs/>
          <w:i/>
          <w:iCs/>
        </w:rPr>
        <w:t>BQ</w:t>
      </w:r>
      <w:r w:rsidR="00C00019" w:rsidRPr="00C5118A">
        <w:rPr>
          <w:rFonts w:ascii="Trebuchet MS" w:eastAsiaTheme="minorEastAsia" w:hAnsi="Trebuchet MS"/>
          <w:b/>
          <w:bCs/>
          <w:i/>
          <w:iCs/>
        </w:rPr>
        <w:t xml:space="preserve"> score estimates </w:t>
      </w:r>
      <w:r w:rsidRPr="00C5118A">
        <w:rPr>
          <w:rFonts w:ascii="Trebuchet MS" w:eastAsiaTheme="minorEastAsia" w:hAnsi="Trebuchet MS"/>
          <w:b/>
          <w:bCs/>
          <w:i/>
          <w:iCs/>
        </w:rPr>
        <w:t>were</w:t>
      </w:r>
      <w:r w:rsidR="00C00019" w:rsidRPr="00C5118A">
        <w:rPr>
          <w:rFonts w:ascii="Trebuchet MS" w:eastAsiaTheme="minorEastAsia" w:hAnsi="Trebuchet MS"/>
          <w:b/>
          <w:bCs/>
          <w:i/>
          <w:iCs/>
        </w:rPr>
        <w:t xml:space="preserve"> correct,</w:t>
      </w:r>
    </w:p>
    <w:p w14:paraId="3F309553" w14:textId="77777777" w:rsidR="00A84705" w:rsidRPr="00C5118A" w:rsidRDefault="00A84705" w:rsidP="00C00019">
      <w:pPr>
        <w:rPr>
          <w:rFonts w:ascii="Trebuchet MS" w:eastAsiaTheme="minorEastAsia" w:hAnsi="Trebuchet MS"/>
          <w:b/>
          <w:bCs/>
          <w:i/>
          <w:iCs/>
        </w:rPr>
      </w:pPr>
    </w:p>
    <w:p w14:paraId="30A435E4" w14:textId="41002FA5" w:rsidR="00C00019" w:rsidRPr="00C5118A" w:rsidRDefault="00C00019" w:rsidP="00C00019">
      <w:pPr>
        <w:rPr>
          <w:rFonts w:ascii="Trebuchet MS" w:eastAsiaTheme="minorEastAsia" w:hAnsi="Trebuchet MS"/>
        </w:rPr>
      </w:pPr>
      <w:r w:rsidRPr="00C5118A">
        <w:rPr>
          <w:rFonts w:ascii="Trebuchet MS" w:eastAsiaTheme="minorEastAsia" w:hAnsi="Trebuchet MS"/>
          <w:b/>
          <w:bCs/>
          <w:i/>
          <w:iCs/>
        </w:rPr>
        <w:t xml:space="preserve"> single molecule somatic mutation detection will be possible across all human normal tissues, agnostic of clonality as the human genome accumulates </w:t>
      </w:r>
      <w:r w:rsidR="006B7721" w:rsidRPr="00C5118A">
        <w:rPr>
          <w:rFonts w:ascii="Trebuchet MS" w:eastAsiaTheme="minorEastAsia" w:hAnsi="Trebuchet MS"/>
          <w:b/>
          <w:bCs/>
          <w:i/>
          <w:iCs/>
        </w:rPr>
        <w:t xml:space="preserve">$\sim$17 somatic mutations per year per cell, equivalent to $\sim$1 somatic mutation per human genome per </w:t>
      </w:r>
      <w:r w:rsidR="00B077A9" w:rsidRPr="00C5118A">
        <w:rPr>
          <w:rFonts w:ascii="Trebuchet MS" w:eastAsiaTheme="minorEastAsia" w:hAnsi="Trebuchet MS"/>
          <w:b/>
          <w:bCs/>
          <w:i/>
          <w:iCs/>
        </w:rPr>
        <w:t xml:space="preserve">6 weeks </w:t>
      </w:r>
      <w:r w:rsidR="006B7721" w:rsidRPr="00C5118A">
        <w:rPr>
          <w:rFonts w:ascii="Trebuchet MS" w:eastAsiaTheme="minorEastAsia" w:hAnsi="Trebuchet MS"/>
          <w:b/>
          <w:bCs/>
          <w:i/>
          <w:iCs/>
        </w:rPr>
        <w:t>\</w:t>
      </w:r>
      <w:proofErr w:type="gramStart"/>
      <w:r w:rsidR="006B7721" w:rsidRPr="00C5118A">
        <w:rPr>
          <w:rFonts w:ascii="Trebuchet MS" w:eastAsiaTheme="minorEastAsia" w:hAnsi="Trebuchet MS"/>
          <w:b/>
          <w:bCs/>
          <w:i/>
          <w:iCs/>
        </w:rPr>
        <w:t>cite{</w:t>
      </w:r>
      <w:proofErr w:type="gramEnd"/>
      <w:r w:rsidR="00891387" w:rsidRPr="00C5118A">
        <w:rPr>
          <w:rFonts w:ascii="Trebuchet MS" w:eastAsiaTheme="minorEastAsia" w:hAnsi="Trebuchet MS"/>
          <w:b/>
          <w:bCs/>
          <w:i/>
          <w:iCs/>
        </w:rPr>
        <w:t>Mitchell2022-ry</w:t>
      </w:r>
      <w:r w:rsidR="006B7721" w:rsidRPr="00C5118A">
        <w:rPr>
          <w:rFonts w:ascii="Trebuchet MS" w:eastAsiaTheme="minorEastAsia" w:hAnsi="Trebuchet MS"/>
          <w:b/>
          <w:bCs/>
          <w:i/>
          <w:iCs/>
        </w:rPr>
        <w:t>}</w:t>
      </w:r>
      <w:r w:rsidR="00B077A9" w:rsidRPr="00C5118A">
        <w:rPr>
          <w:rFonts w:ascii="Trebuchet MS" w:eastAsiaTheme="minorEastAsia" w:hAnsi="Trebuchet MS"/>
          <w:b/>
          <w:bCs/>
          <w:i/>
          <w:iCs/>
        </w:rPr>
        <w:t>.</w:t>
      </w:r>
      <w:r w:rsidR="00B077A9" w:rsidRPr="00C5118A">
        <w:rPr>
          <w:rFonts w:ascii="Trebuchet MS" w:eastAsiaTheme="minorEastAsia" w:hAnsi="Trebuchet MS"/>
        </w:rPr>
        <w:t xml:space="preserve"> </w:t>
      </w:r>
      <w:r w:rsidR="00DD2B81" w:rsidRPr="00C5118A">
        <w:rPr>
          <w:rFonts w:ascii="Trebuchet MS" w:eastAsiaTheme="minorEastAsia" w:hAnsi="Trebuchet MS"/>
        </w:rPr>
        <w:t xml:space="preserve">In addition, in contrast to duplex sequencing methods where a matched normal sequencing is required to distinguish germline mutations from somatic mutations and where somatic mutation detection is limited to where restriction enzyme recognition site is available, </w:t>
      </w:r>
      <w:r w:rsidR="001C2ACC" w:rsidRPr="00C5118A">
        <w:rPr>
          <w:rFonts w:ascii="Trebuchet MS" w:eastAsiaTheme="minorEastAsia" w:hAnsi="Trebuchet MS"/>
        </w:rPr>
        <w:t xml:space="preserve">CCS sequencing should enable genome-wide somatic mutation detection without a matched normal. </w:t>
      </w:r>
      <w:r w:rsidR="006B7721" w:rsidRPr="00C5118A">
        <w:rPr>
          <w:rFonts w:ascii="Trebuchet MS" w:eastAsiaTheme="minorEastAsia" w:hAnsi="Trebuchet MS"/>
        </w:rPr>
        <w:t>If successful, haplotype-phased germline mutation (SNPs, indels and structural variations), epigenetic modifications and somatic mutation detection will be possible from bulk normal tissue CCS sequencing.</w:t>
      </w:r>
      <w:r w:rsidR="00D55D90" w:rsidRPr="00C5118A">
        <w:rPr>
          <w:rFonts w:ascii="Trebuchet MS" w:eastAsiaTheme="minorEastAsia" w:hAnsi="Trebuchet MS"/>
        </w:rPr>
        <w:t xml:space="preserve"> </w:t>
      </w:r>
      <w:r w:rsidRPr="00C5118A">
        <w:rPr>
          <w:rFonts w:ascii="Trebuchet MS" w:eastAsiaTheme="minorEastAsia" w:hAnsi="Trebuchet MS"/>
        </w:rPr>
        <w:t xml:space="preserve">This idea inspired </w:t>
      </w:r>
      <w:r w:rsidR="00D91A58" w:rsidRPr="00C5118A">
        <w:rPr>
          <w:rFonts w:ascii="Trebuchet MS" w:eastAsiaTheme="minorEastAsia" w:hAnsi="Trebuchet MS"/>
        </w:rPr>
        <w:t>me</w:t>
      </w:r>
      <w:r w:rsidRPr="00C5118A">
        <w:rPr>
          <w:rFonts w:ascii="Trebuchet MS" w:eastAsiaTheme="minorEastAsia" w:hAnsi="Trebuchet MS"/>
        </w:rPr>
        <w:t xml:space="preserve"> to</w:t>
      </w:r>
      <w:r w:rsidR="00D55D90" w:rsidRPr="00C5118A">
        <w:rPr>
          <w:rFonts w:ascii="Trebuchet MS" w:eastAsiaTheme="minorEastAsia" w:hAnsi="Trebuchet MS"/>
        </w:rPr>
        <w:t xml:space="preserve"> assess the potential for</w:t>
      </w:r>
      <w:r w:rsidRPr="00C5118A">
        <w:rPr>
          <w:rFonts w:ascii="Trebuchet MS" w:eastAsiaTheme="minorEastAsia" w:hAnsi="Trebuchet MS"/>
        </w:rPr>
        <w:t xml:space="preserve"> single molecule somatic mutation</w:t>
      </w:r>
      <w:r w:rsidR="00D55D90" w:rsidRPr="00C5118A">
        <w:rPr>
          <w:rFonts w:ascii="Trebuchet MS" w:eastAsiaTheme="minorEastAsia" w:hAnsi="Trebuchet MS"/>
        </w:rPr>
        <w:t xml:space="preserve"> detection using CCS reads</w:t>
      </w:r>
      <w:r w:rsidRPr="00C5118A">
        <w:rPr>
          <w:rFonts w:ascii="Trebuchet MS" w:eastAsiaTheme="minorEastAsia" w:hAnsi="Trebuchet MS"/>
        </w:rPr>
        <w:t xml:space="preserve"> where a single read alignment supports the mismatch between the read and the reference genome. </w:t>
      </w:r>
      <w:r w:rsidR="00BC18F0" w:rsidRPr="00C5118A">
        <w:rPr>
          <w:rFonts w:ascii="Trebuchet MS" w:eastAsiaTheme="minorEastAsia" w:hAnsi="Trebuchet MS"/>
        </w:rPr>
        <w:t>My</w:t>
      </w:r>
      <w:r w:rsidRPr="00C5118A">
        <w:rPr>
          <w:rFonts w:ascii="Trebuchet MS" w:eastAsiaTheme="minorEastAsia" w:hAnsi="Trebuchet MS"/>
        </w:rPr>
        <w:t xml:space="preserve"> understanding of somatic mutational processes across different tissue types was critical in selecting the samples </w:t>
      </w:r>
      <w:r w:rsidR="0086309A" w:rsidRPr="00C5118A">
        <w:rPr>
          <w:rFonts w:ascii="Trebuchet MS" w:eastAsiaTheme="minorEastAsia" w:hAnsi="Trebuchet MS"/>
        </w:rPr>
        <w:t xml:space="preserve">for </w:t>
      </w:r>
      <w:r w:rsidR="00243C86" w:rsidRPr="00C5118A">
        <w:rPr>
          <w:rFonts w:ascii="Trebuchet MS" w:eastAsiaTheme="minorEastAsia" w:hAnsi="Trebuchet MS"/>
        </w:rPr>
        <w:t xml:space="preserve">evaluation and demonstration of </w:t>
      </w:r>
      <w:r w:rsidRPr="00C5118A">
        <w:rPr>
          <w:rFonts w:ascii="Trebuchet MS" w:eastAsiaTheme="minorEastAsia" w:hAnsi="Trebuchet MS"/>
        </w:rPr>
        <w:t xml:space="preserve">single molecule somatic mutation detection </w:t>
      </w:r>
      <w:r w:rsidR="00243C86" w:rsidRPr="00C5118A">
        <w:rPr>
          <w:rFonts w:ascii="Trebuchet MS" w:eastAsiaTheme="minorEastAsia" w:hAnsi="Trebuchet MS"/>
        </w:rPr>
        <w:t>using</w:t>
      </w:r>
      <w:r w:rsidR="0086309A" w:rsidRPr="00C5118A">
        <w:rPr>
          <w:rFonts w:ascii="Trebuchet MS" w:eastAsiaTheme="minorEastAsia" w:hAnsi="Trebuchet MS"/>
        </w:rPr>
        <w:t xml:space="preserve"> CCS reads. </w:t>
      </w:r>
    </w:p>
    <w:p w14:paraId="26B43290" w14:textId="4E6A881C" w:rsidR="00C00019" w:rsidRPr="00C5118A" w:rsidRDefault="00C00019" w:rsidP="00C00019">
      <w:pPr>
        <w:rPr>
          <w:rFonts w:ascii="Trebuchet MS" w:eastAsiaTheme="minorEastAsia" w:hAnsi="Trebuchet MS"/>
        </w:rPr>
      </w:pPr>
    </w:p>
    <w:p w14:paraId="67F47608" w14:textId="03A43C88" w:rsidR="00EE1B71" w:rsidRPr="00C5118A" w:rsidRDefault="00EE1B71" w:rsidP="00C00019">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errors and sequencing errors}</w:t>
      </w:r>
    </w:p>
    <w:p w14:paraId="4EB2CE99" w14:textId="795DA70A" w:rsidR="00710AA5" w:rsidRPr="00C5118A" w:rsidRDefault="00710AA5" w:rsidP="00C00019">
      <w:pPr>
        <w:rPr>
          <w:rFonts w:ascii="Trebuchet MS" w:eastAsiaTheme="minorEastAsia" w:hAnsi="Trebuchet MS"/>
          <w:b/>
          <w:bCs/>
        </w:rPr>
      </w:pPr>
    </w:p>
    <w:p w14:paraId="18DE2C1D" w14:textId="57FD73C1" w:rsidR="004D153F" w:rsidRPr="00C5118A" w:rsidRDefault="004D153F" w:rsidP="00C00019">
      <w:pPr>
        <w:rPr>
          <w:rFonts w:ascii="Trebuchet MS" w:eastAsiaTheme="minorEastAsia" w:hAnsi="Trebuchet MS"/>
          <w:b/>
          <w:bCs/>
        </w:rPr>
      </w:pPr>
    </w:p>
    <w:p w14:paraId="314E9B0A" w14:textId="399808A4" w:rsidR="004D153F" w:rsidRPr="00C5118A" w:rsidRDefault="004D153F" w:rsidP="00C00019">
      <w:pPr>
        <w:rPr>
          <w:rFonts w:ascii="Trebuchet MS" w:eastAsiaTheme="minorEastAsia" w:hAnsi="Trebuchet MS"/>
          <w:b/>
          <w:bCs/>
        </w:rPr>
      </w:pPr>
      <w:r w:rsidRPr="00C5118A">
        <w:rPr>
          <w:rFonts w:ascii="Trebuchet MS" w:eastAsiaTheme="minorEastAsia" w:hAnsi="Trebuchet MS"/>
        </w:rPr>
        <w:t xml:space="preserve">HMW DNA for CCS library preparation is often prepared through Qiagen </w:t>
      </w:r>
      <w:proofErr w:type="spellStart"/>
      <w:r w:rsidRPr="00C5118A">
        <w:rPr>
          <w:rFonts w:ascii="Trebuchet MS" w:eastAsiaTheme="minorEastAsia" w:hAnsi="Trebuchet MS"/>
        </w:rPr>
        <w:t>Magattract</w:t>
      </w:r>
      <w:proofErr w:type="spellEnd"/>
      <w:r w:rsidRPr="00C5118A">
        <w:rPr>
          <w:rFonts w:ascii="Trebuchet MS" w:eastAsiaTheme="minorEastAsia" w:hAnsi="Trebuchet MS"/>
        </w:rPr>
        <w:t xml:space="preserve"> or </w:t>
      </w:r>
      <w:proofErr w:type="spellStart"/>
      <w:r w:rsidRPr="00C5118A">
        <w:rPr>
          <w:rFonts w:ascii="Trebuchet MS" w:eastAsiaTheme="minorEastAsia" w:hAnsi="Trebuchet MS"/>
        </w:rPr>
        <w:t>Circulomics</w:t>
      </w:r>
      <w:proofErr w:type="spellEnd"/>
      <w:r w:rsidRPr="00C5118A">
        <w:rPr>
          <w:rFonts w:ascii="Trebuchet MS" w:eastAsiaTheme="minorEastAsia" w:hAnsi="Trebuchet MS"/>
        </w:rPr>
        <w:t xml:space="preserve"> HMW DNA extraction kit and HMW DNA is sheared to the appropriate size using a </w:t>
      </w:r>
      <w:proofErr w:type="spellStart"/>
      <w:r w:rsidRPr="00C5118A">
        <w:rPr>
          <w:rFonts w:ascii="Trebuchet MS" w:eastAsiaTheme="minorEastAsia" w:hAnsi="Trebuchet MS"/>
        </w:rPr>
        <w:t>Megaruptor</w:t>
      </w:r>
      <w:proofErr w:type="spellEnd"/>
      <w:r w:rsidRPr="00C5118A">
        <w:rPr>
          <w:rFonts w:ascii="Trebuchet MS" w:eastAsiaTheme="minorEastAsia" w:hAnsi="Trebuchet MS"/>
        </w:rPr>
        <w:t xml:space="preserve"> instrument. A hairpin adapter is attached to both ends of the double-stranded DNA molecule to create a topologically circular template. DNA nuclease is subsequently used to digest DNA molecules not suitable for sequencing (</w:t>
      </w:r>
      <w:proofErr w:type="spellStart"/>
      <w:r w:rsidRPr="00C5118A">
        <w:rPr>
          <w:rFonts w:ascii="Trebuchet MS" w:eastAsiaTheme="minorEastAsia" w:hAnsi="Trebuchet MS"/>
        </w:rPr>
        <w:t>e.g</w:t>
      </w:r>
      <w:proofErr w:type="spellEnd"/>
      <w:r w:rsidRPr="00C5118A">
        <w:rPr>
          <w:rFonts w:ascii="Trebuchet MS" w:eastAsiaTheme="minorEastAsia" w:hAnsi="Trebuchet MS"/>
        </w:rPr>
        <w:t xml:space="preserve">, failed ligation products). </w:t>
      </w:r>
      <w:proofErr w:type="spellStart"/>
      <w:r w:rsidRPr="00C5118A">
        <w:rPr>
          <w:rFonts w:ascii="Trebuchet MS" w:eastAsiaTheme="minorEastAsia" w:hAnsi="Trebuchet MS"/>
        </w:rPr>
        <w:t>BluePippin</w:t>
      </w:r>
      <w:proofErr w:type="spellEnd"/>
      <w:r w:rsidRPr="00C5118A">
        <w:rPr>
          <w:rFonts w:ascii="Trebuchet MS" w:eastAsiaTheme="minorEastAsia" w:hAnsi="Trebuchet MS"/>
        </w:rPr>
        <w:t xml:space="preserve"> based size selection may additionally be performed to prepare size-selected libraries to maximize sequence throughput per </w:t>
      </w:r>
      <w:proofErr w:type="spellStart"/>
      <w:r w:rsidRPr="00C5118A">
        <w:rPr>
          <w:rFonts w:ascii="Trebuchet MS" w:eastAsiaTheme="minorEastAsia" w:hAnsi="Trebuchet MS"/>
        </w:rPr>
        <w:t>SMRTcell</w:t>
      </w:r>
      <w:proofErr w:type="spellEnd"/>
      <w:r w:rsidRPr="00C5118A">
        <w:rPr>
          <w:rFonts w:ascii="Trebuchet MS" w:eastAsiaTheme="minorEastAsia" w:hAnsi="Trebuchet MS"/>
        </w:rPr>
        <w:t>.</w:t>
      </w:r>
    </w:p>
    <w:p w14:paraId="5029229D" w14:textId="77777777" w:rsidR="004D153F" w:rsidRPr="00C5118A" w:rsidRDefault="004D153F" w:rsidP="00C00019">
      <w:pPr>
        <w:rPr>
          <w:rFonts w:ascii="Trebuchet MS" w:eastAsiaTheme="minorEastAsia" w:hAnsi="Trebuchet MS"/>
          <w:b/>
          <w:bCs/>
        </w:rPr>
      </w:pPr>
    </w:p>
    <w:p w14:paraId="105D02B2" w14:textId="77777777" w:rsidR="00710AA5" w:rsidRPr="00C5118A" w:rsidRDefault="00710AA5" w:rsidP="00710AA5">
      <w:pPr>
        <w:rPr>
          <w:rFonts w:ascii="Trebuchet MS" w:eastAsiaTheme="minorEastAsia" w:hAnsi="Trebuchet MS"/>
        </w:rPr>
      </w:pPr>
      <w:r w:rsidRPr="00C5118A">
        <w:rPr>
          <w:rFonts w:ascii="Trebuchet MS" w:eastAsiaTheme="minorEastAsia" w:hAnsi="Trebuchet MS"/>
        </w:rPr>
        <w:t xml:space="preserve">A DNA damage repair enzyme cocktail (unpublished) is used to repair DNA damage (nicks, </w:t>
      </w:r>
      <w:proofErr w:type="spellStart"/>
      <w:r w:rsidRPr="00C5118A">
        <w:rPr>
          <w:rFonts w:ascii="Trebuchet MS" w:eastAsiaTheme="minorEastAsia" w:hAnsi="Trebuchet MS"/>
        </w:rPr>
        <w:t>abasic</w:t>
      </w:r>
      <w:proofErr w:type="spellEnd"/>
      <w:r w:rsidRPr="00C5118A">
        <w:rPr>
          <w:rFonts w:ascii="Trebuchet MS" w:eastAsiaTheme="minorEastAsia" w:hAnsi="Trebuchet MS"/>
        </w:rPr>
        <w:t xml:space="preserve"> sites, thymidine dimers, blocked 3’-ends, oxidised guanine and pyrimidines and deaminated cytosines) introduced during library preparation (personal communication). In addition, end-repair, and poly(A) tailing is performed to remove protruding ends and to enable adapter ligation, respectively. Defective DNA damage repair or unrepaired DNA damage manifest as library errors and can be misclassified as a somatic mutation. The precise identity of DNA damage repair enzymes in the cocktail are unknown. I, however, can make informed assumptions about their function and their impact on downstream sequence analysis, and highlight the DNA damage repair process that is most likely to introduce library errors. </w:t>
      </w:r>
      <w:proofErr w:type="spellStart"/>
      <w:r w:rsidRPr="00C5118A">
        <w:rPr>
          <w:rFonts w:ascii="Trebuchet MS" w:eastAsiaTheme="minorEastAsia" w:hAnsi="Trebuchet MS"/>
        </w:rPr>
        <w:t>Nanoseq</w:t>
      </w:r>
      <w:proofErr w:type="spellEnd"/>
      <w:r w:rsidRPr="00C5118A">
        <w:rPr>
          <w:rFonts w:ascii="Trebuchet MS" w:eastAsiaTheme="minorEastAsia" w:hAnsi="Trebuchet MS"/>
        </w:rPr>
        <w:t xml:space="preserve"> protocol, for example, pinpoints end-repair and nick translation </w:t>
      </w:r>
      <w:r w:rsidRPr="00C5118A">
        <w:rPr>
          <w:rFonts w:ascii="Trebuchet MS" w:eastAsiaTheme="minorEastAsia" w:hAnsi="Trebuchet MS"/>
        </w:rPr>
        <w:lastRenderedPageBreak/>
        <w:t>process to be the primary sources of library errors. Strand-displacement synthesis during nick translation, for example, can introduce kilobases of new sequences using the complementary strand as a template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\cite{}. </w:t>
      </w:r>
    </w:p>
    <w:p w14:paraId="5B3D1245" w14:textId="77777777" w:rsidR="00710AA5" w:rsidRPr="00C5118A" w:rsidRDefault="00710AA5" w:rsidP="00710AA5">
      <w:pPr>
        <w:rPr>
          <w:rFonts w:ascii="Trebuchet MS" w:eastAsiaTheme="minorEastAsia" w:hAnsi="Trebuchet MS"/>
        </w:rPr>
      </w:pPr>
    </w:p>
    <w:p w14:paraId="50F2D654" w14:textId="77777777" w:rsidR="00710AA5" w:rsidRPr="00C5118A" w:rsidRDefault="00710AA5" w:rsidP="00710AA5">
      <w:pPr>
        <w:rPr>
          <w:rFonts w:ascii="Trebuchet MS" w:eastAsiaTheme="minorEastAsia" w:hAnsi="Trebuchet MS"/>
        </w:rPr>
      </w:pPr>
      <w:r w:rsidRPr="00C5118A">
        <w:rPr>
          <w:rFonts w:ascii="Trebuchet MS" w:eastAsiaTheme="minorEastAsia" w:hAnsi="Trebuchet MS"/>
        </w:rPr>
        <w:t xml:space="preserve">CCS libraries are loaded on the </w:t>
      </w:r>
      <w:proofErr w:type="spellStart"/>
      <w:proofErr w:type="gramStart"/>
      <w:r w:rsidRPr="00C5118A">
        <w:rPr>
          <w:rFonts w:ascii="Trebuchet MS" w:eastAsiaTheme="minorEastAsia" w:hAnsi="Trebuchet MS"/>
        </w:rPr>
        <w:t>SMRTcell</w:t>
      </w:r>
      <w:proofErr w:type="spellEnd"/>
      <w:proofErr w:type="gramEnd"/>
      <w:r w:rsidRPr="00C5118A">
        <w:rPr>
          <w:rFonts w:ascii="Trebuchet MS" w:eastAsiaTheme="minorEastAsia" w:hAnsi="Trebuchet MS"/>
        </w:rPr>
        <w:t xml:space="preserve"> and template DNA molecules diffuses into one of the ZMWs. A productive ZMW is defined as a ZMW with a single template molecule, from which </w:t>
      </w:r>
      <w:proofErr w:type="gramStart"/>
      <w:r w:rsidRPr="00C5118A">
        <w:rPr>
          <w:rFonts w:ascii="Trebuchet MS" w:eastAsiaTheme="minorEastAsia" w:hAnsi="Trebuchet MS"/>
        </w:rPr>
        <w:t>a sufficient number of</w:t>
      </w:r>
      <w:proofErr w:type="gramEnd"/>
      <w:r w:rsidRPr="00C5118A">
        <w:rPr>
          <w:rFonts w:ascii="Trebuchet MS" w:eastAsiaTheme="minorEastAsia" w:hAnsi="Trebuchet MS"/>
        </w:rPr>
        <w:t xml:space="preserve"> subreads are sequenced to construct a consensus sequence with at least Q20 average read accuracy. DNAP at the bottom of the ZMW binds to the DNA primer and initiates rolling circle amplification through strand-displacement synthesis. DNAP incorporates fluorescently labelled nucleotides, fluorescence emitted during DNA incorporation is measured and fluorophore is cleaved off upon successful incorporation. The wavelength of the fluorescence, length of the fluorescence, and duration between the successive pulses of fluorescence is used to determine the identity of the base and chemical modifications to the base. </w:t>
      </w:r>
    </w:p>
    <w:p w14:paraId="0F1538A0" w14:textId="77777777" w:rsidR="00710AA5" w:rsidRPr="00C5118A" w:rsidRDefault="00710AA5" w:rsidP="00710AA5">
      <w:pPr>
        <w:rPr>
          <w:rFonts w:ascii="Trebuchet MS" w:eastAsiaTheme="minorEastAsia" w:hAnsi="Trebuchet MS"/>
        </w:rPr>
      </w:pPr>
    </w:p>
    <w:p w14:paraId="3C29F903" w14:textId="77777777" w:rsidR="00710AA5" w:rsidRPr="00C5118A" w:rsidRDefault="00710AA5" w:rsidP="00710AA5">
      <w:pPr>
        <w:rPr>
          <w:rFonts w:ascii="Trebuchet MS" w:hAnsi="Trebuchet MS"/>
        </w:rPr>
      </w:pPr>
      <w:r w:rsidRPr="00C5118A">
        <w:rPr>
          <w:rFonts w:ascii="Trebuchet MS" w:hAnsi="Trebuchet MS"/>
          <w:color w:val="000000"/>
        </w:rPr>
        <w:t>The DNAP from the latest library protocol has sufficient processivity to generate an average of 10-12 full-length subreads on average for template molecules with read-of-insert length between 16kb and 20kb. The single-strand readouts of the forward and reverse strand of the template molecule are referred to as subreads. The first subread and the last subread are often partial readouts of the template molecule resulting from internal priming and early sequencing termination respectively, while the subreads from the second to the second-to-last subreads are full-length readouts of the template molecule (Figure \</w:t>
      </w:r>
      <w:proofErr w:type="gramStart"/>
      <w:r w:rsidRPr="00C5118A">
        <w:rPr>
          <w:rFonts w:ascii="Trebuchet MS" w:hAnsi="Trebuchet MS"/>
          <w:color w:val="000000"/>
        </w:rPr>
        <w:t>ref{</w:t>
      </w:r>
      <w:proofErr w:type="gramEnd"/>
      <w:r w:rsidRPr="00C5118A">
        <w:rPr>
          <w:rFonts w:ascii="Trebuchet MS" w:hAnsi="Trebuchet MS"/>
          <w:color w:val="000000"/>
        </w:rPr>
        <w:t xml:space="preserve">}). Assuming error-free detection of adapter sequences, odd-numbered subreads and even-numbered subreads are assumed to have the same sequence orientation as DNAP is agnostic to strand orientation. A draft consensus sequence is constructed from multiple sequence alignment of subreads and is polished based on the realignment of subreads back to the draft consensus sequence. A dinucleotide sequence context Hidden Markov Model (HMM) is used to infer the base accuracy and DNA sequence from the observed subread bases (personal communication). A highly accurate consensus sequence can be constructed as sequencing errors are thought to be randomly introduced without sequence context bias and are independent of each other. In addition, non-complementary base pairing between the forward and reverse strand indicates the presence of either a library or a sequencing error and resulting CCS is assigned a low BQ score. </w:t>
      </w:r>
    </w:p>
    <w:p w14:paraId="3142CC58" w14:textId="77777777" w:rsidR="00710AA5" w:rsidRPr="00C5118A" w:rsidRDefault="00710AA5" w:rsidP="00710AA5">
      <w:pPr>
        <w:rPr>
          <w:rFonts w:ascii="Trebuchet MS" w:eastAsiaTheme="minorEastAsia" w:hAnsi="Trebuchet MS"/>
        </w:rPr>
      </w:pPr>
    </w:p>
    <w:p w14:paraId="6AA62727" w14:textId="77777777" w:rsidR="00710AA5" w:rsidRPr="00C5118A" w:rsidRDefault="00710AA5" w:rsidP="00710AA5">
      <w:pPr>
        <w:rPr>
          <w:rFonts w:ascii="Trebuchet MS" w:eastAsiaTheme="minorEastAsia" w:hAnsi="Trebuchet MS"/>
        </w:rPr>
      </w:pPr>
      <w:r w:rsidRPr="00C5118A">
        <w:rPr>
          <w:rFonts w:ascii="Trebuchet MS" w:eastAsiaTheme="minorEastAsia" w:hAnsi="Trebuchet MS"/>
        </w:rPr>
        <w:t>PacBio circular consensus sequence algorithm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calculates the median subread length and uses subreads with read length between 50\% of median subread length and 200\% of median subread length for CCS generation. If adapter sequences are incorrectly detected within the subread or if adapter sequences are not detected where present, full-length subreads can be fragmented into multiple shorter subreads and multiple subreads can be concatenated into a single long subread, respectively. Unfortunately, read length based hard filters cannot identify all cases where adapter sequence detection has failed. </w:t>
      </w:r>
    </w:p>
    <w:p w14:paraId="4DEDBE91" w14:textId="1567D1E9" w:rsidR="00710AA5" w:rsidRPr="00C5118A" w:rsidRDefault="00710AA5" w:rsidP="00C00019">
      <w:pPr>
        <w:rPr>
          <w:rFonts w:ascii="Trebuchet MS" w:eastAsiaTheme="minorEastAsia" w:hAnsi="Trebuchet MS"/>
          <w:b/>
          <w:bCs/>
        </w:rPr>
      </w:pPr>
    </w:p>
    <w:p w14:paraId="4AEC88CC" w14:textId="77777777" w:rsidR="00710AA5" w:rsidRPr="00C5118A" w:rsidRDefault="00710AA5" w:rsidP="00C00019">
      <w:pPr>
        <w:rPr>
          <w:rFonts w:ascii="Trebuchet MS" w:eastAsiaTheme="minorEastAsia" w:hAnsi="Trebuchet MS"/>
          <w:b/>
          <w:bCs/>
        </w:rPr>
      </w:pPr>
    </w:p>
    <w:p w14:paraId="0E5E0D97" w14:textId="77777777" w:rsidR="00710AA5" w:rsidRPr="00C5118A" w:rsidRDefault="00710AA5" w:rsidP="00C00019">
      <w:pPr>
        <w:rPr>
          <w:rFonts w:ascii="Trebuchet MS" w:eastAsiaTheme="minorEastAsia" w:hAnsi="Trebuchet MS"/>
        </w:rPr>
      </w:pPr>
    </w:p>
    <w:p w14:paraId="3CE987AC" w14:textId="77777777" w:rsidR="00EE1B71" w:rsidRPr="00C5118A" w:rsidRDefault="00EE1B71" w:rsidP="00C00019">
      <w:pPr>
        <w:rPr>
          <w:rFonts w:ascii="Trebuchet MS" w:eastAsiaTheme="minorEastAsia" w:hAnsi="Trebuchet MS"/>
        </w:rPr>
      </w:pPr>
    </w:p>
    <w:p w14:paraId="6A0483C5" w14:textId="394F0ED7" w:rsidR="00C00019" w:rsidRPr="00C5118A" w:rsidRDefault="00DA0A29" w:rsidP="00C00019">
      <w:pPr>
        <w:rPr>
          <w:rFonts w:ascii="Trebuchet MS" w:eastAsiaTheme="minorEastAsia" w:hAnsi="Trebuchet MS"/>
        </w:rPr>
      </w:pPr>
      <w:r w:rsidRPr="00C5118A">
        <w:rPr>
          <w:rFonts w:ascii="Trebuchet MS" w:eastAsiaTheme="minorEastAsia" w:hAnsi="Trebuchet MS"/>
        </w:rPr>
        <w:lastRenderedPageBreak/>
        <w:t>In short</w:t>
      </w:r>
      <w:r w:rsidR="00C00019" w:rsidRPr="00C5118A">
        <w:rPr>
          <w:rFonts w:ascii="Trebuchet MS" w:eastAsiaTheme="minorEastAsia" w:hAnsi="Trebuchet MS"/>
        </w:rPr>
        <w:t xml:space="preserve">, I invert the premise that long reads are inaccurate and propose that CCS reads have the highest base accuracy among commercially available sequencing platforms. </w:t>
      </w:r>
      <w:r w:rsidR="00307D6C" w:rsidRPr="00C5118A">
        <w:rPr>
          <w:rFonts w:ascii="Trebuchet MS" w:eastAsiaTheme="minorEastAsia" w:hAnsi="Trebuchet MS"/>
        </w:rPr>
        <w:t>I</w:t>
      </w:r>
      <w:r w:rsidR="00C00019" w:rsidRPr="00C5118A">
        <w:rPr>
          <w:rFonts w:ascii="Trebuchet MS" w:eastAsiaTheme="minorEastAsia" w:hAnsi="Trebuchet MS"/>
        </w:rPr>
        <w:t xml:space="preserve"> assess the potential for single molecule somatic mutation detection using CCS reads, identify systematic errors with consensus sequence generation and base quality score estimation and propose potential solutions to address these issues. In addition, </w:t>
      </w:r>
      <w:r w:rsidR="002E79B5" w:rsidRPr="00C5118A">
        <w:rPr>
          <w:rFonts w:ascii="Trebuchet MS" w:eastAsiaTheme="minorEastAsia" w:hAnsi="Trebuchet MS"/>
        </w:rPr>
        <w:t>I</w:t>
      </w:r>
      <w:r w:rsidR="00C00019" w:rsidRPr="00C5118A">
        <w:rPr>
          <w:rFonts w:ascii="Trebuchet MS" w:eastAsiaTheme="minorEastAsia" w:hAnsi="Trebuchet MS"/>
        </w:rPr>
        <w:t xml:space="preserve"> present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a method that can call somatic mutations where a single read alignment supports the mismatch between the sample and the reference genome. </w:t>
      </w:r>
      <w:r w:rsidR="00E10965" w:rsidRPr="00C5118A">
        <w:rPr>
          <w:rFonts w:ascii="Trebuchet MS" w:eastAsiaTheme="minorEastAsia" w:hAnsi="Trebuchet MS"/>
        </w:rPr>
        <w:t>I</w:t>
      </w:r>
      <w:r w:rsidR="00C00019" w:rsidRPr="00C5118A">
        <w:rPr>
          <w:rFonts w:ascii="Trebuchet MS" w:eastAsiaTheme="minorEastAsia" w:hAnsi="Trebuchet MS"/>
        </w:rPr>
        <w:t xml:space="preserve"> detail the rationale behind the mechanics of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and report its sensitivity and specificity. </w:t>
      </w:r>
      <w:r w:rsidR="00E10965" w:rsidRPr="00C5118A">
        <w:rPr>
          <w:rFonts w:ascii="Trebuchet MS" w:eastAsiaTheme="minorEastAsia" w:hAnsi="Trebuchet MS"/>
        </w:rPr>
        <w:t xml:space="preserve">I </w:t>
      </w:r>
      <w:r w:rsidR="00C00019" w:rsidRPr="00C5118A">
        <w:rPr>
          <w:rFonts w:ascii="Trebuchet MS" w:eastAsiaTheme="minorEastAsia" w:hAnsi="Trebuchet MS"/>
        </w:rPr>
        <w:t xml:space="preserve">have designed </w:t>
      </w:r>
      <w:proofErr w:type="spellStart"/>
      <w:r w:rsidR="00C00019" w:rsidRPr="00C5118A">
        <w:rPr>
          <w:rFonts w:ascii="Trebuchet MS" w:eastAsiaTheme="minorEastAsia" w:hAnsi="Trebuchet MS"/>
        </w:rPr>
        <w:t>himut</w:t>
      </w:r>
      <w:proofErr w:type="spellEnd"/>
      <w:r w:rsidR="00C00019" w:rsidRPr="00C5118A">
        <w:rPr>
          <w:rFonts w:ascii="Trebuchet MS" w:eastAsiaTheme="minorEastAsia" w:hAnsi="Trebuchet MS"/>
        </w:rPr>
        <w:t xml:space="preserve"> with ease of use in mind</w:t>
      </w:r>
      <w:r w:rsidR="00BA01F6" w:rsidRPr="00C5118A">
        <w:rPr>
          <w:rFonts w:ascii="Trebuchet MS" w:eastAsiaTheme="minorEastAsia" w:hAnsi="Trebuchet MS"/>
        </w:rPr>
        <w:t>. It</w:t>
      </w:r>
      <w:r w:rsidR="00C00019" w:rsidRPr="00C5118A">
        <w:rPr>
          <w:rFonts w:ascii="Trebuchet MS" w:eastAsiaTheme="minorEastAsia" w:hAnsi="Trebuchet MS"/>
        </w:rPr>
        <w:t xml:space="preserve"> requires a sorted BAM file with primary read alignments as the only input and returns a VCF file with somatic mutations as output. </w:t>
      </w:r>
      <w:proofErr w:type="spellStart"/>
      <w:r w:rsidR="00566495" w:rsidRPr="00C5118A">
        <w:rPr>
          <w:rFonts w:ascii="Trebuchet MS" w:eastAsiaTheme="minorEastAsia" w:hAnsi="Trebuchet MS"/>
        </w:rPr>
        <w:t>Himut</w:t>
      </w:r>
      <w:proofErr w:type="spellEnd"/>
      <w:r w:rsidR="00566495" w:rsidRPr="00C5118A">
        <w:rPr>
          <w:rFonts w:ascii="Trebuchet MS" w:eastAsiaTheme="minorEastAsia" w:hAnsi="Trebuchet MS"/>
        </w:rPr>
        <w:t xml:space="preserve"> </w:t>
      </w:r>
      <w:r w:rsidR="00C00019" w:rsidRPr="00C5118A">
        <w:rPr>
          <w:rFonts w:ascii="Trebuchet MS" w:eastAsiaTheme="minorEastAsia" w:hAnsi="Trebuchet MS"/>
        </w:rPr>
        <w:t xml:space="preserve">is publicly available at </w:t>
      </w:r>
      <w:r w:rsidR="00145A15" w:rsidRPr="00C5118A">
        <w:rPr>
          <w:rFonts w:ascii="Trebuchet MS" w:eastAsiaTheme="minorEastAsia" w:hAnsi="Trebuchet MS"/>
        </w:rPr>
        <w:t>\</w:t>
      </w:r>
      <w:proofErr w:type="spellStart"/>
      <w:r w:rsidR="00145A15" w:rsidRPr="00C5118A">
        <w:rPr>
          <w:rFonts w:ascii="Trebuchet MS" w:eastAsiaTheme="minorEastAsia" w:hAnsi="Trebuchet MS"/>
        </w:rPr>
        <w:t>url</w:t>
      </w:r>
      <w:proofErr w:type="spellEnd"/>
      <w:r w:rsidR="00145A15" w:rsidRPr="00C5118A">
        <w:rPr>
          <w:rFonts w:ascii="Trebuchet MS" w:eastAsiaTheme="minorEastAsia" w:hAnsi="Trebuchet MS"/>
        </w:rPr>
        <w:t>{</w:t>
      </w:r>
      <w:r w:rsidR="00C00019" w:rsidRPr="00C5118A">
        <w:rPr>
          <w:rFonts w:ascii="Trebuchet MS" w:eastAsiaTheme="minorEastAsia" w:hAnsi="Trebuchet MS"/>
        </w:rPr>
        <w:t>https://github.com/sjin09/himut</w:t>
      </w:r>
      <w:r w:rsidR="00145A15" w:rsidRPr="00C5118A">
        <w:rPr>
          <w:rFonts w:ascii="Trebuchet MS" w:eastAsiaTheme="minorEastAsia" w:hAnsi="Trebuchet MS"/>
        </w:rPr>
        <w:t xml:space="preserve">} </w:t>
      </w:r>
      <w:r w:rsidR="00C00019" w:rsidRPr="00C5118A">
        <w:rPr>
          <w:rFonts w:ascii="Trebuchet MS" w:eastAsiaTheme="minorEastAsia" w:hAnsi="Trebuchet MS"/>
        </w:rPr>
        <w:t>as a Python package under the MIT open license.</w:t>
      </w:r>
    </w:p>
    <w:p w14:paraId="66B4FEB6" w14:textId="64572E34" w:rsidR="009A05A9" w:rsidRPr="00C5118A" w:rsidRDefault="009A05A9" w:rsidP="00C00019">
      <w:pPr>
        <w:rPr>
          <w:rFonts w:ascii="Trebuchet MS" w:eastAsiaTheme="minorEastAsia" w:hAnsi="Trebuchet MS"/>
        </w:rPr>
      </w:pPr>
    </w:p>
    <w:p w14:paraId="797B8F84" w14:textId="677B3616" w:rsidR="00015A33" w:rsidRPr="00C5118A" w:rsidRDefault="00566F44" w:rsidP="001D0116">
      <w:pPr>
        <w:rPr>
          <w:rFonts w:ascii="Trebuchet MS" w:eastAsiaTheme="minorEastAsia" w:hAnsi="Trebuchet MS"/>
          <w:b/>
          <w:bCs/>
          <w:i/>
          <w:iCs/>
        </w:rPr>
      </w:pPr>
      <w:r w:rsidRPr="00C5118A">
        <w:rPr>
          <w:rFonts w:ascii="Trebuchet MS" w:eastAsiaTheme="minorEastAsia" w:hAnsi="Trebuchet MS"/>
        </w:rPr>
        <w:t>Single molecule somatic mutation candidates are generated from either a biological process or from a non-biological process such as library, sequencing, alignment, or systematic bioinformatics errors</w:t>
      </w:r>
      <w:r w:rsidR="00696426" w:rsidRPr="00C5118A">
        <w:rPr>
          <w:rFonts w:ascii="Trebuchet MS" w:eastAsiaTheme="minorEastAsia" w:hAnsi="Trebuchet MS"/>
        </w:rPr>
        <w:t xml:space="preserve">. </w:t>
      </w:r>
      <w:r w:rsidR="009E0CF6" w:rsidRPr="00C5118A">
        <w:rPr>
          <w:rFonts w:ascii="Trebuchet MS" w:eastAsiaTheme="minorEastAsia" w:hAnsi="Trebuchet MS"/>
          <w:b/>
          <w:bCs/>
          <w:i/>
          <w:iCs/>
        </w:rPr>
        <w:t>If a single read supports the mismatch between the sample and the reference, somatic mutation is indistinguishable from errors. If, however, there is sufficient signal-to-noise ratio somatic mutation detection,</w:t>
      </w:r>
      <w:r w:rsidR="00243C86" w:rsidRPr="00C5118A">
        <w:rPr>
          <w:rFonts w:ascii="Trebuchet MS" w:eastAsiaTheme="minorEastAsia" w:hAnsi="Trebuchet MS"/>
          <w:b/>
          <w:bCs/>
          <w:i/>
          <w:iCs/>
        </w:rPr>
        <w:t xml:space="preserve"> the</w:t>
      </w:r>
      <w:r w:rsidR="009E0CF6" w:rsidRPr="00C5118A">
        <w:rPr>
          <w:rFonts w:ascii="Trebuchet MS" w:eastAsiaTheme="minorEastAsia" w:hAnsi="Trebuchet MS"/>
          <w:b/>
          <w:bCs/>
          <w:i/>
          <w:iCs/>
        </w:rPr>
        <w:t xml:space="preserve"> </w:t>
      </w:r>
      <w:r w:rsidR="00015A33" w:rsidRPr="00C5118A">
        <w:rPr>
          <w:rFonts w:ascii="Trebuchet MS" w:eastAsiaTheme="minorEastAsia" w:hAnsi="Trebuchet MS"/>
          <w:b/>
          <w:bCs/>
          <w:i/>
          <w:iCs/>
        </w:rPr>
        <w:t xml:space="preserve">mutational spectrum produced from the aggregate </w:t>
      </w:r>
      <w:r w:rsidR="007630F5" w:rsidRPr="00C5118A">
        <w:rPr>
          <w:rFonts w:ascii="Trebuchet MS" w:eastAsiaTheme="minorEastAsia" w:hAnsi="Trebuchet MS"/>
          <w:b/>
          <w:bCs/>
          <w:i/>
          <w:iCs/>
        </w:rPr>
        <w:t xml:space="preserve">of </w:t>
      </w:r>
      <w:r w:rsidR="00015A33" w:rsidRPr="00C5118A">
        <w:rPr>
          <w:rFonts w:ascii="Trebuchet MS" w:eastAsiaTheme="minorEastAsia" w:hAnsi="Trebuchet MS"/>
          <w:b/>
          <w:bCs/>
          <w:i/>
          <w:iCs/>
        </w:rPr>
        <w:t>somatic mutations should be consistent with the expected mutational signature</w:t>
      </w:r>
      <w:r w:rsidR="007630F5" w:rsidRPr="00C5118A">
        <w:rPr>
          <w:rFonts w:ascii="Trebuchet MS" w:eastAsiaTheme="minorEastAsia" w:hAnsi="Trebuchet MS"/>
          <w:b/>
          <w:bCs/>
          <w:i/>
          <w:iCs/>
        </w:rPr>
        <w:t xml:space="preserve"> for the sample. </w:t>
      </w:r>
    </w:p>
    <w:p w14:paraId="0550200E" w14:textId="77777777" w:rsidR="00015A33" w:rsidRPr="00C5118A" w:rsidRDefault="00015A33" w:rsidP="00C00019">
      <w:pPr>
        <w:rPr>
          <w:rFonts w:ascii="Trebuchet MS" w:eastAsiaTheme="minorEastAsia" w:hAnsi="Trebuchet MS"/>
        </w:rPr>
      </w:pPr>
    </w:p>
    <w:p w14:paraId="357C7265" w14:textId="3687373C" w:rsidR="00E84332" w:rsidRPr="00C5118A" w:rsidRDefault="00C00019" w:rsidP="005276CB">
      <w:pPr>
        <w:rPr>
          <w:rFonts w:ascii="Trebuchet MS" w:eastAsiaTheme="minorEastAsia" w:hAnsi="Trebuchet MS"/>
        </w:rPr>
      </w:pPr>
      <w:r w:rsidRPr="00C5118A">
        <w:rPr>
          <w:rFonts w:ascii="Trebuchet MS" w:eastAsiaTheme="minorEastAsia" w:hAnsi="Trebuchet MS"/>
          <w:b/>
          <w:bCs/>
          <w:i/>
          <w:iCs/>
        </w:rPr>
        <w:t xml:space="preserve">I selected a set of samples (the BC-1 and HT-115 cell lines, as well as normal granulocytes from an 82-year-old female individual) as positive controls and a sample (cord blood granulocyte) with few somatic mutations as a negative control to determine the limit of detection, empirically calculate the CCS error rate and </w:t>
      </w:r>
      <w:r w:rsidR="006A7101" w:rsidRPr="00C5118A">
        <w:rPr>
          <w:rFonts w:ascii="Trebuchet MS" w:eastAsiaTheme="minorEastAsia" w:hAnsi="Trebuchet MS"/>
          <w:b/>
          <w:bCs/>
          <w:i/>
          <w:iCs/>
        </w:rPr>
        <w:t>assess the potential for single molecule somatic mutation detection using CCS reads</w:t>
      </w:r>
      <w:r w:rsidRPr="00C5118A">
        <w:rPr>
          <w:rFonts w:ascii="Trebuchet MS" w:eastAsiaTheme="minorEastAsia" w:hAnsi="Trebuchet MS"/>
          <w:b/>
          <w:bCs/>
          <w:i/>
          <w:iCs/>
        </w:rPr>
        <w:t>. In contrast to a typical sample where multiple mutational processes might be active at any given time, single-cell clone expansion and sequencing studies have definitively identified APOBEC</w:t>
      </w:r>
      <w:r w:rsidR="00BD3376" w:rsidRPr="00C5118A">
        <w:rPr>
          <w:rFonts w:ascii="Trebuchet MS" w:eastAsiaTheme="minorEastAsia" w:hAnsi="Trebuchet MS"/>
          <w:b/>
          <w:bCs/>
          <w:i/>
          <w:iCs/>
        </w:rPr>
        <w:t xml:space="preserve">, </w:t>
      </w:r>
      <w:r w:rsidRPr="00C5118A">
        <w:rPr>
          <w:rFonts w:ascii="Trebuchet MS" w:eastAsiaTheme="minorEastAsia" w:hAnsi="Trebuchet MS"/>
          <w:b/>
          <w:bCs/>
          <w:i/>
          <w:iCs/>
        </w:rPr>
        <w:t>POLE</w:t>
      </w:r>
      <w:r w:rsidR="009462E4" w:rsidRPr="00C5118A">
        <w:rPr>
          <w:rFonts w:ascii="Trebuchet MS" w:eastAsiaTheme="minorEastAsia" w:hAnsi="Trebuchet MS"/>
          <w:b/>
          <w:bCs/>
          <w:i/>
          <w:iCs/>
        </w:rPr>
        <w:t xml:space="preserve">, </w:t>
      </w:r>
      <w:r w:rsidRPr="00C5118A">
        <w:rPr>
          <w:rFonts w:ascii="Trebuchet MS" w:eastAsiaTheme="minorEastAsia" w:hAnsi="Trebuchet MS"/>
          <w:b/>
          <w:bCs/>
          <w:i/>
          <w:iCs/>
        </w:rPr>
        <w:t xml:space="preserve">clock-like mutational processes to be the dominant ongoing somatic mutational processes in BC-1, HT-115 and </w:t>
      </w:r>
      <w:r w:rsidR="006A7101" w:rsidRPr="00C5118A">
        <w:rPr>
          <w:rFonts w:ascii="Trebuchet MS" w:eastAsiaTheme="minorEastAsia" w:hAnsi="Trebuchet MS"/>
          <w:b/>
          <w:bCs/>
          <w:i/>
          <w:iCs/>
        </w:rPr>
        <w:t xml:space="preserve">normal </w:t>
      </w:r>
      <w:r w:rsidRPr="00C5118A">
        <w:rPr>
          <w:rFonts w:ascii="Trebuchet MS" w:eastAsiaTheme="minorEastAsia" w:hAnsi="Trebuchet MS"/>
          <w:b/>
          <w:bCs/>
          <w:i/>
          <w:iCs/>
        </w:rPr>
        <w:t>granulocytes, respectively \</w:t>
      </w:r>
      <w:proofErr w:type="gramStart"/>
      <w:r w:rsidRPr="00C5118A">
        <w:rPr>
          <w:rFonts w:ascii="Trebuchet MS" w:eastAsiaTheme="minorEastAsia" w:hAnsi="Trebuchet MS"/>
          <w:b/>
          <w:bCs/>
          <w:i/>
          <w:iCs/>
        </w:rPr>
        <w:t>cite{</w:t>
      </w:r>
      <w:proofErr w:type="gramEnd"/>
      <w:r w:rsidRPr="00C5118A">
        <w:rPr>
          <w:rFonts w:ascii="Trebuchet MS" w:eastAsiaTheme="minorEastAsia" w:hAnsi="Trebuchet MS"/>
          <w:b/>
          <w:bCs/>
          <w:i/>
          <w:iCs/>
        </w:rPr>
        <w:t>Petljak2019-wi, Mitchell2022-ry}.</w:t>
      </w:r>
      <w:r w:rsidRPr="00C5118A">
        <w:rPr>
          <w:rFonts w:ascii="Trebuchet MS" w:eastAsiaTheme="minorEastAsia" w:hAnsi="Trebuchet MS"/>
        </w:rPr>
        <w:t xml:space="preserve"> </w:t>
      </w:r>
      <w:r w:rsidR="00566F44" w:rsidRPr="00C5118A">
        <w:rPr>
          <w:rFonts w:ascii="Trebuchet MS" w:eastAsiaTheme="minorEastAsia" w:hAnsi="Trebuchet MS"/>
        </w:rPr>
        <w:t>The mutational spectra from previous studies and the contribution of different mutational signatures to the mutational spectrum serve as truth sets to unbiasedly assess the accuracy of our somatic mutation detection algorithm and to experiment and evaluate the impact of different hard filters to sensitivity and specificity.</w:t>
      </w:r>
    </w:p>
    <w:p w14:paraId="5FA4E5AC" w14:textId="77777777" w:rsidR="00E84332" w:rsidRPr="00C5118A" w:rsidRDefault="00E84332" w:rsidP="005276CB">
      <w:pPr>
        <w:rPr>
          <w:rFonts w:ascii="Trebuchet MS" w:eastAsiaTheme="minorEastAsia" w:hAnsi="Trebuchet MS"/>
        </w:rPr>
      </w:pPr>
    </w:p>
    <w:p w14:paraId="72FD3E21" w14:textId="768A36BE" w:rsidR="00FA76FC" w:rsidRPr="00C5118A" w:rsidRDefault="00B1029D" w:rsidP="005276CB">
      <w:pPr>
        <w:rPr>
          <w:rFonts w:ascii="Trebuchet MS" w:eastAsiaTheme="minorEastAsia" w:hAnsi="Trebuchet MS"/>
        </w:rPr>
      </w:pPr>
      <w:r w:rsidRPr="00C5118A">
        <w:rPr>
          <w:rFonts w:ascii="Trebuchet MS" w:eastAsiaTheme="minorEastAsia" w:hAnsi="Trebuchet MS"/>
        </w:rPr>
        <w:t xml:space="preserve">The APOBEC family of </w:t>
      </w:r>
      <w:r w:rsidR="00522B38" w:rsidRPr="00C5118A">
        <w:rPr>
          <w:rFonts w:ascii="Trebuchet MS" w:eastAsiaTheme="minorEastAsia" w:hAnsi="Trebuchet MS"/>
        </w:rPr>
        <w:t xml:space="preserve">proteins </w:t>
      </w:r>
      <w:r w:rsidR="00006615" w:rsidRPr="00C5118A">
        <w:rPr>
          <w:rFonts w:ascii="Trebuchet MS" w:eastAsiaTheme="minorEastAsia" w:hAnsi="Trebuchet MS"/>
        </w:rPr>
        <w:t>functions as</w:t>
      </w:r>
      <w:r w:rsidR="000465CD" w:rsidRPr="00C5118A">
        <w:rPr>
          <w:rFonts w:ascii="Trebuchet MS" w:eastAsiaTheme="minorEastAsia" w:hAnsi="Trebuchet MS"/>
        </w:rPr>
        <w:t xml:space="preserve"> part of the innate immune </w:t>
      </w:r>
      <w:r w:rsidR="00713B1A" w:rsidRPr="00C5118A">
        <w:rPr>
          <w:rFonts w:ascii="Trebuchet MS" w:eastAsiaTheme="minorEastAsia" w:hAnsi="Trebuchet MS"/>
        </w:rPr>
        <w:t>response to viruses and retrotransposon</w:t>
      </w:r>
      <w:r w:rsidR="00006615" w:rsidRPr="00C5118A">
        <w:rPr>
          <w:rFonts w:ascii="Trebuchet MS" w:eastAsiaTheme="minorEastAsia" w:hAnsi="Trebuchet MS"/>
        </w:rPr>
        <w:t>s</w:t>
      </w:r>
      <w:r w:rsidR="00713B1A" w:rsidRPr="00C5118A">
        <w:rPr>
          <w:rFonts w:ascii="Trebuchet MS" w:eastAsiaTheme="minorEastAsia" w:hAnsi="Trebuchet MS"/>
        </w:rPr>
        <w:t>. APOBEC enzymes</w:t>
      </w:r>
      <w:r w:rsidR="002600CE" w:rsidRPr="00C5118A">
        <w:rPr>
          <w:rFonts w:ascii="Trebuchet MS" w:eastAsiaTheme="minorEastAsia" w:hAnsi="Trebuchet MS"/>
        </w:rPr>
        <w:t xml:space="preserve"> act upon single-stranded DNA and RNA </w:t>
      </w:r>
      <w:r w:rsidR="00CF2880" w:rsidRPr="00C5118A">
        <w:rPr>
          <w:rFonts w:ascii="Trebuchet MS" w:eastAsiaTheme="minorEastAsia" w:hAnsi="Trebuchet MS"/>
        </w:rPr>
        <w:t xml:space="preserve">as cytidine deaminase </w:t>
      </w:r>
      <w:r w:rsidR="002600CE" w:rsidRPr="00C5118A">
        <w:rPr>
          <w:rFonts w:ascii="Trebuchet MS" w:eastAsiaTheme="minorEastAsia" w:hAnsi="Trebuchet MS"/>
        </w:rPr>
        <w:t>and</w:t>
      </w:r>
      <w:r w:rsidR="00713B1A" w:rsidRPr="00C5118A">
        <w:rPr>
          <w:rFonts w:ascii="Trebuchet MS" w:eastAsiaTheme="minorEastAsia" w:hAnsi="Trebuchet MS"/>
        </w:rPr>
        <w:t xml:space="preserve"> </w:t>
      </w:r>
      <w:r w:rsidR="000465CD" w:rsidRPr="00C5118A">
        <w:rPr>
          <w:rFonts w:ascii="Trebuchet MS" w:eastAsiaTheme="minorEastAsia" w:hAnsi="Trebuchet MS"/>
        </w:rPr>
        <w:t>catalyse</w:t>
      </w:r>
      <w:r w:rsidR="00006615" w:rsidRPr="00C5118A">
        <w:rPr>
          <w:rFonts w:ascii="Trebuchet MS" w:eastAsiaTheme="minorEastAsia" w:hAnsi="Trebuchet MS"/>
        </w:rPr>
        <w:t xml:space="preserve"> </w:t>
      </w:r>
      <w:r w:rsidR="00BD3376" w:rsidRPr="00C5118A">
        <w:rPr>
          <w:rFonts w:ascii="Trebuchet MS" w:eastAsiaTheme="minorEastAsia" w:hAnsi="Trebuchet MS"/>
        </w:rPr>
        <w:t xml:space="preserve">cytosine to uracil deamination to deteriorate and </w:t>
      </w:r>
      <w:r w:rsidR="00D91610" w:rsidRPr="00C5118A">
        <w:rPr>
          <w:rFonts w:ascii="Trebuchet MS" w:eastAsiaTheme="minorEastAsia" w:hAnsi="Trebuchet MS"/>
        </w:rPr>
        <w:t xml:space="preserve">initiate the degradation of </w:t>
      </w:r>
      <w:r w:rsidR="00BD3376" w:rsidRPr="00C5118A">
        <w:rPr>
          <w:rFonts w:ascii="Trebuchet MS" w:eastAsiaTheme="minorEastAsia" w:hAnsi="Trebuchet MS"/>
        </w:rPr>
        <w:t xml:space="preserve">the viral </w:t>
      </w:r>
      <w:r w:rsidR="0090526C" w:rsidRPr="00C5118A">
        <w:rPr>
          <w:rFonts w:ascii="Trebuchet MS" w:eastAsiaTheme="minorEastAsia" w:hAnsi="Trebuchet MS"/>
        </w:rPr>
        <w:t xml:space="preserve">genome </w:t>
      </w:r>
      <w:r w:rsidR="008C255B" w:rsidRPr="00C5118A">
        <w:rPr>
          <w:rFonts w:ascii="Trebuchet MS" w:eastAsiaTheme="minorEastAsia" w:hAnsi="Trebuchet MS"/>
        </w:rPr>
        <w:t>\</w:t>
      </w:r>
      <w:proofErr w:type="gramStart"/>
      <w:r w:rsidR="008C255B" w:rsidRPr="00C5118A">
        <w:rPr>
          <w:rFonts w:ascii="Trebuchet MS" w:eastAsiaTheme="minorEastAsia" w:hAnsi="Trebuchet MS"/>
        </w:rPr>
        <w:t>cite{</w:t>
      </w:r>
      <w:proofErr w:type="gramEnd"/>
      <w:r w:rsidR="008C255B" w:rsidRPr="00C5118A">
        <w:rPr>
          <w:rFonts w:ascii="Trebuchet MS" w:eastAsiaTheme="minorEastAsia" w:hAnsi="Trebuchet MS"/>
        </w:rPr>
        <w:t>}</w:t>
      </w:r>
      <w:r w:rsidR="00BD3376" w:rsidRPr="00C5118A">
        <w:rPr>
          <w:rFonts w:ascii="Trebuchet MS" w:eastAsiaTheme="minorEastAsia" w:hAnsi="Trebuchet MS"/>
        </w:rPr>
        <w:t xml:space="preserve">. </w:t>
      </w:r>
      <w:r w:rsidR="00D91610" w:rsidRPr="00C5118A">
        <w:rPr>
          <w:rFonts w:ascii="Trebuchet MS" w:eastAsiaTheme="minorEastAsia" w:hAnsi="Trebuchet MS"/>
        </w:rPr>
        <w:t>APOBEC mutational process</w:t>
      </w:r>
      <w:r w:rsidR="00043C56" w:rsidRPr="00C5118A">
        <w:rPr>
          <w:rFonts w:ascii="Trebuchet MS" w:eastAsiaTheme="minorEastAsia" w:hAnsi="Trebuchet MS"/>
        </w:rPr>
        <w:t xml:space="preserve"> inadvertently introduces C&gt;T (SBS2) and C&gt;G/C&gt;A (SBS13) mutations to the genome at TCN trinucleotides (Figure \</w:t>
      </w:r>
      <w:proofErr w:type="gramStart"/>
      <w:r w:rsidR="00043C56" w:rsidRPr="00C5118A">
        <w:rPr>
          <w:rFonts w:ascii="Trebuchet MS" w:eastAsiaTheme="minorEastAsia" w:hAnsi="Trebuchet MS"/>
        </w:rPr>
        <w:t>ref{</w:t>
      </w:r>
      <w:proofErr w:type="gramEnd"/>
      <w:r w:rsidR="00043C56" w:rsidRPr="00C5118A">
        <w:rPr>
          <w:rFonts w:ascii="Trebuchet MS" w:eastAsiaTheme="minorEastAsia" w:hAnsi="Trebuchet MS"/>
        </w:rPr>
        <w:t>})</w:t>
      </w:r>
      <w:r w:rsidR="00AE48E2" w:rsidRPr="00C5118A">
        <w:rPr>
          <w:rFonts w:ascii="Trebuchet MS" w:eastAsiaTheme="minorEastAsia" w:hAnsi="Trebuchet MS"/>
        </w:rPr>
        <w:t xml:space="preserve"> \cite{}</w:t>
      </w:r>
      <w:r w:rsidR="00043C56" w:rsidRPr="00C5118A">
        <w:rPr>
          <w:rFonts w:ascii="Trebuchet MS" w:eastAsiaTheme="minorEastAsia" w:hAnsi="Trebuchet MS"/>
        </w:rPr>
        <w:t xml:space="preserve"> and</w:t>
      </w:r>
      <w:r w:rsidR="004F1CB9" w:rsidRPr="00C5118A">
        <w:rPr>
          <w:rFonts w:ascii="Trebuchet MS" w:eastAsiaTheme="minorEastAsia" w:hAnsi="Trebuchet MS"/>
        </w:rPr>
        <w:t xml:space="preserve"> </w:t>
      </w:r>
      <w:r w:rsidR="00A72773" w:rsidRPr="00C5118A">
        <w:rPr>
          <w:rFonts w:ascii="Trebuchet MS" w:eastAsiaTheme="minorEastAsia" w:hAnsi="Trebuchet MS"/>
        </w:rPr>
        <w:t xml:space="preserve">localised hypermutations </w:t>
      </w:r>
      <w:r w:rsidR="00043C56" w:rsidRPr="00C5118A">
        <w:rPr>
          <w:rFonts w:ascii="Trebuchet MS" w:eastAsiaTheme="minorEastAsia" w:hAnsi="Trebuchet MS"/>
        </w:rPr>
        <w:t>called kataegis</w:t>
      </w:r>
      <w:r w:rsidR="00A72773" w:rsidRPr="00C5118A">
        <w:rPr>
          <w:rFonts w:ascii="Trebuchet MS" w:eastAsiaTheme="minorEastAsia" w:hAnsi="Trebuchet MS"/>
        </w:rPr>
        <w:t xml:space="preserve">, which </w:t>
      </w:r>
      <w:r w:rsidR="00006615" w:rsidRPr="00C5118A">
        <w:rPr>
          <w:rFonts w:ascii="Trebuchet MS" w:eastAsiaTheme="minorEastAsia" w:hAnsi="Trebuchet MS"/>
        </w:rPr>
        <w:t>is</w:t>
      </w:r>
      <w:r w:rsidR="00A72773" w:rsidRPr="00C5118A">
        <w:rPr>
          <w:rFonts w:ascii="Trebuchet MS" w:eastAsiaTheme="minorEastAsia" w:hAnsi="Trebuchet MS"/>
        </w:rPr>
        <w:t xml:space="preserve"> often observed at </w:t>
      </w:r>
      <w:r w:rsidR="00A72773" w:rsidRPr="00C5118A">
        <w:rPr>
          <w:rFonts w:ascii="Trebuchet MS" w:hAnsi="Trebuchet MS"/>
        </w:rPr>
        <w:t>chromothriptic </w:t>
      </w:r>
      <w:r w:rsidR="00A72773" w:rsidRPr="00C5118A">
        <w:rPr>
          <w:rFonts w:ascii="Trebuchet MS" w:eastAsiaTheme="minorEastAsia" w:hAnsi="Trebuchet MS"/>
        </w:rPr>
        <w:t xml:space="preserve">breakpoints </w:t>
      </w:r>
      <w:r w:rsidR="00043C56" w:rsidRPr="00C5118A">
        <w:rPr>
          <w:rFonts w:ascii="Trebuchet MS" w:eastAsiaTheme="minorEastAsia" w:hAnsi="Trebuchet MS"/>
        </w:rPr>
        <w:t>\cite{}.</w:t>
      </w:r>
      <w:r w:rsidR="004F1CB9" w:rsidRPr="00C5118A">
        <w:rPr>
          <w:rFonts w:ascii="Trebuchet MS" w:eastAsiaTheme="minorEastAsia" w:hAnsi="Trebuchet MS"/>
        </w:rPr>
        <w:t xml:space="preserve"> </w:t>
      </w:r>
      <w:r w:rsidR="00E84332" w:rsidRPr="00C5118A">
        <w:rPr>
          <w:rFonts w:ascii="Trebuchet MS" w:eastAsiaTheme="minorEastAsia" w:hAnsi="Trebuchet MS"/>
        </w:rPr>
        <w:t xml:space="preserve">APOBEC mutagenesis </w:t>
      </w:r>
      <w:r w:rsidR="00FA76FC" w:rsidRPr="00C5118A">
        <w:rPr>
          <w:rFonts w:ascii="Trebuchet MS" w:eastAsiaTheme="minorEastAsia" w:hAnsi="Trebuchet MS"/>
        </w:rPr>
        <w:t>i</w:t>
      </w:r>
      <w:r w:rsidR="00D62796" w:rsidRPr="00C5118A">
        <w:rPr>
          <w:rFonts w:ascii="Trebuchet MS" w:eastAsiaTheme="minorEastAsia" w:hAnsi="Trebuchet MS"/>
        </w:rPr>
        <w:t>s</w:t>
      </w:r>
      <w:r w:rsidR="002842AE" w:rsidRPr="00C5118A">
        <w:rPr>
          <w:rFonts w:ascii="Trebuchet MS" w:eastAsiaTheme="minorEastAsia" w:hAnsi="Trebuchet MS"/>
        </w:rPr>
        <w:t xml:space="preserve">, in fact, </w:t>
      </w:r>
      <w:r w:rsidR="00D62796" w:rsidRPr="00C5118A">
        <w:rPr>
          <w:rFonts w:ascii="Trebuchet MS" w:eastAsiaTheme="minorEastAsia" w:hAnsi="Trebuchet MS"/>
        </w:rPr>
        <w:t>observed in</w:t>
      </w:r>
      <w:r w:rsidR="00E84332" w:rsidRPr="00C5118A">
        <w:rPr>
          <w:rFonts w:ascii="Trebuchet MS" w:eastAsiaTheme="minorEastAsia" w:hAnsi="Trebuchet MS"/>
        </w:rPr>
        <w:t xml:space="preserve"> more than 50</w:t>
      </w:r>
      <w:r w:rsidR="002132D2" w:rsidRPr="00C5118A">
        <w:rPr>
          <w:rFonts w:ascii="Trebuchet MS" w:eastAsiaTheme="minorEastAsia" w:hAnsi="Trebuchet MS"/>
        </w:rPr>
        <w:t>\</w:t>
      </w:r>
      <w:r w:rsidR="00E84332" w:rsidRPr="00C5118A">
        <w:rPr>
          <w:rFonts w:ascii="Trebuchet MS" w:eastAsiaTheme="minorEastAsia" w:hAnsi="Trebuchet MS"/>
        </w:rPr>
        <w:t>% of human cancer</w:t>
      </w:r>
      <w:r w:rsidR="00D62796" w:rsidRPr="00C5118A">
        <w:rPr>
          <w:rFonts w:ascii="Trebuchet MS" w:eastAsiaTheme="minorEastAsia" w:hAnsi="Trebuchet MS"/>
        </w:rPr>
        <w:t>s</w:t>
      </w:r>
      <w:r w:rsidR="00E84332" w:rsidRPr="00C5118A">
        <w:rPr>
          <w:rFonts w:ascii="Trebuchet MS" w:eastAsiaTheme="minorEastAsia" w:hAnsi="Trebuchet MS"/>
        </w:rPr>
        <w:t xml:space="preserve"> and</w:t>
      </w:r>
      <w:r w:rsidR="00CA40F8" w:rsidRPr="00C5118A">
        <w:rPr>
          <w:rFonts w:ascii="Trebuchet MS" w:eastAsiaTheme="minorEastAsia" w:hAnsi="Trebuchet MS"/>
        </w:rPr>
        <w:t xml:space="preserve"> accounts for</w:t>
      </w:r>
      <w:r w:rsidR="00FA76FC" w:rsidRPr="00C5118A">
        <w:rPr>
          <w:rFonts w:ascii="Trebuchet MS" w:eastAsiaTheme="minorEastAsia" w:hAnsi="Trebuchet MS"/>
        </w:rPr>
        <w:t xml:space="preserve"> </w:t>
      </w:r>
      <w:r w:rsidR="00B44829" w:rsidRPr="00C5118A">
        <w:rPr>
          <w:rFonts w:ascii="Trebuchet MS" w:eastAsiaTheme="minorEastAsia" w:hAnsi="Trebuchet MS"/>
        </w:rPr>
        <w:t xml:space="preserve">a </w:t>
      </w:r>
      <w:r w:rsidR="00CA40F8" w:rsidRPr="00C5118A">
        <w:rPr>
          <w:rFonts w:ascii="Trebuchet MS" w:eastAsiaTheme="minorEastAsia" w:hAnsi="Trebuchet MS"/>
        </w:rPr>
        <w:t>considerable proportion of the total mutational burden</w:t>
      </w:r>
      <w:r w:rsidR="00FA76FC" w:rsidRPr="00C5118A">
        <w:rPr>
          <w:rFonts w:ascii="Trebuchet MS" w:eastAsiaTheme="minorEastAsia" w:hAnsi="Trebuchet MS"/>
        </w:rPr>
        <w:t xml:space="preserve"> \</w:t>
      </w:r>
      <w:proofErr w:type="gramStart"/>
      <w:r w:rsidR="00FA76FC" w:rsidRPr="00C5118A">
        <w:rPr>
          <w:rFonts w:ascii="Trebuchet MS" w:eastAsiaTheme="minorEastAsia" w:hAnsi="Trebuchet MS"/>
        </w:rPr>
        <w:t>cite{</w:t>
      </w:r>
      <w:proofErr w:type="gramEnd"/>
      <w:r w:rsidR="00FA76FC" w:rsidRPr="00C5118A">
        <w:rPr>
          <w:rFonts w:ascii="Trebuchet MS" w:eastAsiaTheme="minorEastAsia" w:hAnsi="Trebuchet MS"/>
        </w:rPr>
        <w:t>}</w:t>
      </w:r>
      <w:r w:rsidR="00CA40F8" w:rsidRPr="00C5118A">
        <w:rPr>
          <w:rFonts w:ascii="Trebuchet MS" w:eastAsiaTheme="minorEastAsia" w:hAnsi="Trebuchet MS"/>
        </w:rPr>
        <w:t>.</w:t>
      </w:r>
    </w:p>
    <w:p w14:paraId="77775E9D" w14:textId="1ABAF1B6" w:rsidR="00522B38" w:rsidRPr="00C5118A" w:rsidRDefault="00522B38" w:rsidP="00C00019">
      <w:pPr>
        <w:rPr>
          <w:rFonts w:ascii="Trebuchet MS" w:eastAsiaTheme="minorEastAsia" w:hAnsi="Trebuchet MS"/>
        </w:rPr>
      </w:pPr>
    </w:p>
    <w:p w14:paraId="1FBB85FA" w14:textId="7C98BF96" w:rsidR="00F30F31" w:rsidRPr="00C5118A" w:rsidRDefault="00B44829" w:rsidP="00C00019">
      <w:pPr>
        <w:rPr>
          <w:rFonts w:ascii="Trebuchet MS" w:hAnsi="Trebuchet MS"/>
        </w:rPr>
      </w:pPr>
      <w:r w:rsidRPr="00C5118A">
        <w:rPr>
          <w:rFonts w:ascii="Trebuchet MS" w:hAnsi="Trebuchet MS"/>
          <w:color w:val="000000"/>
        </w:rPr>
        <w:lastRenderedPageBreak/>
        <w:t>During eukaryotic DNA replication, DNA polymerase $\delta$ (POLD) and $\</w:t>
      </w:r>
      <w:proofErr w:type="spellStart"/>
      <w:r w:rsidRPr="00C5118A">
        <w:rPr>
          <w:rFonts w:ascii="Trebuchet MS" w:hAnsi="Trebuchet MS"/>
          <w:color w:val="000000"/>
        </w:rPr>
        <w:t>varepsilon</w:t>
      </w:r>
      <w:proofErr w:type="spellEnd"/>
      <w:r w:rsidRPr="00C5118A">
        <w:rPr>
          <w:rFonts w:ascii="Trebuchet MS" w:hAnsi="Trebuchet MS"/>
          <w:color w:val="000000"/>
        </w:rPr>
        <w:t>$ (POLE) are critical for DNA synthesis on the lagging and leading strand, respectively \</w:t>
      </w:r>
      <w:proofErr w:type="gramStart"/>
      <w:r w:rsidRPr="00C5118A">
        <w:rPr>
          <w:rFonts w:ascii="Trebuchet MS" w:hAnsi="Trebuchet MS"/>
          <w:color w:val="000000"/>
        </w:rPr>
        <w:t>cite{</w:t>
      </w:r>
      <w:proofErr w:type="gramEnd"/>
      <w:r w:rsidRPr="00C5118A">
        <w:rPr>
          <w:rFonts w:ascii="Trebuchet MS" w:hAnsi="Trebuchet MS"/>
          <w:color w:val="000000"/>
        </w:rPr>
        <w:t>}.</w:t>
      </w:r>
      <w:r w:rsidRPr="00C5118A">
        <w:rPr>
          <w:rFonts w:ascii="Trebuchet MS" w:hAnsi="Trebuchet MS"/>
        </w:rPr>
        <w:t xml:space="preserve"> </w:t>
      </w:r>
      <w:r w:rsidR="00C530EB" w:rsidRPr="00C5118A">
        <w:rPr>
          <w:rFonts w:ascii="Trebuchet MS" w:eastAsiaTheme="minorEastAsia" w:hAnsi="Trebuchet MS"/>
        </w:rPr>
        <w:t>POLD and POLE enzymes both have intrinsic proofreading capabilities</w:t>
      </w:r>
      <w:r w:rsidR="00931F8C" w:rsidRPr="00C5118A">
        <w:rPr>
          <w:rFonts w:ascii="Trebuchet MS" w:eastAsiaTheme="minorEastAsia" w:hAnsi="Trebuchet MS"/>
        </w:rPr>
        <w:t xml:space="preserve"> and</w:t>
      </w:r>
      <w:r w:rsidR="00333BFF" w:rsidRPr="00C5118A">
        <w:rPr>
          <w:rFonts w:ascii="Trebuchet MS" w:eastAsiaTheme="minorEastAsia" w:hAnsi="Trebuchet MS"/>
        </w:rPr>
        <w:t xml:space="preserve"> their</w:t>
      </w:r>
      <w:r w:rsidR="00FC5669" w:rsidRPr="00C5118A">
        <w:rPr>
          <w:rFonts w:ascii="Trebuchet MS" w:eastAsiaTheme="minorEastAsia" w:hAnsi="Trebuchet MS"/>
        </w:rPr>
        <w:t xml:space="preserve"> 3’-5’ exonuclease activity removes</w:t>
      </w:r>
      <w:r w:rsidR="00931F8C" w:rsidRPr="00C5118A">
        <w:rPr>
          <w:rFonts w:ascii="Trebuchet MS" w:eastAsiaTheme="minorEastAsia" w:hAnsi="Trebuchet MS"/>
        </w:rPr>
        <w:t xml:space="preserve"> </w:t>
      </w:r>
      <w:r w:rsidRPr="00C5118A">
        <w:rPr>
          <w:rFonts w:ascii="Trebuchet MS" w:eastAsiaTheme="minorEastAsia" w:hAnsi="Trebuchet MS"/>
        </w:rPr>
        <w:t xml:space="preserve">the </w:t>
      </w:r>
      <w:r w:rsidR="00FC5669" w:rsidRPr="00C5118A">
        <w:rPr>
          <w:rFonts w:ascii="Trebuchet MS" w:eastAsiaTheme="minorEastAsia" w:hAnsi="Trebuchet MS"/>
        </w:rPr>
        <w:t>3</w:t>
      </w:r>
      <w:r w:rsidR="00931F8C" w:rsidRPr="00C5118A">
        <w:rPr>
          <w:rFonts w:ascii="Trebuchet MS" w:eastAsiaTheme="minorEastAsia" w:hAnsi="Trebuchet MS"/>
        </w:rPr>
        <w:t>’</w:t>
      </w:r>
      <w:r w:rsidR="00FC5669" w:rsidRPr="00C5118A">
        <w:rPr>
          <w:rFonts w:ascii="Trebuchet MS" w:eastAsiaTheme="minorEastAsia" w:hAnsi="Trebuchet MS"/>
        </w:rPr>
        <w:t>-terminal</w:t>
      </w:r>
      <w:r w:rsidR="00931F8C" w:rsidRPr="00C5118A">
        <w:rPr>
          <w:rFonts w:ascii="Trebuchet MS" w:eastAsiaTheme="minorEastAsia" w:hAnsi="Trebuchet MS"/>
        </w:rPr>
        <w:t xml:space="preserve"> misincorpo</w:t>
      </w:r>
      <w:r w:rsidR="00FC5669" w:rsidRPr="00C5118A">
        <w:rPr>
          <w:rFonts w:ascii="Trebuchet MS" w:eastAsiaTheme="minorEastAsia" w:hAnsi="Trebuchet MS"/>
        </w:rPr>
        <w:t>rated nucleotide</w:t>
      </w:r>
      <w:r w:rsidR="001513B0" w:rsidRPr="00C5118A">
        <w:rPr>
          <w:rFonts w:ascii="Trebuchet MS" w:eastAsiaTheme="minorEastAsia" w:hAnsi="Trebuchet MS"/>
        </w:rPr>
        <w:t>.</w:t>
      </w:r>
      <w:r w:rsidR="00577B64" w:rsidRPr="00C5118A">
        <w:rPr>
          <w:rFonts w:ascii="Trebuchet MS" w:eastAsiaTheme="minorEastAsia" w:hAnsi="Trebuchet MS"/>
        </w:rPr>
        <w:t xml:space="preserve"> R</w:t>
      </w:r>
      <w:r w:rsidR="001513B0" w:rsidRPr="00C5118A">
        <w:rPr>
          <w:rFonts w:ascii="Trebuchet MS" w:eastAsiaTheme="minorEastAsia" w:hAnsi="Trebuchet MS"/>
        </w:rPr>
        <w:t>eplicative DNA polymerases</w:t>
      </w:r>
      <w:r w:rsidR="00577B64" w:rsidRPr="00C5118A">
        <w:rPr>
          <w:rFonts w:ascii="Trebuchet MS" w:eastAsiaTheme="minorEastAsia" w:hAnsi="Trebuchet MS"/>
        </w:rPr>
        <w:t xml:space="preserve"> still introduce errors </w:t>
      </w:r>
      <w:r w:rsidR="001513B0" w:rsidRPr="00C5118A">
        <w:rPr>
          <w:rFonts w:ascii="Trebuchet MS" w:eastAsiaTheme="minorEastAsia" w:hAnsi="Trebuchet MS"/>
        </w:rPr>
        <w:t>every $10^4 – 10^5$ nucleotid</w:t>
      </w:r>
      <w:r w:rsidR="00577B64" w:rsidRPr="00C5118A">
        <w:rPr>
          <w:rFonts w:ascii="Trebuchet MS" w:eastAsiaTheme="minorEastAsia" w:hAnsi="Trebuchet MS"/>
        </w:rPr>
        <w:t xml:space="preserve">es, but </w:t>
      </w:r>
      <w:r w:rsidR="005760A7" w:rsidRPr="00C5118A">
        <w:rPr>
          <w:rFonts w:ascii="Trebuchet MS" w:eastAsiaTheme="minorEastAsia" w:hAnsi="Trebuchet MS"/>
        </w:rPr>
        <w:t xml:space="preserve">the </w:t>
      </w:r>
      <w:r w:rsidR="00577B64" w:rsidRPr="00C5118A">
        <w:rPr>
          <w:rFonts w:ascii="Trebuchet MS" w:eastAsiaTheme="minorEastAsia" w:hAnsi="Trebuchet MS"/>
        </w:rPr>
        <w:t xml:space="preserve">mismatch repair (MMR) machinery corrects these errors. </w:t>
      </w:r>
      <w:r w:rsidR="005760A7" w:rsidRPr="00C5118A">
        <w:rPr>
          <w:rFonts w:ascii="Trebuchet MS" w:eastAsiaTheme="minorEastAsia" w:hAnsi="Trebuchet MS"/>
        </w:rPr>
        <w:t xml:space="preserve">Individuals with inherited germline mutations or acquired somatic mutations that inactivate the POLE exonuclease activity have elevated somatic mutation rate and predisposes them to </w:t>
      </w:r>
      <w:r w:rsidR="005760A7" w:rsidRPr="00C5118A">
        <w:rPr>
          <w:rFonts w:ascii="Trebuchet MS" w:hAnsi="Trebuchet MS"/>
        </w:rPr>
        <w:t>polymerase proofreading-associated polyposis, endometrial and colorectal cancers \</w:t>
      </w:r>
      <w:proofErr w:type="gramStart"/>
      <w:r w:rsidR="005760A7" w:rsidRPr="00C5118A">
        <w:rPr>
          <w:rFonts w:ascii="Trebuchet MS" w:hAnsi="Trebuchet MS"/>
        </w:rPr>
        <w:t>cite{</w:t>
      </w:r>
      <w:proofErr w:type="gramEnd"/>
      <w:r w:rsidR="005760A7" w:rsidRPr="00C5118A">
        <w:rPr>
          <w:rFonts w:ascii="Trebuchet MS" w:hAnsi="Trebuchet MS"/>
        </w:rPr>
        <w:t xml:space="preserve">}. </w:t>
      </w:r>
      <w:r w:rsidR="00F30F31" w:rsidRPr="00C5118A">
        <w:rPr>
          <w:rFonts w:ascii="Trebuchet MS" w:eastAsiaTheme="minorEastAsia" w:hAnsi="Trebuchet MS"/>
        </w:rPr>
        <w:t xml:space="preserve">C&gt;A mutations at TCN trinucleotides (SBS10a), C&gt;A/C&gt;T mutations at TCN trinucleotides (SBS10b) T&gt;G mutations at NTT </w:t>
      </w:r>
      <w:r w:rsidR="00045109" w:rsidRPr="00C5118A">
        <w:rPr>
          <w:rFonts w:ascii="Trebuchet MS" w:eastAsiaTheme="minorEastAsia" w:hAnsi="Trebuchet MS"/>
        </w:rPr>
        <w:t>trinucleotides</w:t>
      </w:r>
      <w:r w:rsidR="005760A7" w:rsidRPr="00C5118A">
        <w:rPr>
          <w:rFonts w:ascii="Trebuchet MS" w:eastAsiaTheme="minorEastAsia" w:hAnsi="Trebuchet MS"/>
        </w:rPr>
        <w:t xml:space="preserve"> (SBS28)</w:t>
      </w:r>
      <w:r w:rsidR="00045109" w:rsidRPr="00C5118A">
        <w:rPr>
          <w:rFonts w:ascii="Trebuchet MS" w:eastAsiaTheme="minorEastAsia" w:hAnsi="Trebuchet MS"/>
        </w:rPr>
        <w:t xml:space="preserve"> (Figure \</w:t>
      </w:r>
      <w:proofErr w:type="gramStart"/>
      <w:r w:rsidR="00045109" w:rsidRPr="00C5118A">
        <w:rPr>
          <w:rFonts w:ascii="Trebuchet MS" w:eastAsiaTheme="minorEastAsia" w:hAnsi="Trebuchet MS"/>
        </w:rPr>
        <w:t>ref{</w:t>
      </w:r>
      <w:proofErr w:type="gramEnd"/>
      <w:r w:rsidR="00045109" w:rsidRPr="00C5118A">
        <w:rPr>
          <w:rFonts w:ascii="Trebuchet MS" w:eastAsiaTheme="minorEastAsia" w:hAnsi="Trebuchet MS"/>
        </w:rPr>
        <w:t>})</w:t>
      </w:r>
      <w:r w:rsidR="005760A7" w:rsidRPr="00C5118A">
        <w:rPr>
          <w:rFonts w:ascii="Trebuchet MS" w:eastAsiaTheme="minorEastAsia" w:hAnsi="Trebuchet MS"/>
        </w:rPr>
        <w:t xml:space="preserve"> characterise POLE mutagenesis \cite{}. </w:t>
      </w:r>
    </w:p>
    <w:p w14:paraId="083D7DCC" w14:textId="77777777" w:rsidR="00F30F31" w:rsidRPr="00C5118A" w:rsidRDefault="00F30F31" w:rsidP="00C00019">
      <w:pPr>
        <w:rPr>
          <w:rFonts w:ascii="Trebuchet MS" w:eastAsiaTheme="minorEastAsia" w:hAnsi="Trebuchet MS"/>
        </w:rPr>
      </w:pPr>
    </w:p>
    <w:p w14:paraId="4C4A7E20" w14:textId="31262BC2" w:rsidR="00522B38" w:rsidRPr="00C5118A" w:rsidRDefault="00173CC0" w:rsidP="00C00019">
      <w:pPr>
        <w:rPr>
          <w:rFonts w:ascii="Trebuchet MS" w:hAnsi="Trebuchet MS"/>
        </w:rPr>
      </w:pPr>
      <w:r w:rsidRPr="00C5118A">
        <w:rPr>
          <w:rFonts w:ascii="Trebuchet MS" w:eastAsiaTheme="minorEastAsia" w:hAnsi="Trebuchet MS"/>
        </w:rPr>
        <w:t xml:space="preserve">Clock-like mutational processes are mutational processes that introduce mutations at a constant rate throughout life and </w:t>
      </w:r>
      <w:r w:rsidR="007676DB" w:rsidRPr="00C5118A">
        <w:rPr>
          <w:rFonts w:ascii="Trebuchet MS" w:eastAsiaTheme="minorEastAsia" w:hAnsi="Trebuchet MS"/>
        </w:rPr>
        <w:t xml:space="preserve">hence, </w:t>
      </w:r>
      <w:r w:rsidR="007178A0" w:rsidRPr="00C5118A">
        <w:rPr>
          <w:rFonts w:ascii="Trebuchet MS" w:eastAsiaTheme="minorEastAsia" w:hAnsi="Trebuchet MS"/>
        </w:rPr>
        <w:t xml:space="preserve">the </w:t>
      </w:r>
      <w:r w:rsidR="007676DB" w:rsidRPr="00C5118A">
        <w:rPr>
          <w:rFonts w:ascii="Trebuchet MS" w:eastAsiaTheme="minorEastAsia" w:hAnsi="Trebuchet MS"/>
        </w:rPr>
        <w:t>number of</w:t>
      </w:r>
      <w:r w:rsidRPr="00C5118A">
        <w:rPr>
          <w:rFonts w:ascii="Trebuchet MS" w:eastAsiaTheme="minorEastAsia" w:hAnsi="Trebuchet MS"/>
        </w:rPr>
        <w:t xml:space="preserve"> mutations attributable to clo</w:t>
      </w:r>
      <w:r w:rsidR="007676DB" w:rsidRPr="00C5118A">
        <w:rPr>
          <w:rFonts w:ascii="Trebuchet MS" w:eastAsiaTheme="minorEastAsia" w:hAnsi="Trebuchet MS"/>
        </w:rPr>
        <w:t xml:space="preserve">ck-like mutational processes is proportional to the age of the individual.  </w:t>
      </w:r>
      <w:r w:rsidR="00B36F90" w:rsidRPr="00C5118A">
        <w:rPr>
          <w:rFonts w:ascii="Trebuchet MS" w:eastAsiaTheme="minorEastAsia" w:hAnsi="Trebuchet MS"/>
        </w:rPr>
        <w:t>Clock-like mutational process is sample and species dependent, but C&gt;T (SBS1) mutations at NCG trinucleotide (Figure \</w:t>
      </w:r>
      <w:proofErr w:type="gramStart"/>
      <w:r w:rsidR="00B36F90" w:rsidRPr="00C5118A">
        <w:rPr>
          <w:rFonts w:ascii="Trebuchet MS" w:eastAsiaTheme="minorEastAsia" w:hAnsi="Trebuchet MS"/>
        </w:rPr>
        <w:t>ref{</w:t>
      </w:r>
      <w:proofErr w:type="gramEnd"/>
      <w:r w:rsidR="00B36F90" w:rsidRPr="00C5118A">
        <w:rPr>
          <w:rFonts w:ascii="Trebuchet MS" w:eastAsiaTheme="minorEastAsia" w:hAnsi="Trebuchet MS"/>
        </w:rPr>
        <w:t>} ) and</w:t>
      </w:r>
      <w:r w:rsidR="000750F8" w:rsidRPr="00C5118A">
        <w:rPr>
          <w:rFonts w:ascii="Trebuchet MS" w:eastAsiaTheme="minorEastAsia" w:hAnsi="Trebuchet MS"/>
        </w:rPr>
        <w:t xml:space="preserve"> cell division independent background mutational process (SBS5) </w:t>
      </w:r>
      <w:r w:rsidR="00B36F90" w:rsidRPr="00C5118A">
        <w:rPr>
          <w:rFonts w:ascii="Trebuchet MS" w:eastAsiaTheme="minorEastAsia" w:hAnsi="Trebuchet MS"/>
        </w:rPr>
        <w:t xml:space="preserve">(Figure \ref{}) </w:t>
      </w:r>
      <w:r w:rsidR="000750F8" w:rsidRPr="00C5118A">
        <w:rPr>
          <w:rFonts w:ascii="Trebuchet MS" w:eastAsiaTheme="minorEastAsia" w:hAnsi="Trebuchet MS"/>
        </w:rPr>
        <w:t xml:space="preserve">\cite{} </w:t>
      </w:r>
      <w:r w:rsidR="00B36F90" w:rsidRPr="00C5118A">
        <w:rPr>
          <w:rFonts w:ascii="Trebuchet MS" w:eastAsiaTheme="minorEastAsia" w:hAnsi="Trebuchet MS"/>
        </w:rPr>
        <w:t xml:space="preserve">are determined to </w:t>
      </w:r>
      <w:r w:rsidR="000750F8" w:rsidRPr="00C5118A">
        <w:rPr>
          <w:rFonts w:ascii="Trebuchet MS" w:eastAsiaTheme="minorEastAsia" w:hAnsi="Trebuchet MS"/>
        </w:rPr>
        <w:t xml:space="preserve">be </w:t>
      </w:r>
      <w:r w:rsidR="00B36F90" w:rsidRPr="00C5118A">
        <w:rPr>
          <w:rFonts w:ascii="Trebuchet MS" w:eastAsiaTheme="minorEastAsia" w:hAnsi="Trebuchet MS"/>
        </w:rPr>
        <w:t>clock-like mutational processes in normal human samples</w:t>
      </w:r>
      <w:r w:rsidR="000750F8" w:rsidRPr="00C5118A">
        <w:rPr>
          <w:rFonts w:ascii="Trebuchet MS" w:eastAsiaTheme="minorEastAsia" w:hAnsi="Trebuchet MS"/>
        </w:rPr>
        <w:t xml:space="preserve">. </w:t>
      </w:r>
      <w:r w:rsidR="007000F6" w:rsidRPr="00C5118A">
        <w:rPr>
          <w:rFonts w:ascii="Trebuchet MS" w:hAnsi="Trebuchet MS"/>
          <w:color w:val="000000"/>
        </w:rPr>
        <w:t xml:space="preserve">Somatic mutation rate in normal granulocytes has been determined to be </w:t>
      </w:r>
      <w:r w:rsidR="00F30DA0" w:rsidRPr="00C5118A">
        <w:rPr>
          <w:rFonts w:ascii="Trebuchet MS" w:hAnsi="Trebuchet MS"/>
          <w:color w:val="000000"/>
        </w:rPr>
        <w:t xml:space="preserve">approximately </w:t>
      </w:r>
      <w:r w:rsidR="007000F6" w:rsidRPr="00C5118A">
        <w:rPr>
          <w:rFonts w:ascii="Trebuchet MS" w:hAnsi="Trebuchet MS"/>
          <w:color w:val="000000"/>
        </w:rPr>
        <w:t>16.8 substitutions per cell per year</w:t>
      </w:r>
      <w:r w:rsidR="00F30DA0" w:rsidRPr="00C5118A">
        <w:rPr>
          <w:rFonts w:ascii="Trebuchet MS" w:hAnsi="Trebuchet MS"/>
          <w:color w:val="000000"/>
        </w:rPr>
        <w:t xml:space="preserve"> and 0.71 indel per cell per year</w:t>
      </w:r>
      <w:r w:rsidR="00F30DA0" w:rsidRPr="00C5118A">
        <w:rPr>
          <w:rFonts w:ascii="Trebuchet MS" w:hAnsi="Trebuchet MS"/>
        </w:rPr>
        <w:t xml:space="preserve"> </w:t>
      </w:r>
      <w:r w:rsidR="007000F6" w:rsidRPr="00C5118A">
        <w:rPr>
          <w:rFonts w:ascii="Trebuchet MS" w:hAnsi="Trebuchet MS"/>
          <w:color w:val="000000"/>
        </w:rPr>
        <w:t>\</w:t>
      </w:r>
      <w:proofErr w:type="gramStart"/>
      <w:r w:rsidR="007000F6" w:rsidRPr="00C5118A">
        <w:rPr>
          <w:rFonts w:ascii="Trebuchet MS" w:hAnsi="Trebuchet MS"/>
          <w:color w:val="000000"/>
        </w:rPr>
        <w:t>cite{</w:t>
      </w:r>
      <w:proofErr w:type="gramEnd"/>
      <w:r w:rsidR="007000F6" w:rsidRPr="00C5118A">
        <w:rPr>
          <w:rFonts w:ascii="Trebuchet MS" w:hAnsi="Trebuchet MS"/>
          <w:color w:val="000000"/>
        </w:rPr>
        <w:t>}.</w:t>
      </w:r>
      <w:r w:rsidR="002323CF" w:rsidRPr="00C5118A">
        <w:rPr>
          <w:rFonts w:ascii="Trebuchet MS" w:hAnsi="Trebuchet MS"/>
        </w:rPr>
        <w:t xml:space="preserve"> </w:t>
      </w:r>
      <w:r w:rsidR="00D97E35" w:rsidRPr="00C5118A">
        <w:rPr>
          <w:rFonts w:ascii="Trebuchet MS" w:eastAsiaTheme="minorEastAsia" w:hAnsi="Trebuchet MS"/>
        </w:rPr>
        <w:t xml:space="preserve">C&gt;T mutations at CpG dinucleotide result from spontaneous deamination of 5-methylcytosine to thymine and the unrepaired </w:t>
      </w:r>
      <w:proofErr w:type="gramStart"/>
      <w:r w:rsidR="00D97E35" w:rsidRPr="00C5118A">
        <w:rPr>
          <w:rFonts w:ascii="Trebuchet MS" w:eastAsiaTheme="minorEastAsia" w:hAnsi="Trebuchet MS"/>
        </w:rPr>
        <w:t>T:G</w:t>
      </w:r>
      <w:proofErr w:type="gramEnd"/>
      <w:r w:rsidR="00D97E35" w:rsidRPr="00C5118A">
        <w:rPr>
          <w:rFonts w:ascii="Trebuchet MS" w:eastAsiaTheme="minorEastAsia" w:hAnsi="Trebuchet MS"/>
        </w:rPr>
        <w:t xml:space="preserve"> mismatch manifests as somatic mutations. </w:t>
      </w:r>
      <w:r w:rsidR="00DD4283" w:rsidRPr="00C5118A">
        <w:rPr>
          <w:rFonts w:ascii="Trebuchet MS" w:eastAsiaTheme="minorEastAsia" w:hAnsi="Trebuchet MS"/>
        </w:rPr>
        <w:t>The</w:t>
      </w:r>
      <w:r w:rsidR="0020040C" w:rsidRPr="00C5118A">
        <w:rPr>
          <w:rFonts w:ascii="Trebuchet MS" w:eastAsiaTheme="minorEastAsia" w:hAnsi="Trebuchet MS"/>
        </w:rPr>
        <w:t xml:space="preserve"> exact</w:t>
      </w:r>
      <w:r w:rsidR="00DD4283" w:rsidRPr="00C5118A">
        <w:rPr>
          <w:rFonts w:ascii="Trebuchet MS" w:eastAsiaTheme="minorEastAsia" w:hAnsi="Trebuchet MS"/>
        </w:rPr>
        <w:t xml:space="preserve"> aetiology of </w:t>
      </w:r>
      <w:r w:rsidR="0020040C" w:rsidRPr="00C5118A">
        <w:rPr>
          <w:rFonts w:ascii="Trebuchet MS" w:eastAsiaTheme="minorEastAsia" w:hAnsi="Trebuchet MS"/>
        </w:rPr>
        <w:t xml:space="preserve">SBS5 is unknown, </w:t>
      </w:r>
      <w:r w:rsidR="004977BB" w:rsidRPr="00C5118A">
        <w:rPr>
          <w:rFonts w:ascii="Trebuchet MS" w:eastAsiaTheme="minorEastAsia" w:hAnsi="Trebuchet MS"/>
        </w:rPr>
        <w:t>but somatic</w:t>
      </w:r>
      <w:r w:rsidR="0020040C" w:rsidRPr="00C5118A">
        <w:rPr>
          <w:rFonts w:ascii="Trebuchet MS" w:eastAsiaTheme="minorEastAsia" w:hAnsi="Trebuchet MS"/>
        </w:rPr>
        <w:t xml:space="preserve"> mutagenesis study in post-mitotic tissues such as neurons and smooth muscle suggests that SBS5 might be a cell</w:t>
      </w:r>
      <w:r w:rsidR="00147A77" w:rsidRPr="00C5118A">
        <w:rPr>
          <w:rFonts w:ascii="Trebuchet MS" w:eastAsiaTheme="minorEastAsia" w:hAnsi="Trebuchet MS"/>
        </w:rPr>
        <w:t>-</w:t>
      </w:r>
      <w:r w:rsidR="0020040C" w:rsidRPr="00C5118A">
        <w:rPr>
          <w:rFonts w:ascii="Trebuchet MS" w:eastAsiaTheme="minorEastAsia" w:hAnsi="Trebuchet MS"/>
        </w:rPr>
        <w:t>division independent process and that SBS5</w:t>
      </w:r>
      <w:r w:rsidR="0020040C" w:rsidRPr="00C5118A">
        <w:rPr>
          <w:rFonts w:ascii="Trebuchet MS" w:eastAsiaTheme="minorEastAsia" w:hAnsi="Trebuchet MS"/>
          <w:b/>
          <w:bCs/>
          <w:i/>
          <w:iCs/>
        </w:rPr>
        <w:t xml:space="preserve"> might be a </w:t>
      </w:r>
      <w:r w:rsidR="004977BB" w:rsidRPr="00C5118A">
        <w:rPr>
          <w:rFonts w:ascii="Trebuchet MS" w:eastAsiaTheme="minorEastAsia" w:hAnsi="Trebuchet MS"/>
          <w:b/>
          <w:bCs/>
          <w:i/>
          <w:iCs/>
        </w:rPr>
        <w:t>manifestation of multiple different mutational processes \</w:t>
      </w:r>
      <w:proofErr w:type="gramStart"/>
      <w:r w:rsidR="0020040C" w:rsidRPr="00C5118A">
        <w:rPr>
          <w:rFonts w:ascii="Trebuchet MS" w:eastAsiaTheme="minorEastAsia" w:hAnsi="Trebuchet MS"/>
          <w:b/>
          <w:bCs/>
          <w:i/>
          <w:iCs/>
        </w:rPr>
        <w:t>cite{</w:t>
      </w:r>
      <w:proofErr w:type="gramEnd"/>
      <w:r w:rsidR="0020040C" w:rsidRPr="00C5118A">
        <w:rPr>
          <w:rFonts w:ascii="Trebuchet MS" w:eastAsiaTheme="minorEastAsia" w:hAnsi="Trebuchet MS"/>
          <w:b/>
          <w:bCs/>
          <w:i/>
          <w:iCs/>
        </w:rPr>
        <w:t>}</w:t>
      </w:r>
      <w:r w:rsidR="004977BB" w:rsidRPr="00C5118A">
        <w:rPr>
          <w:rFonts w:ascii="Trebuchet MS" w:eastAsiaTheme="minorEastAsia" w:hAnsi="Trebuchet MS"/>
          <w:b/>
          <w:bCs/>
          <w:i/>
          <w:iCs/>
        </w:rPr>
        <w:t>.</w:t>
      </w:r>
    </w:p>
    <w:p w14:paraId="16E24B99" w14:textId="1B8C5163" w:rsidR="000E3DF6" w:rsidRPr="00C5118A" w:rsidRDefault="000E3DF6" w:rsidP="00C00019">
      <w:pPr>
        <w:rPr>
          <w:rFonts w:ascii="Trebuchet MS" w:eastAsiaTheme="minorEastAsia" w:hAnsi="Trebuchet MS"/>
        </w:rPr>
      </w:pPr>
    </w:p>
    <w:p w14:paraId="221D5F5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Results}</w:t>
      </w:r>
    </w:p>
    <w:p w14:paraId="5BDF88FC" w14:textId="77777777" w:rsidR="0091059F" w:rsidRPr="00C5118A" w:rsidRDefault="0091059F" w:rsidP="0091059F">
      <w:pPr>
        <w:rPr>
          <w:rFonts w:ascii="Trebuchet MS" w:eastAsiaTheme="minorEastAsia" w:hAnsi="Trebuchet MS"/>
        </w:rPr>
      </w:pPr>
    </w:p>
    <w:p w14:paraId="29971978"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errors and sequencing errors}</w:t>
      </w:r>
    </w:p>
    <w:p w14:paraId="7FE000A2" w14:textId="77777777" w:rsidR="00710AA5" w:rsidRPr="00C5118A" w:rsidRDefault="00710AA5" w:rsidP="0091059F">
      <w:pPr>
        <w:rPr>
          <w:rFonts w:ascii="Trebuchet MS" w:eastAsiaTheme="minorEastAsia" w:hAnsi="Trebuchet MS"/>
        </w:rPr>
      </w:pPr>
    </w:p>
    <w:p w14:paraId="61F5B94D" w14:textId="05BFDCAE" w:rsidR="0091059F" w:rsidRPr="00C5118A" w:rsidRDefault="0091059F" w:rsidP="0091059F">
      <w:pPr>
        <w:rPr>
          <w:rFonts w:ascii="Trebuchet MS" w:eastAsiaTheme="minorEastAsia" w:hAnsi="Trebuchet MS"/>
        </w:rPr>
      </w:pPr>
      <w:r w:rsidRPr="00C5118A">
        <w:rPr>
          <w:rFonts w:ascii="Trebuchet MS" w:eastAsiaTheme="minorEastAsia" w:hAnsi="Trebuchet MS"/>
        </w:rPr>
        <w:t>CCS reads have been successfully used for construction of highly contiguous and complete de novo assemblies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and germline mutation detection \cite{}. In these applications, the accuracy of individual base quality scores is not </w:t>
      </w:r>
      <w:r w:rsidR="00EF6C2F" w:rsidRPr="00C5118A">
        <w:rPr>
          <w:rFonts w:ascii="Trebuchet MS" w:eastAsiaTheme="minorEastAsia" w:hAnsi="Trebuchet MS"/>
        </w:rPr>
        <w:t>so</w:t>
      </w:r>
      <w:r w:rsidRPr="00C5118A">
        <w:rPr>
          <w:rFonts w:ascii="Trebuchet MS" w:eastAsiaTheme="minorEastAsia" w:hAnsi="Trebuchet MS"/>
        </w:rPr>
        <w:t xml:space="preserve"> important as ~50\% or ~100\% of the bases will support the consensus base, heterozygous or homozygous mutation. </w:t>
      </w:r>
      <w:r w:rsidRPr="00C5118A">
        <w:rPr>
          <w:rFonts w:ascii="Trebuchet MS" w:eastAsiaTheme="minorEastAsia" w:hAnsi="Trebuchet MS"/>
          <w:b/>
          <w:bCs/>
        </w:rPr>
        <w:t>The accuracy of individual base quality scores, however, matters for ultra-rare somatic mutation detection as the base accuracy must be higher than the human genome somatic mutation rate (1 mutation per 6 weeks per genome), equivalent to approximately ~Q90 to distinguish sequencing errors from single molecule somatic mutations.</w:t>
      </w:r>
      <w:r w:rsidRPr="00C5118A">
        <w:rPr>
          <w:rFonts w:ascii="Trebuchet MS" w:eastAsiaTheme="minorEastAsia" w:hAnsi="Trebuchet MS"/>
        </w:rPr>
        <w:t xml:space="preserve"> In addition, library, sequencing and systematic errors and genomic DNA contamination are common sources of false positive somatic mutations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w:t>
      </w:r>
    </w:p>
    <w:p w14:paraId="2AD2A4E0" w14:textId="77777777" w:rsidR="0091059F" w:rsidRPr="00C5118A" w:rsidRDefault="0091059F" w:rsidP="0091059F">
      <w:pPr>
        <w:rPr>
          <w:rFonts w:ascii="Trebuchet MS" w:eastAsiaTheme="minorEastAsia" w:hAnsi="Trebuchet MS"/>
        </w:rPr>
      </w:pPr>
    </w:p>
    <w:p w14:paraId="6E0C006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I generated 30-fold CCS sequence coverage from BC-1, HT-115 and blood granulocytes from an 82-year-old female individual (PD48473b) and 70-fold CCS sequence coverage from cord blood granulocyte (PD47269d) with an average read length between 16 and 20kb (Table \ref{</w:t>
      </w:r>
      <w:proofErr w:type="spellStart"/>
      <w:r w:rsidRPr="00C5118A">
        <w:rPr>
          <w:rFonts w:ascii="Trebuchet MS" w:eastAsiaTheme="minorEastAsia" w:hAnsi="Trebuchet MS"/>
        </w:rPr>
        <w:t>tab:CCS-sequence-statistics</w:t>
      </w:r>
      <w:proofErr w:type="spellEnd"/>
      <w:r w:rsidRPr="00C5118A">
        <w:rPr>
          <w:rFonts w:ascii="Trebuchet MS" w:eastAsiaTheme="minorEastAsia" w:hAnsi="Trebuchet MS"/>
        </w:rPr>
        <w:t xml:space="preserve">}) </w:t>
      </w:r>
      <w:r w:rsidRPr="00C5118A">
        <w:rPr>
          <w:rFonts w:ascii="Trebuchet MS" w:eastAsiaTheme="minorEastAsia" w:hAnsi="Trebuchet MS"/>
          <w:b/>
          <w:bCs/>
          <w:i/>
          <w:iCs/>
        </w:rPr>
        <w:t xml:space="preserve">to achieve </w:t>
      </w:r>
      <w:r w:rsidRPr="00C5118A">
        <w:rPr>
          <w:rFonts w:ascii="Trebuchet MS" w:eastAsiaTheme="minorEastAsia" w:hAnsi="Trebuchet MS"/>
          <w:b/>
          <w:bCs/>
          <w:i/>
          <w:iCs/>
        </w:rPr>
        <w:lastRenderedPageBreak/>
        <w:t xml:space="preserve">these objectives: 1), assess the potential for single molecule somatic mutation detection with CCS reads, 2) identify and address the sources of errors where possible and 3) empirically estimate the PacBio CCS error rate to define the limit of detection threshold, 4) develop a method for somatic mutation using CCS reads and 5) assess the sensitivity and specificity of </w:t>
      </w:r>
      <w:proofErr w:type="spellStart"/>
      <w:r w:rsidRPr="00C5118A">
        <w:rPr>
          <w:rFonts w:ascii="Trebuchet MS" w:eastAsiaTheme="minorEastAsia" w:hAnsi="Trebuchet MS"/>
          <w:b/>
          <w:bCs/>
          <w:i/>
          <w:iCs/>
        </w:rPr>
        <w:t>himut</w:t>
      </w:r>
      <w:proofErr w:type="spellEnd"/>
      <w:r w:rsidRPr="00C5118A">
        <w:rPr>
          <w:rFonts w:ascii="Trebuchet MS" w:eastAsiaTheme="minorEastAsia" w:hAnsi="Trebuchet MS"/>
          <w:b/>
          <w:bCs/>
          <w:i/>
          <w:iCs/>
        </w:rPr>
        <w:t>.</w:t>
      </w:r>
    </w:p>
    <w:p w14:paraId="5D78B095" w14:textId="77777777" w:rsidR="0091059F" w:rsidRPr="00C5118A" w:rsidRDefault="0091059F" w:rsidP="0091059F">
      <w:pPr>
        <w:rPr>
          <w:rFonts w:ascii="Trebuchet MS" w:eastAsiaTheme="minorEastAsia" w:hAnsi="Trebuchet MS"/>
        </w:rPr>
      </w:pPr>
    </w:p>
    <w:p w14:paraId="7A1B287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{table}[h]</w:t>
      </w:r>
    </w:p>
    <w:p w14:paraId="7EEBF2A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caption{</w:t>
      </w:r>
      <w:proofErr w:type="gramEnd"/>
      <w:r w:rsidRPr="00C5118A">
        <w:rPr>
          <w:rFonts w:ascii="Trebuchet MS" w:eastAsiaTheme="minorEastAsia" w:hAnsi="Trebuchet MS"/>
        </w:rPr>
        <w:t>Experimental Data}</w:t>
      </w:r>
    </w:p>
    <w:p w14:paraId="3CC91570"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\label{</w:t>
      </w:r>
      <w:proofErr w:type="spellStart"/>
      <w:proofErr w:type="gramStart"/>
      <w:r w:rsidRPr="00C5118A">
        <w:rPr>
          <w:rFonts w:ascii="Trebuchet MS" w:eastAsiaTheme="minorEastAsia" w:hAnsi="Trebuchet MS"/>
        </w:rPr>
        <w:t>tab:CCS</w:t>
      </w:r>
      <w:proofErr w:type="gramEnd"/>
      <w:r w:rsidRPr="00C5118A">
        <w:rPr>
          <w:rFonts w:ascii="Trebuchet MS" w:eastAsiaTheme="minorEastAsia" w:hAnsi="Trebuchet MS"/>
        </w:rPr>
        <w:t>-sequence-statistics</w:t>
      </w:r>
      <w:proofErr w:type="spellEnd"/>
      <w:r w:rsidRPr="00C5118A">
        <w:rPr>
          <w:rFonts w:ascii="Trebuchet MS" w:eastAsiaTheme="minorEastAsia" w:hAnsi="Trebuchet MS"/>
        </w:rPr>
        <w:t>}</w:t>
      </w:r>
    </w:p>
    <w:p w14:paraId="09482DA7"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\begin{</w:t>
      </w:r>
      <w:proofErr w:type="spellStart"/>
      <w:r w:rsidRPr="00C5118A">
        <w:rPr>
          <w:rFonts w:ascii="Trebuchet MS" w:eastAsiaTheme="minorEastAsia" w:hAnsi="Trebuchet MS"/>
        </w:rPr>
        <w:t>adjustbox</w:t>
      </w:r>
      <w:proofErr w:type="spellEnd"/>
      <w:proofErr w:type="gramStart"/>
      <w:r w:rsidRPr="00C5118A">
        <w:rPr>
          <w:rFonts w:ascii="Trebuchet MS" w:eastAsiaTheme="minorEastAsia" w:hAnsi="Trebuchet MS"/>
        </w:rPr>
        <w:t>}{</w:t>
      </w:r>
      <w:proofErr w:type="gramEnd"/>
      <w:r w:rsidRPr="00C5118A">
        <w:rPr>
          <w:rFonts w:ascii="Trebuchet MS" w:eastAsiaTheme="minorEastAsia" w:hAnsi="Trebuchet MS"/>
        </w:rPr>
        <w:t>max width=1.1\</w:t>
      </w:r>
      <w:proofErr w:type="spellStart"/>
      <w:r w:rsidRPr="00C5118A">
        <w:rPr>
          <w:rFonts w:ascii="Trebuchet MS" w:eastAsiaTheme="minorEastAsia" w:hAnsi="Trebuchet MS"/>
        </w:rPr>
        <w:t>textwidth,center</w:t>
      </w:r>
      <w:proofErr w:type="spellEnd"/>
      <w:r w:rsidRPr="00C5118A">
        <w:rPr>
          <w:rFonts w:ascii="Trebuchet MS" w:eastAsiaTheme="minorEastAsia" w:hAnsi="Trebuchet MS"/>
        </w:rPr>
        <w:t>}</w:t>
      </w:r>
    </w:p>
    <w:p w14:paraId="310C097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{tabular}{</w:t>
      </w:r>
      <w:proofErr w:type="spellStart"/>
      <w:r w:rsidRPr="00C5118A">
        <w:rPr>
          <w:rFonts w:ascii="Trebuchet MS" w:eastAsiaTheme="minorEastAsia" w:hAnsi="Trebuchet MS"/>
        </w:rPr>
        <w:t>l|cccc</w:t>
      </w:r>
      <w:proofErr w:type="spellEnd"/>
      <w:r w:rsidRPr="00C5118A">
        <w:rPr>
          <w:rFonts w:ascii="Trebuchet MS" w:eastAsiaTheme="minorEastAsia" w:hAnsi="Trebuchet MS"/>
        </w:rPr>
        <w:t>}</w:t>
      </w:r>
    </w:p>
    <w:p w14:paraId="35D474CC"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                                     &amp; BC-1 &amp; HT-115 &amp; PD47269d &amp; PD4873b \\ \</w:t>
      </w:r>
      <w:proofErr w:type="spellStart"/>
      <w:r w:rsidRPr="00C5118A">
        <w:rPr>
          <w:rFonts w:ascii="Trebuchet MS" w:eastAsiaTheme="minorEastAsia" w:hAnsi="Trebuchet MS"/>
        </w:rPr>
        <w:t>hline</w:t>
      </w:r>
      <w:proofErr w:type="spellEnd"/>
    </w:p>
    <w:p w14:paraId="32918A0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Genomic DNA source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Cell line} &amp; \multicolumn{2}{c}{Blood granulocyte} \\  \</w:t>
      </w:r>
      <w:proofErr w:type="spellStart"/>
      <w:r w:rsidRPr="00C5118A">
        <w:rPr>
          <w:rFonts w:ascii="Trebuchet MS" w:eastAsiaTheme="minorEastAsia" w:hAnsi="Trebuchet MS"/>
        </w:rPr>
        <w:t>hline</w:t>
      </w:r>
      <w:proofErr w:type="spellEnd"/>
    </w:p>
    <w:p w14:paraId="1469192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Age (</w:t>
      </w:r>
      <w:proofErr w:type="gramStart"/>
      <w:r w:rsidRPr="00C5118A">
        <w:rPr>
          <w:rFonts w:ascii="Trebuchet MS" w:eastAsiaTheme="minorEastAsia" w:hAnsi="Trebuchet MS"/>
        </w:rPr>
        <w:t xml:space="preserve">years)   </w:t>
      </w:r>
      <w:proofErr w:type="gramEnd"/>
      <w:r w:rsidRPr="00C5118A">
        <w:rPr>
          <w:rFonts w:ascii="Trebuchet MS" w:eastAsiaTheme="minorEastAsia" w:hAnsi="Trebuchet MS"/>
        </w:rPr>
        <w:t xml:space="preserve">              </w:t>
      </w:r>
      <w:r w:rsidRPr="00C5118A">
        <w:rPr>
          <w:rFonts w:ascii="Trebuchet MS" w:eastAsiaTheme="minorEastAsia" w:hAnsi="Trebuchet MS"/>
        </w:rPr>
        <w:tab/>
      </w:r>
      <w:r w:rsidRPr="00C5118A">
        <w:rPr>
          <w:rFonts w:ascii="Trebuchet MS" w:eastAsiaTheme="minorEastAsia" w:hAnsi="Trebuchet MS"/>
        </w:rPr>
        <w:tab/>
        <w:t xml:space="preserve"> &amp; - &amp; - &amp; 0 &amp; 82  \\ \</w:t>
      </w:r>
      <w:proofErr w:type="spellStart"/>
      <w:r w:rsidRPr="00C5118A">
        <w:rPr>
          <w:rFonts w:ascii="Trebuchet MS" w:eastAsiaTheme="minorEastAsia" w:hAnsi="Trebuchet MS"/>
        </w:rPr>
        <w:t>hline</w:t>
      </w:r>
      <w:proofErr w:type="spellEnd"/>
    </w:p>
    <w:p w14:paraId="1EF74C4F"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 count                       </w:t>
      </w:r>
      <w:proofErr w:type="gramStart"/>
      <w:r w:rsidRPr="00C5118A">
        <w:rPr>
          <w:rFonts w:ascii="Trebuchet MS" w:eastAsiaTheme="minorEastAsia" w:hAnsi="Trebuchet MS"/>
        </w:rPr>
        <w:t>&amp;  5,962,252</w:t>
      </w:r>
      <w:proofErr w:type="gramEnd"/>
      <w:r w:rsidRPr="00C5118A">
        <w:rPr>
          <w:rFonts w:ascii="Trebuchet MS" w:eastAsiaTheme="minorEastAsia" w:hAnsi="Trebuchet MS"/>
        </w:rPr>
        <w:t xml:space="preserve"> &amp;  5,933,281 &amp; 12,156,251 &amp; 4,949,180 \\ \</w:t>
      </w:r>
      <w:proofErr w:type="spellStart"/>
      <w:r w:rsidRPr="00C5118A">
        <w:rPr>
          <w:rFonts w:ascii="Trebuchet MS" w:eastAsiaTheme="minorEastAsia" w:hAnsi="Trebuchet MS"/>
        </w:rPr>
        <w:t>hline</w:t>
      </w:r>
      <w:proofErr w:type="spellEnd"/>
    </w:p>
    <w:p w14:paraId="10372355"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Mean length $\pm$ std (</w:t>
      </w:r>
      <w:proofErr w:type="gramStart"/>
      <w:r w:rsidRPr="00C5118A">
        <w:rPr>
          <w:rFonts w:ascii="Trebuchet MS" w:eastAsiaTheme="minorEastAsia" w:hAnsi="Trebuchet MS"/>
        </w:rPr>
        <w:t>bp)  &amp;</w:t>
      </w:r>
      <w:proofErr w:type="gramEnd"/>
      <w:r w:rsidRPr="00C5118A">
        <w:rPr>
          <w:rFonts w:ascii="Trebuchet MS" w:eastAsiaTheme="minorEastAsia" w:hAnsi="Trebuchet MS"/>
        </w:rPr>
        <w:t xml:space="preserve"> 18,571 $\pm$     &amp; 17,038 $\pm$   &amp;  16,523 $\pm$ 3,752 &amp; 18,263 $\pm$ 1,753 \\ \</w:t>
      </w:r>
      <w:proofErr w:type="spellStart"/>
      <w:r w:rsidRPr="00C5118A">
        <w:rPr>
          <w:rFonts w:ascii="Trebuchet MS" w:eastAsiaTheme="minorEastAsia" w:hAnsi="Trebuchet MS"/>
        </w:rPr>
        <w:t>hline</w:t>
      </w:r>
      <w:proofErr w:type="spellEnd"/>
    </w:p>
    <w:p w14:paraId="2E5322EF"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Q93 bases (\%)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51.4 &amp; 55.5 &amp; 57.6 &amp; 51.7 \\ \</w:t>
      </w:r>
      <w:proofErr w:type="spellStart"/>
      <w:r w:rsidRPr="00C5118A">
        <w:rPr>
          <w:rFonts w:ascii="Trebuchet MS" w:eastAsiaTheme="minorEastAsia" w:hAnsi="Trebuchet MS"/>
        </w:rPr>
        <w:t>hline</w:t>
      </w:r>
      <w:proofErr w:type="spellEnd"/>
    </w:p>
    <w:p w14:paraId="4670075C"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Sequence coverage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36.9 &amp; 33.7 &amp; 67.0 &amp; 30.1 \\ \</w:t>
      </w:r>
      <w:proofErr w:type="spellStart"/>
      <w:r w:rsidRPr="00C5118A">
        <w:rPr>
          <w:rFonts w:ascii="Trebuchet MS" w:eastAsiaTheme="minorEastAsia" w:hAnsi="Trebuchet MS"/>
        </w:rPr>
        <w:t>hline</w:t>
      </w:r>
      <w:proofErr w:type="spellEnd"/>
    </w:p>
    <w:p w14:paraId="52D73AC6"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Mutational process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APOBEC &amp; POLE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Clock-like} \\ \</w:t>
      </w:r>
      <w:proofErr w:type="spellStart"/>
      <w:r w:rsidRPr="00C5118A">
        <w:rPr>
          <w:rFonts w:ascii="Trebuchet MS" w:eastAsiaTheme="minorEastAsia" w:hAnsi="Trebuchet MS"/>
        </w:rPr>
        <w:t>hline</w:t>
      </w:r>
      <w:proofErr w:type="spellEnd"/>
    </w:p>
    <w:p w14:paraId="25F69C6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Mutational signature </w:t>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r>
      <w:r w:rsidRPr="00C5118A">
        <w:rPr>
          <w:rFonts w:ascii="Trebuchet MS" w:eastAsiaTheme="minorEastAsia" w:hAnsi="Trebuchet MS"/>
        </w:rPr>
        <w:tab/>
        <w:t xml:space="preserve"> &amp; SBS2   &amp; SBS10a, SBS10b and SBS28 &amp; \multicolumn{2}{</w:t>
      </w:r>
      <w:proofErr w:type="gramStart"/>
      <w:r w:rsidRPr="00C5118A">
        <w:rPr>
          <w:rFonts w:ascii="Trebuchet MS" w:eastAsiaTheme="minorEastAsia" w:hAnsi="Trebuchet MS"/>
        </w:rPr>
        <w:t>c}{</w:t>
      </w:r>
      <w:proofErr w:type="gramEnd"/>
      <w:r w:rsidRPr="00C5118A">
        <w:rPr>
          <w:rFonts w:ascii="Trebuchet MS" w:eastAsiaTheme="minorEastAsia" w:hAnsi="Trebuchet MS"/>
        </w:rPr>
        <w:t>SBS1 and SBS5} \\ \</w:t>
      </w:r>
      <w:proofErr w:type="spellStart"/>
      <w:r w:rsidRPr="00C5118A">
        <w:rPr>
          <w:rFonts w:ascii="Trebuchet MS" w:eastAsiaTheme="minorEastAsia" w:hAnsi="Trebuchet MS"/>
        </w:rPr>
        <w:t>hline</w:t>
      </w:r>
      <w:proofErr w:type="spellEnd"/>
    </w:p>
    <w:p w14:paraId="00DB6A3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Mutation burden per cell </w:t>
      </w:r>
      <w:r w:rsidRPr="00C5118A">
        <w:rPr>
          <w:rFonts w:ascii="Trebuchet MS" w:eastAsiaTheme="minorEastAsia" w:hAnsi="Trebuchet MS"/>
        </w:rPr>
        <w:tab/>
      </w:r>
      <w:r w:rsidRPr="00C5118A">
        <w:rPr>
          <w:rFonts w:ascii="Trebuchet MS" w:eastAsiaTheme="minorEastAsia" w:hAnsi="Trebuchet MS"/>
        </w:rPr>
        <w:tab/>
        <w:t xml:space="preserve">     &amp; $\sim$2,000 - 22,000 &amp; $\sim$8,000 - 11,000 &amp; $\sim$40 - 50 &amp; $\sim$1400 - 1500 \\ \</w:t>
      </w:r>
      <w:proofErr w:type="spellStart"/>
      <w:r w:rsidRPr="00C5118A">
        <w:rPr>
          <w:rFonts w:ascii="Trebuchet MS" w:eastAsiaTheme="minorEastAsia" w:hAnsi="Trebuchet MS"/>
        </w:rPr>
        <w:t>hline</w:t>
      </w:r>
      <w:proofErr w:type="spellEnd"/>
      <w:r w:rsidRPr="00C5118A">
        <w:rPr>
          <w:rFonts w:ascii="Trebuchet MS" w:eastAsiaTheme="minorEastAsia" w:hAnsi="Trebuchet MS"/>
        </w:rPr>
        <w:t xml:space="preserve"> </w:t>
      </w:r>
    </w:p>
    <w:p w14:paraId="7C86CCC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{tabular}</w:t>
      </w:r>
    </w:p>
    <w:p w14:paraId="5A6A8705"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adjustbox</w:t>
      </w:r>
      <w:proofErr w:type="spellEnd"/>
      <w:r w:rsidRPr="00C5118A">
        <w:rPr>
          <w:rFonts w:ascii="Trebuchet MS" w:eastAsiaTheme="minorEastAsia" w:hAnsi="Trebuchet MS"/>
        </w:rPr>
        <w:t xml:space="preserve">} </w:t>
      </w:r>
    </w:p>
    <w:p w14:paraId="43CAADF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%x\</w:t>
      </w:r>
      <w:proofErr w:type="spellStart"/>
      <w:proofErr w:type="gramStart"/>
      <w:r w:rsidRPr="00C5118A">
        <w:rPr>
          <w:rFonts w:ascii="Trebuchet MS" w:eastAsiaTheme="minorEastAsia" w:hAnsi="Trebuchet MS"/>
        </w:rPr>
        <w:t>floatfoot</w:t>
      </w:r>
      <w:proofErr w:type="spellEnd"/>
      <w:r w:rsidRPr="00C5118A">
        <w:rPr>
          <w:rFonts w:ascii="Trebuchet MS" w:eastAsiaTheme="minorEastAsia" w:hAnsi="Trebuchet MS"/>
        </w:rPr>
        <w:t>{</w:t>
      </w:r>
      <w:proofErr w:type="gramEnd"/>
      <w:r w:rsidRPr="00C5118A">
        <w:rPr>
          <w:rFonts w:ascii="Trebuchet MS" w:eastAsiaTheme="minorEastAsia" w:hAnsi="Trebuchet MS"/>
        </w:rPr>
        <w:t>\small{CCS sequencing statistics, mutational process, associated mutational signatures and mutation burden are described for the negative control (PD47269d) and positive control (BC-1, HT-115 and PD48473b) samples.}}</w:t>
      </w:r>
    </w:p>
    <w:p w14:paraId="518002AA"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{table}</w:t>
      </w:r>
    </w:p>
    <w:p w14:paraId="36F32739" w14:textId="77777777" w:rsidR="0091059F" w:rsidRPr="00C5118A" w:rsidRDefault="0091059F" w:rsidP="0091059F">
      <w:pPr>
        <w:rPr>
          <w:rFonts w:ascii="Trebuchet MS" w:eastAsiaTheme="minorEastAsia" w:hAnsi="Trebuchet MS"/>
        </w:rPr>
      </w:pPr>
    </w:p>
    <w:p w14:paraId="29348C07" w14:textId="0AD26B92"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first, examined the library preparation and circular consensus sequence construction process to minimise the number of library and sequencing errors. </w:t>
      </w:r>
    </w:p>
    <w:p w14:paraId="5FECA59C" w14:textId="77777777" w:rsidR="0091059F" w:rsidRPr="00C5118A" w:rsidRDefault="0091059F" w:rsidP="0091059F">
      <w:pPr>
        <w:rPr>
          <w:rFonts w:ascii="Trebuchet MS" w:eastAsiaTheme="minorEastAsia" w:hAnsi="Trebuchet MS"/>
        </w:rPr>
      </w:pPr>
    </w:p>
    <w:p w14:paraId="493CB558" w14:textId="77777777" w:rsidR="0091059F" w:rsidRPr="00C5118A" w:rsidRDefault="0091059F" w:rsidP="0091059F">
      <w:pPr>
        <w:rPr>
          <w:rFonts w:ascii="Trebuchet MS" w:eastAsiaTheme="minorEastAsia" w:hAnsi="Trebuchet MS"/>
        </w:rPr>
      </w:pPr>
    </w:p>
    <w:p w14:paraId="3905C244"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To identify potential errors introduced during CCS library preparation and sequencing, CCS and subreads from the same ZMW were analysed together and sequence quality control was performed (Methods). I observed that X\% of ZMWs have fragmented and/or concatenated subreads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I hypothesise that CCS reads with read length deviating from mean CCS read length are the result of failed adapter sequence detection and exclude these CCS reads from somatic mutation detection (Method). In addition, I also noticed higher than expected adenine and thymine proportion at the end of CCS reads resulting from incomplete adapter sequence trimming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w:t>
      </w:r>
    </w:p>
    <w:p w14:paraId="2CFA879E" w14:textId="77777777" w:rsidR="0091059F" w:rsidRPr="00C5118A" w:rsidRDefault="0091059F" w:rsidP="0091059F">
      <w:pPr>
        <w:rPr>
          <w:rFonts w:ascii="Trebuchet MS" w:eastAsiaTheme="minorEastAsia" w:hAnsi="Trebuchet MS"/>
        </w:rPr>
      </w:pPr>
    </w:p>
    <w:p w14:paraId="223174D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lastRenderedPageBreak/>
        <w:t>CCS reads have an average read accuracy above Q20 and individual BQ score ranging from Q1 to nominal Q93, corresponding to $0.5\times10</w:t>
      </w:r>
      <w:proofErr w:type="gramStart"/>
      <w:r w:rsidRPr="00C5118A">
        <w:rPr>
          <w:rFonts w:ascii="Trebuchet MS" w:eastAsiaTheme="minorEastAsia" w:hAnsi="Trebuchet MS"/>
        </w:rPr>
        <w:t>^{</w:t>
      </w:r>
      <w:proofErr w:type="gramEnd"/>
      <w:r w:rsidRPr="00C5118A">
        <w:rPr>
          <w:rFonts w:ascii="Trebuchet MS" w:eastAsiaTheme="minorEastAsia" w:hAnsi="Trebuchet MS"/>
        </w:rPr>
        <w:t>-9}$ error rate (Figure \ref{}). To our knowledge, the accuracy of CCS BQ has not been examined to date. CCS read accuracy and BQ score is dependent on the number of subreads per CCS read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and concordance between the subread bases and the CCS base. I confirm that the number of substitutions and indels is negatively correlated with CCS read accuracy and the number of subreads per CCS read as reported in a previous publication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The accuracy of the BQ score, hence, is expected to increase with the number of supporting subread bases. I, however, observed that the accuracy of the CCS BQ score decreases with increase in the number of subreads and that increase in the number of subreads per CCS read results in not diminishing returns, but negative returns to CCS base accuracy (discussed later in Chapter 3). To determine whether CCS bases have sufficient base accuracy for single molecule somatic mutation detection, I first measured the empirical BQ score using cord blood CCS reads and (Methods) and ascertained that CCS bases have sufficient accuracy for rare somatic mutation detection where a sample has a high mutation burden or a high somatic mutation rate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Using positive control samples, I subsequently identified additional CCS read characteristics that influence somatic mutation detection sensitivity and specificity. </w:t>
      </w:r>
    </w:p>
    <w:p w14:paraId="5E5D3287" w14:textId="77777777" w:rsidR="0091059F" w:rsidRPr="00C5118A" w:rsidRDefault="0091059F" w:rsidP="0091059F">
      <w:pPr>
        <w:rPr>
          <w:rFonts w:ascii="Trebuchet MS" w:eastAsiaTheme="minorEastAsia" w:hAnsi="Trebuchet MS"/>
        </w:rPr>
      </w:pPr>
    </w:p>
    <w:p w14:paraId="386842A1" w14:textId="77777777" w:rsidR="0091059F" w:rsidRPr="00C5118A" w:rsidRDefault="0091059F" w:rsidP="0091059F">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mutation and somatic mutation detection}</w:t>
      </w:r>
    </w:p>
    <w:p w14:paraId="12D0EF4F" w14:textId="77777777" w:rsidR="0091059F" w:rsidRPr="00C5118A" w:rsidRDefault="0091059F" w:rsidP="0091059F">
      <w:pPr>
        <w:rPr>
          <w:rFonts w:ascii="Trebuchet MS" w:eastAsiaTheme="minorEastAsia" w:hAnsi="Trebuchet MS"/>
        </w:rPr>
      </w:pPr>
    </w:p>
    <w:p w14:paraId="747974D9"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mutagenesis is a continuous process throughout life. Bulk normal tissue, hence, has germline mutations that are inherited from parents, mosaic mutations that occurred during embryonic development and newly acquired somatic mutations from ongoing mutational processes. In addition, cells with driver mutations can outcompete neighbouring cells. Clonal somatic mutations, hence, can often be confused with heterozygous germline mutations in normal tissues.  Paired tumour-normal sequencing, therefore, is often performed to distinguish germline mutations from somatic mutations in a tumour sample. Here, I present how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distinguishes errors and germline mutations from somatic mutations in bulk normal tissue, leveraging CCS read length and base accuracy. </w:t>
      </w:r>
    </w:p>
    <w:p w14:paraId="7284B026" w14:textId="77777777" w:rsidR="0091059F" w:rsidRPr="00C5118A" w:rsidRDefault="0091059F" w:rsidP="0091059F">
      <w:pPr>
        <w:rPr>
          <w:rFonts w:ascii="Trebuchet MS" w:eastAsiaTheme="minorEastAsia" w:hAnsi="Trebuchet MS"/>
        </w:rPr>
      </w:pPr>
    </w:p>
    <w:p w14:paraId="6766A3C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I, first, compared germline SNPs detected from both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to assess whether our algorithm can accurately call germline mutations (Table \</w:t>
      </w:r>
      <w:proofErr w:type="gramStart"/>
      <w:r w:rsidRPr="00C5118A">
        <w:rPr>
          <w:rFonts w:ascii="Trebuchet MS" w:eastAsiaTheme="minorEastAsia" w:hAnsi="Trebuchet MS"/>
        </w:rPr>
        <w:t>ref{</w:t>
      </w:r>
      <w:proofErr w:type="gramEnd"/>
      <w:r w:rsidRPr="00C5118A">
        <w:rPr>
          <w:rFonts w:ascii="Trebuchet MS" w:eastAsiaTheme="minorEastAsia" w:hAnsi="Trebuchet MS"/>
        </w:rPr>
        <w:t>}). The number of SNPs and transition to transversion (</w:t>
      </w:r>
      <w:proofErr w:type="spellStart"/>
      <w:r w:rsidRPr="00C5118A">
        <w:rPr>
          <w:rFonts w:ascii="Trebuchet MS" w:eastAsiaTheme="minorEastAsia" w:hAnsi="Trebuchet MS"/>
        </w:rPr>
        <w:t>TiTv</w:t>
      </w:r>
      <w:proofErr w:type="spellEnd"/>
      <w:r w:rsidRPr="00C5118A">
        <w:rPr>
          <w:rFonts w:ascii="Trebuchet MS" w:eastAsiaTheme="minorEastAsia" w:hAnsi="Trebuchet MS"/>
        </w:rPr>
        <w:t xml:space="preserve">) ratio is within the expected range, demonstrating that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can also function as a standalone variant caller. I believe that algorithmic differences account for disparities in the number of SNPs called with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which is a deep learning based variant caller that uses read pileup images for germline mutation detection while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uses an analytical approach </w:t>
      </w:r>
      <w:proofErr w:type="gramStart"/>
      <w:r w:rsidRPr="00C5118A">
        <w:rPr>
          <w:rFonts w:ascii="Trebuchet MS" w:eastAsiaTheme="minorEastAsia" w:hAnsi="Trebuchet MS"/>
        </w:rPr>
        <w:t>similar to</w:t>
      </w:r>
      <w:proofErr w:type="gramEnd"/>
      <w:r w:rsidRPr="00C5118A">
        <w:rPr>
          <w:rFonts w:ascii="Trebuchet MS" w:eastAsiaTheme="minorEastAsia" w:hAnsi="Trebuchet MS"/>
        </w:rPr>
        <w:t xml:space="preserve"> GATK for germline mutation detection. </w:t>
      </w:r>
    </w:p>
    <w:p w14:paraId="67A6F55E" w14:textId="77777777" w:rsidR="0091059F" w:rsidRPr="00C5118A" w:rsidRDefault="0091059F" w:rsidP="0091059F">
      <w:pPr>
        <w:rPr>
          <w:rFonts w:ascii="Trebuchet MS" w:eastAsiaTheme="minorEastAsia" w:hAnsi="Trebuchet MS"/>
        </w:rPr>
      </w:pPr>
    </w:p>
    <w:p w14:paraId="0B2007B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To distinguish germline mutations from somatic mutations,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first collects SBS candidates from CCS reads meeting the read-level thresholds and classifies SBS as either germline mutation or as simultaneous occurrence of both germline and somatic mutation. </w:t>
      </w:r>
    </w:p>
    <w:p w14:paraId="66D3E465" w14:textId="77777777" w:rsidR="0091059F" w:rsidRPr="00C5118A" w:rsidRDefault="0091059F" w:rsidP="0091059F">
      <w:pPr>
        <w:rPr>
          <w:rFonts w:ascii="Trebuchet MS" w:eastAsiaTheme="minorEastAsia" w:hAnsi="Trebuchet MS"/>
        </w:rPr>
      </w:pPr>
    </w:p>
    <w:p w14:paraId="69EDE163"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lastRenderedPageBreak/>
        <w:t>detects and classifies germline mutations as heterozygous, heterozygous alternative, homozygous alternative, or homozygous reference allele (Method,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65EC85FA" w14:textId="77777777" w:rsidR="0091059F" w:rsidRPr="00C5118A" w:rsidRDefault="0091059F" w:rsidP="0091059F">
      <w:pPr>
        <w:rPr>
          <w:rFonts w:ascii="Trebuchet MS" w:eastAsiaTheme="minorEastAsia" w:hAnsi="Trebuchet MS"/>
        </w:rPr>
      </w:pPr>
    </w:p>
    <w:p w14:paraId="3DDCC10E"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Somatic mutation candidates are collected from CCS reads meeting the defined read-level thresholds and candidates are categorised according to their base-level conditions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58E70BE1" w14:textId="77777777" w:rsidR="0091059F" w:rsidRPr="00C5118A" w:rsidRDefault="0091059F" w:rsidP="0091059F">
      <w:pPr>
        <w:rPr>
          <w:rFonts w:ascii="Trebuchet MS" w:eastAsiaTheme="minorEastAsia" w:hAnsi="Trebuchet MS"/>
        </w:rPr>
      </w:pPr>
    </w:p>
    <w:p w14:paraId="32BF8FC1"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Somatic mutation detection is also restricted to homozygous reference allele sites as somatic reversions might be the result of DNA contamination. To calculate the mutation burden of the sample,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identifies the number of callable bases using the same conditions as somatic mutation detection and normalises the somatic mutation count based on the number of callable CCS bases and reference bases (Method). A VCF file with haplotype phased heterozygous SNPs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 VCF file with common SNPs and a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can also be optionally provided to call haplotype phased somatic mutations, to exclude false positive mutations resulting from DNA contamination and discard false positive mutations arising from systematic errors, respectively. </w:t>
      </w:r>
    </w:p>
    <w:p w14:paraId="79FAB0DB" w14:textId="77777777" w:rsidR="0091059F" w:rsidRPr="00C5118A" w:rsidRDefault="0091059F" w:rsidP="0091059F">
      <w:pPr>
        <w:rPr>
          <w:rFonts w:ascii="Trebuchet MS" w:eastAsiaTheme="minorEastAsia" w:hAnsi="Trebuchet MS"/>
        </w:rPr>
      </w:pPr>
    </w:p>
    <w:p w14:paraId="215FC848"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CCS read length and base accuracy can also be leveraged to phase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and construct contiguous haplotype blocks, which enables haplotype phasing of CCS reads and haplotyped phased somatic mutation detection (Method). Read-backed phasing with Illumina reads uses adjacent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to phase approximately $\sim$30\% of detected somatic mutations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In contrast, haplotype phased somatic mutation detection with CCS reads uses all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that CCS read spans and phases approximately $\sim$ 70\% of somatic mutations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In addition, haplotype phased somatic mutation detection has three advantages: 1) CCS reads derived from DNA contamination often do not possess the same haplotype as the sample. If CCS read do not share the consensus haplotype, CCS read is excluded from somatic mutation detection (Figure, 2\</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If two haplotypes are unevenly sampled,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can be misclassified as somatic mutations in low coverage samples. Restricting somatic mutation detection to haplotype phased regions limits somatic mutation detection to regions where both haplotypes have been adequately sampled.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3) CCS read with the same somatic mutations should share the haplotype and somatic mutation should not be present on both haplotypes (Figure \ref{}). Haplotype phased somatic mutation detection is especially helpful for samples with high heterozygosity.</w:t>
      </w:r>
    </w:p>
    <w:p w14:paraId="72933C68" w14:textId="77777777" w:rsidR="0091059F" w:rsidRPr="00C5118A" w:rsidRDefault="0091059F" w:rsidP="0091059F">
      <w:pPr>
        <w:rPr>
          <w:rFonts w:ascii="Trebuchet MS" w:eastAsiaTheme="minorEastAsia" w:hAnsi="Trebuchet MS"/>
        </w:rPr>
      </w:pPr>
    </w:p>
    <w:p w14:paraId="15816236" w14:textId="77777777" w:rsidR="0091059F" w:rsidRPr="00004258" w:rsidRDefault="0091059F" w:rsidP="0091059F">
      <w:pPr>
        <w:rPr>
          <w:rFonts w:ascii="Trebuchet MS" w:eastAsiaTheme="minorEastAsia" w:hAnsi="Trebuchet MS"/>
          <w:b/>
          <w:bCs/>
        </w:rPr>
      </w:pPr>
      <w:r w:rsidRPr="00004258">
        <w:rPr>
          <w:rFonts w:ascii="Trebuchet MS" w:eastAsiaTheme="minorEastAsia" w:hAnsi="Trebuchet MS"/>
          <w:b/>
          <w:bCs/>
        </w:rPr>
        <w:t>\</w:t>
      </w:r>
      <w:proofErr w:type="gramStart"/>
      <w:r w:rsidRPr="00004258">
        <w:rPr>
          <w:rFonts w:ascii="Trebuchet MS" w:eastAsiaTheme="minorEastAsia" w:hAnsi="Trebuchet MS"/>
          <w:b/>
          <w:bCs/>
        </w:rPr>
        <w:t>subsection{</w:t>
      </w:r>
      <w:proofErr w:type="gramEnd"/>
      <w:r w:rsidRPr="00004258">
        <w:rPr>
          <w:rFonts w:ascii="Trebuchet MS" w:eastAsiaTheme="minorEastAsia" w:hAnsi="Trebuchet MS"/>
          <w:b/>
          <w:bCs/>
        </w:rPr>
        <w:t>Somatic mutation detection sensitivity and specificity}</w:t>
      </w:r>
    </w:p>
    <w:p w14:paraId="1FA171FC" w14:textId="77777777" w:rsidR="0091059F" w:rsidRPr="00C5118A" w:rsidRDefault="0091059F" w:rsidP="0091059F">
      <w:pPr>
        <w:rPr>
          <w:rFonts w:ascii="Trebuchet MS" w:eastAsiaTheme="minorEastAsia" w:hAnsi="Trebuchet MS"/>
        </w:rPr>
      </w:pPr>
    </w:p>
    <w:p w14:paraId="0F9E8526" w14:textId="66EBD9F9" w:rsidR="0091059F" w:rsidRPr="00C5118A" w:rsidRDefault="00004258" w:rsidP="0091059F">
      <w:pPr>
        <w:rPr>
          <w:rFonts w:ascii="Trebuchet MS" w:eastAsiaTheme="minorEastAsia" w:hAnsi="Trebuchet MS"/>
        </w:rPr>
      </w:pPr>
      <w:r>
        <w:rPr>
          <w:rFonts w:ascii="Trebuchet MS" w:eastAsiaTheme="minorEastAsia" w:hAnsi="Trebuchet MS"/>
        </w:rPr>
        <w:t xml:space="preserve">I </w:t>
      </w:r>
      <w:r w:rsidR="0091059F" w:rsidRPr="00C5118A">
        <w:rPr>
          <w:rFonts w:ascii="Trebuchet MS" w:eastAsiaTheme="minorEastAsia" w:hAnsi="Trebuchet MS"/>
        </w:rPr>
        <w:t xml:space="preserve">called and benchmarked haplotype </w:t>
      </w:r>
      <w:r w:rsidR="00C040D1">
        <w:rPr>
          <w:rFonts w:ascii="Trebuchet MS" w:eastAsiaTheme="minorEastAsia" w:hAnsi="Trebuchet MS"/>
        </w:rPr>
        <w:t>unphased and phased</w:t>
      </w:r>
      <w:r w:rsidR="0091059F" w:rsidRPr="00C5118A">
        <w:rPr>
          <w:rFonts w:ascii="Trebuchet MS" w:eastAsiaTheme="minorEastAsia" w:hAnsi="Trebuchet MS"/>
        </w:rPr>
        <w:t xml:space="preserve"> somatic mutations from the three positive controls with different mutational burdens and distinct mutational processes. Our unique benchmarking approach leverages the fact that a single somatic mutational process is active in each sample and that somatic mutation candidates are derived from either errors or newly acquired somatic mutations. We cannot be certain whether individual somatic mutations are derived from a biological process or a non-biological process, but mutational spectrum produced from the aggregate somatic mutations should be consistent with the expected mutational signature, if there is sufficient signal-to-noise ratio for somatic mutation detection. In addition, our approach is not biased towards </w:t>
      </w:r>
      <w:r w:rsidR="0091059F" w:rsidRPr="00C5118A">
        <w:rPr>
          <w:rFonts w:ascii="Trebuchet MS" w:eastAsiaTheme="minorEastAsia" w:hAnsi="Trebuchet MS"/>
        </w:rPr>
        <w:lastRenderedPageBreak/>
        <w:t>Illumina callable regions of the genome unlike the Genome in a Bottle (GIAB) benchmarks \</w:t>
      </w:r>
      <w:proofErr w:type="gramStart"/>
      <w:r w:rsidR="0091059F" w:rsidRPr="00C5118A">
        <w:rPr>
          <w:rFonts w:ascii="Trebuchet MS" w:eastAsiaTheme="minorEastAsia" w:hAnsi="Trebuchet MS"/>
        </w:rPr>
        <w:t>cite{</w:t>
      </w:r>
      <w:proofErr w:type="gramEnd"/>
      <w:r w:rsidR="0091059F" w:rsidRPr="00C5118A">
        <w:rPr>
          <w:rFonts w:ascii="Trebuchet MS" w:eastAsiaTheme="minorEastAsia" w:hAnsi="Trebuchet MS"/>
        </w:rPr>
        <w:t xml:space="preserve">} as our somatic mutation detection method is agnostic to reference position. </w:t>
      </w:r>
    </w:p>
    <w:p w14:paraId="4F66C9E9" w14:textId="77777777" w:rsidR="0091059F" w:rsidRPr="00C5118A" w:rsidRDefault="0091059F" w:rsidP="0091059F">
      <w:pPr>
        <w:rPr>
          <w:rFonts w:ascii="Trebuchet MS" w:eastAsiaTheme="minorEastAsia" w:hAnsi="Trebuchet MS"/>
        </w:rPr>
      </w:pPr>
    </w:p>
    <w:p w14:paraId="355CD7F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We calculated mutation burden from BC-1, HT-115 and PD48473b sample to be X, X, X, respectively, consistent with previous estimates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In addition, high cosine similarity between the expected mutational signatures and mutational spectrum from our positive control samples demonstrate that PacBio CCS bases have sufficient base accuracy for rare somatic mutation detection where samples have a high mutation burden or high somatic mutation rate (Method). Moreover, we can determine the number of true positive mutations and false positive mutations from the called somatic mutations and the number of true negative mutations and false negative mutations from the filtered somatic mutations through mutational signature analysis. We can subsequently use these estimates to calculate the sensitivity, specificity, specificity, and F1-score for each of our sample (Method, Table). We also selected appropriate hard filter thresholds based on receiver operating characteristic (ROC) curve generated under a range of hard filter conditions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and determined hard filters with the greatest impact on sensitivity based on odds ratio calculated in the absence and presence of the hard filter in question. BQ and GQ score were crucial for somatic mutation detection while other filters had marginally positive impact on somatic mutation sensitivity. We would like to also highlight that somatic mutation detection sensitivity and specificity increased when grch38 was used as a reference genome, reflecting better representation of genetic polymorphisms with improvements in assembly quality (Table). We, unfortunately, could not compare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other methods as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is the first somatic SBS detection method with CCS reads and as somatic mutation detection below 0.1\% VAF has not been technically feasible with Illumina reads. </w:t>
      </w:r>
    </w:p>
    <w:p w14:paraId="45D532C2" w14:textId="77777777" w:rsidR="0091059F" w:rsidRPr="00C5118A" w:rsidRDefault="0091059F" w:rsidP="0091059F">
      <w:pPr>
        <w:rPr>
          <w:rFonts w:ascii="Trebuchet MS" w:eastAsiaTheme="minorEastAsia" w:hAnsi="Trebuchet MS"/>
        </w:rPr>
      </w:pPr>
    </w:p>
    <w:p w14:paraId="1F09202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subsection{</w:t>
      </w:r>
      <w:proofErr w:type="gramEnd"/>
      <w:r w:rsidRPr="00C5118A">
        <w:rPr>
          <w:rFonts w:ascii="Trebuchet MS" w:eastAsiaTheme="minorEastAsia" w:hAnsi="Trebuchet MS"/>
        </w:rPr>
        <w:t>CCS errors, error rate calculation and base quality score recalibration}</w:t>
      </w:r>
    </w:p>
    <w:p w14:paraId="3C228228" w14:textId="77777777" w:rsidR="0091059F" w:rsidRPr="00C5118A" w:rsidRDefault="0091059F" w:rsidP="0091059F">
      <w:pPr>
        <w:rPr>
          <w:rFonts w:ascii="Trebuchet MS" w:eastAsiaTheme="minorEastAsia" w:hAnsi="Trebuchet MS"/>
        </w:rPr>
      </w:pPr>
    </w:p>
    <w:p w14:paraId="12E80F27"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The mutation burden in cord blood sample is the lowest, with only 40-50 somatic mutations per cell \</w:t>
      </w:r>
      <w:proofErr w:type="gramStart"/>
      <w:r w:rsidRPr="00C5118A">
        <w:rPr>
          <w:rFonts w:ascii="Trebuchet MS" w:eastAsiaTheme="minorEastAsia" w:hAnsi="Trebuchet MS"/>
        </w:rPr>
        <w:t>cite{</w:t>
      </w:r>
      <w:proofErr w:type="gramEnd"/>
      <w:r w:rsidRPr="00C5118A">
        <w:rPr>
          <w:rFonts w:ascii="Trebuchet MS" w:eastAsiaTheme="minorEastAsia" w:hAnsi="Trebuchet MS"/>
        </w:rPr>
        <w:t>}. CCS bases, unfortunately, does not have sufficient signal-to-noise ratio to enable somatic mutation detection in cord blood sample with high confidence. Mutational spectrum from the cord blood sample, which we refer to as the CCS error profile, is dissimilar to the expected mutational signature as the number of false positive mutations exceeds the number of true positive mutations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CCS error profile occurs in multiple samples, suggesting that the error process is systematic in nature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Using the number of false positive mutations and the callable number of bases, we calculated the CCS error rate to range from Q60 to Q90 depending on the substitution and the trinucleotide sequence context (Method,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6B99FDBE" w14:textId="77777777" w:rsidR="0091059F" w:rsidRPr="00C5118A" w:rsidRDefault="0091059F" w:rsidP="0091059F">
      <w:pPr>
        <w:rPr>
          <w:rFonts w:ascii="Trebuchet MS" w:eastAsiaTheme="minorEastAsia" w:hAnsi="Trebuchet MS"/>
        </w:rPr>
      </w:pPr>
    </w:p>
    <w:p w14:paraId="0DA8532B"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t xml:space="preserve">Library, sequencing, and software error upstream of somatic mutation detection are potential sources of false positive mutations. We triangulated software error as the origin of the CCS error profile through somatic mutation detection using uncapped BQ scores,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and CCS reads with recalibrated BQ scores (Method, Figure \ref{}). </w:t>
      </w:r>
    </w:p>
    <w:p w14:paraId="0D8B56E4" w14:textId="77777777" w:rsidR="0091059F" w:rsidRPr="00C5118A" w:rsidRDefault="0091059F" w:rsidP="0091059F">
      <w:pPr>
        <w:rPr>
          <w:rFonts w:ascii="Trebuchet MS" w:eastAsiaTheme="minorEastAsia" w:hAnsi="Trebuchet MS"/>
        </w:rPr>
      </w:pPr>
    </w:p>
    <w:p w14:paraId="35911A22" w14:textId="77777777" w:rsidR="0091059F" w:rsidRPr="00C5118A" w:rsidRDefault="0091059F" w:rsidP="0091059F">
      <w:pPr>
        <w:rPr>
          <w:rFonts w:ascii="Trebuchet MS" w:eastAsiaTheme="minorEastAsia" w:hAnsi="Trebuchet MS"/>
        </w:rPr>
      </w:pPr>
      <w:r w:rsidRPr="00C5118A">
        <w:rPr>
          <w:rFonts w:ascii="Trebuchet MS" w:eastAsiaTheme="minorEastAsia" w:hAnsi="Trebuchet MS"/>
        </w:rPr>
        <w:lastRenderedPageBreak/>
        <w:t xml:space="preserve">CCS BQ score ranges from Q1 to Q93 and BQ scores are encoded with the ASCII character encoding format. BQ score is capped at Q93 because ASCII character cannot support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-scaled quality values (QV) above 93. Inability to detect somatic mutations accurately with uncapped BQ scores demonstrates that there is a persistent problem with BQ score estimation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t>
      </w:r>
    </w:p>
    <w:p w14:paraId="1AA451C3" w14:textId="77777777" w:rsidR="0091059F" w:rsidRPr="00C5118A" w:rsidRDefault="0091059F" w:rsidP="0091059F">
      <w:pPr>
        <w:rPr>
          <w:rFonts w:ascii="Trebuchet MS" w:eastAsiaTheme="minorEastAsia" w:hAnsi="Trebuchet MS"/>
        </w:rPr>
      </w:pPr>
    </w:p>
    <w:p w14:paraId="2CE15D4A" w14:textId="77777777" w:rsidR="0091059F" w:rsidRPr="00C5118A" w:rsidRDefault="0091059F" w:rsidP="0091059F">
      <w:pPr>
        <w:rPr>
          <w:rFonts w:ascii="Trebuchet MS" w:eastAsiaTheme="minorEastAsia" w:hAnsi="Trebuchet MS"/>
        </w:rPr>
      </w:pP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calculates BQ score based on alignment of subreads to the CCS read from the same ZMW and BQ score of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ranges from Q1 to Q50 (Figure \</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which we think is too conservative considering the empirical BQ score estimation from the cord blood sample. We also observed that somatic mutation detection with polished Q50 CCS bases did not generate the expected mutational spectrum while that with polished CCS bases with BQ score above Q30 generated the expected mutational spectrum, suggesting that once again BQ score is not accurately estimated. </w:t>
      </w:r>
    </w:p>
    <w:p w14:paraId="5CC4A33E" w14:textId="77777777" w:rsidR="0091059F" w:rsidRPr="00C5118A" w:rsidRDefault="0091059F" w:rsidP="0091059F">
      <w:pPr>
        <w:rPr>
          <w:rFonts w:ascii="Trebuchet MS" w:eastAsiaTheme="minorEastAsia" w:hAnsi="Trebuchet MS"/>
        </w:rPr>
      </w:pPr>
    </w:p>
    <w:p w14:paraId="7EB766AC" w14:textId="5FAAA292" w:rsidR="0091059F" w:rsidRPr="00C5118A" w:rsidRDefault="0091059F" w:rsidP="0091059F">
      <w:pPr>
        <w:rPr>
          <w:rFonts w:ascii="Trebuchet MS" w:hAnsi="Trebuchet MS"/>
        </w:rPr>
      </w:pPr>
      <w:r w:rsidRPr="00C5118A">
        <w:rPr>
          <w:rFonts w:ascii="Trebuchet MS" w:eastAsiaTheme="minorEastAsia" w:hAnsi="Trebuchet MS"/>
        </w:rPr>
        <w:t>To assess potential for single molecule somatic mutation detection with CCS reads, we performed partial order alignment between CCS read and subreads from the same ZMW and identifies bases where there is unanimous support for the CCS base from the subreads (Method). Somatic mutation detection with CCS bases with unanimous support from subreads generate mutational spectrum expected from the cord blood sample, suggesting that software error and not sequencing error is the source of false positive mutations</w:t>
      </w:r>
      <w:r w:rsidR="009816BD">
        <w:rPr>
          <w:rFonts w:ascii="Trebuchet MS" w:eastAsiaTheme="minorEastAsia" w:hAnsi="Trebuchet MS"/>
        </w:rPr>
        <w:t xml:space="preserve"> (Figure </w:t>
      </w:r>
      <w:r w:rsidR="00ED6F8A">
        <w:rPr>
          <w:rFonts w:ascii="Trebuchet MS" w:eastAsiaTheme="minorEastAsia" w:hAnsi="Trebuchet MS"/>
        </w:rPr>
        <w:t>\</w:t>
      </w:r>
      <w:proofErr w:type="gramStart"/>
      <w:r w:rsidR="009816BD">
        <w:rPr>
          <w:rFonts w:ascii="Trebuchet MS" w:eastAsiaTheme="minorEastAsia" w:hAnsi="Trebuchet MS"/>
        </w:rPr>
        <w:t>ref{</w:t>
      </w:r>
      <w:proofErr w:type="gramEnd"/>
      <w:r w:rsidR="009816BD">
        <w:rPr>
          <w:rFonts w:ascii="Trebuchet MS" w:eastAsiaTheme="minorEastAsia" w:hAnsi="Trebuchet MS"/>
        </w:rPr>
        <w:t>})</w:t>
      </w:r>
      <w:r w:rsidRPr="00C5118A">
        <w:rPr>
          <w:rFonts w:ascii="Trebuchet MS" w:eastAsiaTheme="minorEastAsia" w:hAnsi="Trebuchet MS"/>
        </w:rPr>
        <w:t>. We hypothesise that consensus sequence construction and polishing algorithm consider somatic mutation as errors and as a result have incorrect sequencing error priors and BQ score estimates.</w:t>
      </w:r>
    </w:p>
    <w:p w14:paraId="711B12B0" w14:textId="728CF9E7" w:rsidR="0091059F" w:rsidRPr="00C5118A" w:rsidRDefault="0091059F" w:rsidP="00C00019">
      <w:pPr>
        <w:rPr>
          <w:rFonts w:ascii="Trebuchet MS" w:eastAsiaTheme="minorEastAsia" w:hAnsi="Trebuchet MS"/>
        </w:rPr>
      </w:pPr>
    </w:p>
    <w:p w14:paraId="1D97CF64" w14:textId="77777777" w:rsidR="001C4563" w:rsidRPr="00C5118A" w:rsidRDefault="001C4563" w:rsidP="001C4563">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Conclusion}</w:t>
      </w:r>
    </w:p>
    <w:p w14:paraId="63FBFDC7" w14:textId="77777777" w:rsidR="001C4563" w:rsidRPr="00C5118A" w:rsidRDefault="001C4563" w:rsidP="001C4563">
      <w:pPr>
        <w:rPr>
          <w:rFonts w:ascii="Trebuchet MS" w:eastAsiaTheme="minorEastAsia" w:hAnsi="Trebuchet MS"/>
        </w:rPr>
      </w:pPr>
    </w:p>
    <w:p w14:paraId="55439BF3"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Here, I assess whether CCS reads are as accurate as duplex reads and demonstrate that a subset of CCS bases has sufficient base accuracy to enable single molecule somatic mutation detection using samples with single ongoing somatic mutational process.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takes as input a sorted BAM file with primary read alignments from bulk normal tissue, leverages CCS read length and base accuracy to distinguish somatic mutations from errors and germline mutations and returns a VCF file with somatic mutations. Mutational spectrum produced from aggregate of somatic mutations is concordant with the expected mutational signature from each positive control sample, showing that single molecule somatic mutation detection is indeed possible with CCS reads. </w:t>
      </w:r>
    </w:p>
    <w:p w14:paraId="1DC29F42" w14:textId="77777777" w:rsidR="001C4563" w:rsidRPr="00C5118A" w:rsidRDefault="001C4563" w:rsidP="001C4563">
      <w:pPr>
        <w:rPr>
          <w:rFonts w:ascii="Trebuchet MS" w:eastAsiaTheme="minorEastAsia" w:hAnsi="Trebuchet MS"/>
        </w:rPr>
      </w:pPr>
    </w:p>
    <w:p w14:paraId="4E64629E"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Using a cord blood sample with few somatic mutations, I examined the nature of residual false positive substitutions and associated CCS error profile that is shared across all samples. I empirically estimated that CCS Q93 base accuracy ranges from Q60 to Q90 depending on the substitution and trinucleotide sequence context, which is hundred thousand-fold to a billion-fold more accurate than Illumina bases and what enables somatic mutation detection with high confidence. </w:t>
      </w:r>
    </w:p>
    <w:p w14:paraId="7C2837B6" w14:textId="77777777" w:rsidR="001C4563" w:rsidRPr="00C5118A" w:rsidRDefault="001C4563" w:rsidP="001C4563">
      <w:pPr>
        <w:rPr>
          <w:rFonts w:ascii="Trebuchet MS" w:eastAsiaTheme="minorEastAsia" w:hAnsi="Trebuchet MS"/>
        </w:rPr>
      </w:pPr>
    </w:p>
    <w:p w14:paraId="2DEE4C09" w14:textId="77777777" w:rsidR="001C4563" w:rsidRPr="00C5118A" w:rsidRDefault="001C4563" w:rsidP="001C4563">
      <w:pPr>
        <w:rPr>
          <w:rFonts w:ascii="Trebuchet MS" w:eastAsiaTheme="minorEastAsia" w:hAnsi="Trebuchet MS"/>
        </w:rPr>
      </w:pPr>
      <w:r w:rsidRPr="00C5118A">
        <w:rPr>
          <w:rFonts w:ascii="Trebuchet MS" w:eastAsiaTheme="minorEastAsia" w:hAnsi="Trebuchet MS"/>
        </w:rPr>
        <w:t xml:space="preserve">I conclude that false positive mutations are in fact derived from a combination of software errors. I show the persistence of inaccurate BQ score estimates using a modified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that returns uncapped base quality scores,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and BQ score recalibration from partial order alignment between </w:t>
      </w:r>
      <w:r w:rsidRPr="00C5118A">
        <w:rPr>
          <w:rFonts w:ascii="Trebuchet MS" w:eastAsiaTheme="minorEastAsia" w:hAnsi="Trebuchet MS"/>
        </w:rPr>
        <w:lastRenderedPageBreak/>
        <w:t xml:space="preserve">subreads and CCS reads from the same ZMW. I unexpectedly found that BQ score estimate becomes more inaccurate as the number of supporting subreads per CCS reads increases in contrast to the expected behaviour of the software (discussed and demonstrated in Chapter 3). In addition, I observe that false positive substitutions are enriched trinucleotide sequence contexts where the 5’ base or the 3’ base is identical to the substitution error. I hypothesize that inappropriate sequencing priors and underestimation of somatic mutations as potential sources of error in accurate BQ score estimation, and the use of trinucleotide sequence context HMM instead of dinucleotide sequence context HMM might ameliorate some of the issues. I, most importantly, show that subreads have sufficient base accuracy to generate CCS bases with $\sim$Q90 base accuracy at all trinucleotide sequence contexts, if there is enough supporting subreads per CCS read. </w:t>
      </w:r>
    </w:p>
    <w:p w14:paraId="61DDF8AB" w14:textId="2BC0C0E4" w:rsidR="004A5800" w:rsidRPr="00C5118A" w:rsidRDefault="004A5800" w:rsidP="00C00019">
      <w:pPr>
        <w:rPr>
          <w:rFonts w:ascii="Trebuchet MS" w:eastAsiaTheme="minorEastAsia" w:hAnsi="Trebuchet MS"/>
        </w:rPr>
      </w:pPr>
    </w:p>
    <w:p w14:paraId="7D48517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section{</w:t>
      </w:r>
      <w:proofErr w:type="gramEnd"/>
      <w:r w:rsidRPr="00C5118A">
        <w:rPr>
          <w:rFonts w:ascii="Trebuchet MS" w:eastAsiaTheme="minorEastAsia" w:hAnsi="Trebuchet MS"/>
          <w:b/>
          <w:bCs/>
        </w:rPr>
        <w:t>Materials and Methods}</w:t>
      </w:r>
    </w:p>
    <w:p w14:paraId="5A6A4F2B" w14:textId="77777777" w:rsidR="004A5800" w:rsidRPr="00C5118A" w:rsidRDefault="004A5800" w:rsidP="004A5800">
      <w:pPr>
        <w:rPr>
          <w:rFonts w:ascii="Trebuchet MS" w:eastAsiaTheme="minorEastAsia" w:hAnsi="Trebuchet MS"/>
        </w:rPr>
      </w:pPr>
    </w:p>
    <w:p w14:paraId="3B6C1816"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library preparation and sequencing}</w:t>
      </w:r>
    </w:p>
    <w:p w14:paraId="3CE4DA4F" w14:textId="77777777" w:rsidR="004A5800" w:rsidRPr="00C5118A" w:rsidRDefault="004A5800" w:rsidP="004A5800">
      <w:pPr>
        <w:rPr>
          <w:rFonts w:ascii="Trebuchet MS" w:eastAsiaTheme="minorEastAsia" w:hAnsi="Trebuchet MS"/>
        </w:rPr>
      </w:pPr>
    </w:p>
    <w:p w14:paraId="3297EC2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BC-1 and HT-115 cell lines were cultured in XX media containing XX and at XX in a humidified 5% X environment. Umbilical blood (PD47269d) and peripheral blood sample of an 82-year-old female individual (PD48473b) were collected in 40-60mL lithium-heparin tubes and blood granulocytes were subsequently isolated using </w:t>
      </w:r>
      <w:proofErr w:type="spellStart"/>
      <w:r w:rsidRPr="00C5118A">
        <w:rPr>
          <w:rFonts w:ascii="Trebuchet MS" w:eastAsiaTheme="minorEastAsia" w:hAnsi="Trebuchet MS"/>
        </w:rPr>
        <w:t>Lymphophorep</w:t>
      </w:r>
      <w:proofErr w:type="spellEnd"/>
      <w:r w:rsidRPr="00C5118A">
        <w:rPr>
          <w:rFonts w:ascii="Trebuchet MS" w:eastAsiaTheme="minorEastAsia" w:hAnsi="Trebuchet MS"/>
        </w:rPr>
        <w:t xml:space="preserve">. High molecular weight (HMW) DNA from BC-1 and HT-115 cell line and PD47269d and PD484873b blood granulocytes were extracted using Qiagen </w:t>
      </w:r>
      <w:proofErr w:type="spellStart"/>
      <w:r w:rsidRPr="00C5118A">
        <w:rPr>
          <w:rFonts w:ascii="Trebuchet MS" w:eastAsiaTheme="minorEastAsia" w:hAnsi="Trebuchet MS"/>
        </w:rPr>
        <w:t>MagAttract</w:t>
      </w:r>
      <w:proofErr w:type="spellEnd"/>
      <w:r w:rsidRPr="00C5118A">
        <w:rPr>
          <w:rFonts w:ascii="Trebuchet MS" w:eastAsiaTheme="minorEastAsia" w:hAnsi="Trebuchet MS"/>
        </w:rPr>
        <w:t xml:space="preserve"> HMW DNA extraction kit (</w:t>
      </w:r>
      <w:r w:rsidRPr="00C5118A">
        <w:rPr>
          <w:rFonts w:ascii="Trebuchet MS" w:hAnsi="Trebuchet MS"/>
          <w:color w:val="404040"/>
          <w:shd w:val="clear" w:color="auto" w:fill="FFFFFF"/>
        </w:rPr>
        <w:t>67563</w:t>
      </w:r>
      <w:r w:rsidRPr="00C5118A">
        <w:rPr>
          <w:rFonts w:ascii="Trebuchet MS" w:eastAsiaTheme="minorEastAsia" w:hAnsi="Trebuchet MS"/>
        </w:rPr>
        <w:t xml:space="preserve">) and was sheared to 16-20kb DNA fragments using </w:t>
      </w:r>
      <w:proofErr w:type="spellStart"/>
      <w:r w:rsidRPr="00C5118A">
        <w:rPr>
          <w:rFonts w:ascii="Trebuchet MS" w:eastAsiaTheme="minorEastAsia" w:hAnsi="Trebuchet MS"/>
        </w:rPr>
        <w:t>Megaruptor</w:t>
      </w:r>
      <w:proofErr w:type="spellEnd"/>
      <w:r w:rsidRPr="00C5118A">
        <w:rPr>
          <w:rFonts w:ascii="Trebuchet MS" w:eastAsiaTheme="minorEastAsia" w:hAnsi="Trebuchet MS"/>
        </w:rPr>
        <w:t xml:space="preserve"> 3 system () with speed setting X. CCS sequencing libraries were constructed according to the 0.9.0 CCS library preparation protocol (), and the libraries were sequenced using Sequel </w:t>
      </w:r>
      <w:proofErr w:type="spellStart"/>
      <w:r w:rsidRPr="00C5118A">
        <w:rPr>
          <w:rFonts w:ascii="Trebuchet MS" w:eastAsiaTheme="minorEastAsia" w:hAnsi="Trebuchet MS"/>
        </w:rPr>
        <w:t>IIe</w:t>
      </w:r>
      <w:proofErr w:type="spellEnd"/>
      <w:r w:rsidRPr="00C5118A">
        <w:rPr>
          <w:rFonts w:ascii="Trebuchet MS" w:eastAsiaTheme="minorEastAsia" w:hAnsi="Trebuchet MS"/>
        </w:rPr>
        <w:t xml:space="preserve"> instrument at the </w:t>
      </w:r>
      <w:proofErr w:type="spellStart"/>
      <w:r w:rsidRPr="00C5118A">
        <w:rPr>
          <w:rFonts w:ascii="Trebuchet MS" w:eastAsiaTheme="minorEastAsia" w:hAnsi="Trebuchet MS"/>
        </w:rPr>
        <w:t>Wellcome</w:t>
      </w:r>
      <w:proofErr w:type="spellEnd"/>
      <w:r w:rsidRPr="00C5118A">
        <w:rPr>
          <w:rFonts w:ascii="Trebuchet MS" w:eastAsiaTheme="minorEastAsia" w:hAnsi="Trebuchet MS"/>
        </w:rPr>
        <w:t xml:space="preserve"> Sanger Institute. </w:t>
      </w:r>
    </w:p>
    <w:p w14:paraId="094A8941" w14:textId="77777777" w:rsidR="004A5800" w:rsidRPr="00C5118A" w:rsidRDefault="004A5800" w:rsidP="004A5800">
      <w:pPr>
        <w:rPr>
          <w:rFonts w:ascii="Trebuchet MS" w:eastAsiaTheme="minorEastAsia" w:hAnsi="Trebuchet MS"/>
        </w:rPr>
      </w:pPr>
    </w:p>
    <w:p w14:paraId="0B803F3C"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Sheared DNA was purified by solid-phase reversible immobilisation using </w:t>
      </w:r>
      <w:proofErr w:type="spellStart"/>
      <w:r w:rsidRPr="00C5118A">
        <w:rPr>
          <w:rFonts w:ascii="Trebuchet MS" w:hAnsi="Trebuchet MS"/>
          <w:b/>
          <w:bCs/>
          <w:i/>
          <w:iCs/>
        </w:rPr>
        <w:t>AMPure</w:t>
      </w:r>
      <w:proofErr w:type="spellEnd"/>
      <w:r w:rsidRPr="00C5118A">
        <w:rPr>
          <w:rFonts w:ascii="Trebuchet MS" w:hAnsi="Trebuchet MS"/>
          <w:b/>
          <w:bCs/>
          <w:i/>
          <w:iCs/>
        </w:rPr>
        <w:t xml:space="preserve"> PB beads with a 1.8X ratio of beads to sample to remove the shorter fragments and concentrate the DNA sample. The concentration of the sheared and purified DNA was assessed using a Nanodrop spectrophotometer and Qubit Fluorometer and Qubit dsDNA High Sensitivity Assay kit. Fragment size distribution was evaluated by running the sample on the </w:t>
      </w:r>
      <w:proofErr w:type="spellStart"/>
      <w:r w:rsidRPr="00C5118A">
        <w:rPr>
          <w:rFonts w:ascii="Trebuchet MS" w:hAnsi="Trebuchet MS"/>
          <w:b/>
          <w:bCs/>
          <w:i/>
          <w:iCs/>
        </w:rPr>
        <w:t>FemtoPulse</w:t>
      </w:r>
      <w:proofErr w:type="spellEnd"/>
      <w:r w:rsidRPr="00C5118A">
        <w:rPr>
          <w:rFonts w:ascii="Trebuchet MS" w:hAnsi="Trebuchet MS"/>
          <w:b/>
          <w:bCs/>
          <w:i/>
          <w:iCs/>
        </w:rPr>
        <w:t xml:space="preserve"> system.</w:t>
      </w:r>
    </w:p>
    <w:p w14:paraId="52069240" w14:textId="77777777" w:rsidR="004A5800" w:rsidRPr="00C5118A" w:rsidRDefault="004A5800" w:rsidP="004A5800">
      <w:pPr>
        <w:rPr>
          <w:rFonts w:ascii="Trebuchet MS" w:hAnsi="Trebuchet MS"/>
          <w:b/>
          <w:bCs/>
          <w:i/>
          <w:iCs/>
        </w:rPr>
      </w:pPr>
    </w:p>
    <w:p w14:paraId="61257697" w14:textId="77777777" w:rsidR="004A5800" w:rsidRPr="00C5118A" w:rsidRDefault="004A5800" w:rsidP="004A5800">
      <w:pPr>
        <w:rPr>
          <w:rFonts w:ascii="Trebuchet MS" w:hAnsi="Trebuchet MS"/>
          <w:b/>
          <w:bCs/>
          <w:i/>
          <w:iCs/>
        </w:rPr>
      </w:pPr>
      <w:r w:rsidRPr="00C5118A">
        <w:rPr>
          <w:rFonts w:ascii="Trebuchet MS" w:hAnsi="Trebuchet MS"/>
          <w:b/>
          <w:bCs/>
          <w:i/>
          <w:iCs/>
        </w:rPr>
        <w:t xml:space="preserve">Pacific Biosciences HiFi circular consensus and 10X Genomics read cloud sequencing libraries were constructed according to the manufacturers’ instructions. Sequencing was performed by the Scientific Operations core at the </w:t>
      </w:r>
      <w:proofErr w:type="spellStart"/>
      <w:r w:rsidRPr="00C5118A">
        <w:rPr>
          <w:rFonts w:ascii="Trebuchet MS" w:hAnsi="Trebuchet MS"/>
          <w:b/>
          <w:bCs/>
          <w:i/>
          <w:iCs/>
        </w:rPr>
        <w:t>Wellcome</w:t>
      </w:r>
      <w:proofErr w:type="spellEnd"/>
      <w:r w:rsidRPr="00C5118A">
        <w:rPr>
          <w:rFonts w:ascii="Trebuchet MS" w:hAnsi="Trebuchet MS"/>
          <w:b/>
          <w:bCs/>
          <w:i/>
          <w:iCs/>
        </w:rPr>
        <w:t xml:space="preserve"> Sanger Institute on Pacific Biosciences SEQUEL II and Illumina </w:t>
      </w:r>
      <w:proofErr w:type="spellStart"/>
      <w:r w:rsidRPr="00C5118A">
        <w:rPr>
          <w:rFonts w:ascii="Trebuchet MS" w:hAnsi="Trebuchet MS"/>
          <w:b/>
          <w:bCs/>
          <w:i/>
          <w:iCs/>
        </w:rPr>
        <w:t>HiSeq</w:t>
      </w:r>
      <w:proofErr w:type="spellEnd"/>
      <w:r w:rsidRPr="00C5118A">
        <w:rPr>
          <w:rFonts w:ascii="Trebuchet MS" w:hAnsi="Trebuchet MS"/>
          <w:b/>
          <w:bCs/>
          <w:i/>
          <w:iCs/>
        </w:rPr>
        <w:t xml:space="preserve"> X instruments. </w:t>
      </w:r>
    </w:p>
    <w:p w14:paraId="75437AC9" w14:textId="77777777" w:rsidR="004A5800" w:rsidRPr="00C5118A" w:rsidRDefault="004A5800" w:rsidP="004A5800">
      <w:pPr>
        <w:rPr>
          <w:rFonts w:ascii="Trebuchet MS" w:hAnsi="Trebuchet MS"/>
          <w:b/>
          <w:bCs/>
          <w:i/>
          <w:iCs/>
        </w:rPr>
      </w:pPr>
      <w:r w:rsidRPr="00C5118A">
        <w:rPr>
          <w:rFonts w:ascii="Trebuchet MS" w:hAnsi="Trebuchet MS"/>
          <w:b/>
          <w:bCs/>
          <w:i/>
          <w:iCs/>
        </w:rPr>
        <w:t>All sequencing reactions were performed on the PacBio Sequel System with the Sequel Sequencing Kit 3.0 chemistry (Pacific Biosciences Ref. No. 101-500-400 and 101-427-800). </w:t>
      </w:r>
    </w:p>
    <w:p w14:paraId="38CA5B7E" w14:textId="77777777" w:rsidR="004A5800" w:rsidRPr="00C5118A" w:rsidRDefault="004A5800" w:rsidP="004A5800">
      <w:pPr>
        <w:rPr>
          <w:rFonts w:ascii="Trebuchet MS" w:eastAsiaTheme="minorEastAsia" w:hAnsi="Trebuchet MS"/>
          <w:b/>
          <w:bCs/>
          <w:i/>
          <w:iCs/>
        </w:rPr>
      </w:pPr>
    </w:p>
    <w:p w14:paraId="4624CEF5" w14:textId="77777777" w:rsidR="004A5800" w:rsidRPr="00C5118A" w:rsidRDefault="004A5800" w:rsidP="004A5800">
      <w:pPr>
        <w:rPr>
          <w:rFonts w:ascii="Trebuchet MS" w:hAnsi="Trebuchet MS"/>
          <w:b/>
          <w:bCs/>
          <w:i/>
          <w:iCs/>
        </w:rPr>
      </w:pPr>
      <w:r w:rsidRPr="00C5118A">
        <w:rPr>
          <w:rFonts w:ascii="Trebuchet MS" w:hAnsi="Trebuchet MS"/>
          <w:b/>
          <w:bCs/>
          <w:i/>
          <w:iCs/>
        </w:rPr>
        <w:t>The HG002 human libraries were sequenced with 4 or 12</w:t>
      </w:r>
      <w:r w:rsidRPr="00C5118A">
        <w:rPr>
          <w:rFonts w:ascii="Arial" w:hAnsi="Arial" w:cs="Arial"/>
          <w:b/>
          <w:bCs/>
          <w:i/>
          <w:iCs/>
        </w:rPr>
        <w:t> </w:t>
      </w:r>
      <w:r w:rsidRPr="00C5118A">
        <w:rPr>
          <w:rFonts w:ascii="Trebuchet MS" w:hAnsi="Trebuchet MS"/>
          <w:b/>
          <w:bCs/>
          <w:i/>
          <w:iCs/>
        </w:rPr>
        <w:t xml:space="preserve">h </w:t>
      </w:r>
      <w:proofErr w:type="spellStart"/>
      <w:r w:rsidRPr="00C5118A">
        <w:rPr>
          <w:rFonts w:ascii="Trebuchet MS" w:hAnsi="Trebuchet MS"/>
          <w:b/>
          <w:bCs/>
          <w:i/>
          <w:iCs/>
        </w:rPr>
        <w:t>preextension</w:t>
      </w:r>
      <w:proofErr w:type="spellEnd"/>
      <w:r w:rsidRPr="00C5118A">
        <w:rPr>
          <w:rFonts w:ascii="Trebuchet MS" w:hAnsi="Trebuchet MS"/>
          <w:b/>
          <w:bCs/>
          <w:i/>
          <w:iCs/>
        </w:rPr>
        <w:t xml:space="preserve"> and 20, 24 or 30</w:t>
      </w:r>
      <w:r w:rsidRPr="00C5118A">
        <w:rPr>
          <w:rFonts w:ascii="Arial" w:hAnsi="Arial" w:cs="Arial"/>
          <w:b/>
          <w:bCs/>
          <w:i/>
          <w:iCs/>
        </w:rPr>
        <w:t> </w:t>
      </w:r>
      <w:r w:rsidRPr="00C5118A">
        <w:rPr>
          <w:rFonts w:ascii="Trebuchet MS" w:hAnsi="Trebuchet MS"/>
          <w:b/>
          <w:bCs/>
          <w:i/>
          <w:iCs/>
        </w:rPr>
        <w:t>h collection depending on insert length.</w:t>
      </w:r>
    </w:p>
    <w:p w14:paraId="0D247336" w14:textId="77777777" w:rsidR="004A5800" w:rsidRPr="00C5118A" w:rsidRDefault="004A5800" w:rsidP="004A5800">
      <w:pPr>
        <w:rPr>
          <w:rFonts w:ascii="Trebuchet MS" w:eastAsiaTheme="minorEastAsia" w:hAnsi="Trebuchet MS"/>
          <w:b/>
          <w:bCs/>
          <w:lang w:val="en-US"/>
        </w:rPr>
      </w:pPr>
    </w:p>
    <w:p w14:paraId="4A6488CD"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read alignment and germline mutation detection}</w:t>
      </w:r>
    </w:p>
    <w:p w14:paraId="0DE1046E"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rPr>
        <w:lastRenderedPageBreak/>
        <w:t xml:space="preserve">CCS reads with adapter sequences were identified with </w:t>
      </w:r>
      <w:proofErr w:type="spellStart"/>
      <w:r w:rsidRPr="00C5118A">
        <w:rPr>
          <w:rFonts w:ascii="Trebuchet MS" w:eastAsiaTheme="minorEastAsia" w:hAnsi="Trebuchet MS"/>
        </w:rPr>
        <w:t>HiFiAdapterFilt</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Sim2022-pi} and were removed from downstream sequence analysis. CCS reads were aligned to the human reference genome (b37 and grch38) with minimap2 (version 2.24-r1155-dirty) with default parameters for CCS read alignment (-</w:t>
      </w:r>
      <w:proofErr w:type="spellStart"/>
      <w:r w:rsidRPr="00C5118A">
        <w:rPr>
          <w:rFonts w:ascii="Trebuchet MS" w:eastAsiaTheme="minorEastAsia" w:hAnsi="Trebuchet MS"/>
        </w:rPr>
        <w:t>ax</w:t>
      </w:r>
      <w:proofErr w:type="spellEnd"/>
      <w:r w:rsidRPr="00C5118A">
        <w:rPr>
          <w:rFonts w:ascii="Trebuchet MS" w:eastAsiaTheme="minorEastAsia" w:hAnsi="Trebuchet MS"/>
        </w:rPr>
        <w:t xml:space="preserve"> map-</w:t>
      </w:r>
      <w:proofErr w:type="spellStart"/>
      <w:r w:rsidRPr="00C5118A">
        <w:rPr>
          <w:rFonts w:ascii="Trebuchet MS" w:eastAsiaTheme="minorEastAsia" w:hAnsi="Trebuchet MS"/>
        </w:rPr>
        <w:t>hifi</w:t>
      </w:r>
      <w:proofErr w:type="spellEnd"/>
      <w:r w:rsidRPr="00C5118A">
        <w:rPr>
          <w:rFonts w:ascii="Trebuchet MS" w:eastAsiaTheme="minorEastAsia" w:hAnsi="Trebuchet MS"/>
        </w:rPr>
        <w:t xml:space="preserve"> --cs=short)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Li2018-am} and primary alignments were selected, compressed, merged, and sorted with </w:t>
      </w:r>
      <w:proofErr w:type="spellStart"/>
      <w:r w:rsidRPr="00C5118A">
        <w:rPr>
          <w:rFonts w:ascii="Trebuchet MS" w:eastAsiaTheme="minorEastAsia" w:hAnsi="Trebuchet MS"/>
        </w:rPr>
        <w:t>samtools</w:t>
      </w:r>
      <w:proofErr w:type="spellEnd"/>
      <w:r w:rsidRPr="00C5118A">
        <w:rPr>
          <w:rFonts w:ascii="Trebuchet MS" w:eastAsiaTheme="minorEastAsia" w:hAnsi="Trebuchet MS"/>
        </w:rPr>
        <w:t xml:space="preserve"> (version 1.6) \cite{Li2009-qp}. Germline SNPs and indels were detected with </w:t>
      </w:r>
      <w:proofErr w:type="spellStart"/>
      <w:r w:rsidRPr="00C5118A">
        <w:rPr>
          <w:rFonts w:ascii="Trebuchet MS" w:eastAsiaTheme="minorEastAsia" w:hAnsi="Trebuchet MS"/>
        </w:rPr>
        <w:t>deepvariant</w:t>
      </w:r>
      <w:proofErr w:type="spellEnd"/>
      <w:r w:rsidRPr="00C5118A">
        <w:rPr>
          <w:rFonts w:ascii="Trebuchet MS" w:eastAsiaTheme="minorEastAsia" w:hAnsi="Trebuchet MS"/>
        </w:rPr>
        <w:t xml:space="preserve"> (version 1.1.0)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Poplin2018-ub}. VCF files were compressed and indexed with </w:t>
      </w:r>
      <w:proofErr w:type="spellStart"/>
      <w:r w:rsidRPr="00C5118A">
        <w:rPr>
          <w:rFonts w:ascii="Trebuchet MS" w:eastAsiaTheme="minorEastAsia" w:hAnsi="Trebuchet MS"/>
        </w:rPr>
        <w:t>tabix</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Li2011-zj} and left aligned and normalised with </w:t>
      </w:r>
      <w:proofErr w:type="spellStart"/>
      <w:r w:rsidRPr="00C5118A">
        <w:rPr>
          <w:rFonts w:ascii="Trebuchet MS" w:eastAsiaTheme="minorEastAsia" w:hAnsi="Trebuchet MS"/>
        </w:rPr>
        <w:t>bcftools</w:t>
      </w:r>
      <w:proofErr w:type="spellEnd"/>
      <w:r w:rsidRPr="00C5118A">
        <w:rPr>
          <w:rFonts w:ascii="Trebuchet MS" w:eastAsiaTheme="minorEastAsia" w:hAnsi="Trebuchet MS"/>
        </w:rPr>
        <w:t xml:space="preserve"> (version 1.17-7-g097bda6) \cite{Li2011-ag}</w:t>
      </w:r>
    </w:p>
    <w:p w14:paraId="0C73AF47" w14:textId="77777777" w:rsidR="004A5800" w:rsidRPr="00C5118A" w:rsidRDefault="004A5800" w:rsidP="004A5800">
      <w:pPr>
        <w:rPr>
          <w:rFonts w:ascii="Trebuchet MS" w:eastAsiaTheme="minorEastAsia" w:hAnsi="Trebuchet MS"/>
        </w:rPr>
      </w:pPr>
    </w:p>
    <w:p w14:paraId="4D17FCED" w14:textId="77777777" w:rsidR="004A5800" w:rsidRPr="00C5118A" w:rsidRDefault="004A5800" w:rsidP="004A5800">
      <w:pPr>
        <w:rPr>
          <w:rFonts w:ascii="Trebuchet MS" w:eastAsiaTheme="minorEastAsia" w:hAnsi="Trebuchet MS"/>
          <w:b/>
          <w:bCs/>
          <w:lang w:val="en-US"/>
        </w:rPr>
      </w:pPr>
      <w:r w:rsidRPr="00C5118A">
        <w:rPr>
          <w:rFonts w:ascii="Trebuchet MS" w:eastAsiaTheme="minorEastAsia" w:hAnsi="Trebuchet MS"/>
          <w:b/>
          <w:bCs/>
          <w:lang w:val="en-US"/>
        </w:rPr>
        <w:t>\</w:t>
      </w:r>
      <w:proofErr w:type="gramStart"/>
      <w:r w:rsidRPr="00C5118A">
        <w:rPr>
          <w:rFonts w:ascii="Trebuchet MS" w:eastAsiaTheme="minorEastAsia" w:hAnsi="Trebuchet MS"/>
          <w:b/>
          <w:bCs/>
          <w:lang w:val="en-US"/>
        </w:rPr>
        <w:t>subsection{</w:t>
      </w:r>
      <w:proofErr w:type="gramEnd"/>
      <w:r w:rsidRPr="00C5118A">
        <w:rPr>
          <w:rFonts w:ascii="Trebuchet MS" w:eastAsiaTheme="minorEastAsia" w:hAnsi="Trebuchet MS"/>
          <w:b/>
          <w:bCs/>
          <w:lang w:val="en-US"/>
        </w:rPr>
        <w:t>CCS empirical base quality calculation}</w:t>
      </w:r>
    </w:p>
    <w:p w14:paraId="2C4EEA8A" w14:textId="77777777" w:rsidR="004A5800" w:rsidRPr="00C5118A" w:rsidRDefault="004A5800" w:rsidP="004A5800">
      <w:pPr>
        <w:rPr>
          <w:rFonts w:ascii="Trebuchet MS" w:eastAsiaTheme="minorEastAsia" w:hAnsi="Trebuchet MS"/>
          <w:lang w:val="en-US"/>
        </w:rPr>
      </w:pPr>
    </w:p>
    <w:p w14:paraId="6A886CD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assess the potential for somatic mutation detection with CCS reads, the accuracy of the BQ score estimate were assessed using CCS reads from cord blood granulocytes. The number of matches and mismatches were counted for each BQ score to calculate the empirical BQ score. I considered reference allele and germline SNPs as matches and all other SBS as mismatches. Germline mutation detection using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is described below. I excluded germline SNPs with genotype quality (GQ) score below minimum GQ score of 20 and read depth above maximum depth threshold $4d + \sqrt{d}$, where $d$ is the average read depth, from analysis. I, thereafter, calculated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-scaled quality scores as such \ref{eq:1}:</w:t>
      </w:r>
    </w:p>
    <w:p w14:paraId="0EC3B971" w14:textId="77777777" w:rsidR="004A5800" w:rsidRPr="00C5118A" w:rsidRDefault="004A5800" w:rsidP="004A5800">
      <w:pPr>
        <w:rPr>
          <w:rFonts w:ascii="Trebuchet MS" w:eastAsiaTheme="minorEastAsia" w:hAnsi="Trebuchet MS"/>
        </w:rPr>
      </w:pPr>
    </w:p>
    <w:p w14:paraId="05ADCEE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w:t>
      </w:r>
    </w:p>
    <w:p w14:paraId="77E796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empirical BQ} = -10 \times \log_{10} \Big( \frac{\text{mismatch count}}{\text{match count}} \Big)</w:t>
      </w:r>
    </w:p>
    <w:p w14:paraId="0A88DF7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3FF0E212" w14:textId="77777777" w:rsidR="004A5800" w:rsidRPr="00C5118A" w:rsidRDefault="004A5800" w:rsidP="004A5800">
      <w:pPr>
        <w:rPr>
          <w:rFonts w:ascii="Trebuchet MS" w:eastAsiaTheme="minorEastAsia" w:hAnsi="Trebuchet MS"/>
        </w:rPr>
      </w:pPr>
    </w:p>
    <w:p w14:paraId="171D953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and somatic mutation detection}</w:t>
      </w:r>
    </w:p>
    <w:p w14:paraId="64F26686" w14:textId="77777777" w:rsidR="004A5800" w:rsidRPr="00C5118A" w:rsidRDefault="004A5800" w:rsidP="004A5800">
      <w:pPr>
        <w:rPr>
          <w:rFonts w:ascii="Trebuchet MS" w:eastAsiaTheme="minorEastAsia" w:hAnsi="Trebuchet MS"/>
        </w:rPr>
      </w:pPr>
    </w:p>
    <w:p w14:paraId="4254131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Germline and somatic mutations are both detected from bulk normal tissue leveraging CCS read length and base accuracy, characteristics unique to CCS reads and hard filters from previous publications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DePristo2011-vf, Kim2018-qi}. A BAM file with sorted primary read alignments is the only required input to obtain a VCF file with somatic mutations. </w:t>
      </w:r>
    </w:p>
    <w:p w14:paraId="2E6C8510" w14:textId="77777777" w:rsidR="004A5800" w:rsidRPr="00C5118A" w:rsidRDefault="004A5800" w:rsidP="004A5800">
      <w:pPr>
        <w:rPr>
          <w:rFonts w:ascii="Trebuchet MS" w:eastAsiaTheme="minorEastAsia" w:hAnsi="Trebuchet MS"/>
        </w:rPr>
      </w:pPr>
    </w:p>
    <w:p w14:paraId="1439836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Upon initiation, read alignments are first randomly sampled from each target chromosome to compute the lower and upper bound read length and maximum read depth threshold $4d + \sqrt{d}$ where $d$ is the average read depth. SBS candidates are collected from reads with average read accuracy, mapping quality score (MAPQ) and blast sequence identity greater than or equal to a predefined threshold. In addition, read length must be between the lower and upper bound read length to prevent somatic mutation detection from chimeric or fragmented reads. A naive Bayesian </w:t>
      </w:r>
      <w:proofErr w:type="spellStart"/>
      <w:r w:rsidRPr="00C5118A">
        <w:rPr>
          <w:rFonts w:ascii="Trebuchet MS" w:eastAsiaTheme="minorEastAsia" w:hAnsi="Trebuchet MS"/>
        </w:rPr>
        <w:t>genotyper</w:t>
      </w:r>
      <w:proofErr w:type="spellEnd"/>
      <w:r w:rsidRPr="00C5118A">
        <w:rPr>
          <w:rFonts w:ascii="Trebuchet MS" w:eastAsiaTheme="minorEastAsia" w:hAnsi="Trebuchet MS"/>
        </w:rPr>
        <w:t>, thereafter, is applied to each SBS candidate to determine whether the data $(D)$ only supports the variant as a germline mutation or whether the data support both a germline variant and a somatic mutation candidate simultaneously (\ref{eq:2}):</w:t>
      </w:r>
    </w:p>
    <w:p w14:paraId="7D725F3A" w14:textId="77777777" w:rsidR="004A5800" w:rsidRPr="00C5118A" w:rsidRDefault="004A5800" w:rsidP="004A5800">
      <w:pPr>
        <w:rPr>
          <w:rFonts w:ascii="Trebuchet MS" w:eastAsiaTheme="minorEastAsia" w:hAnsi="Trebuchet MS"/>
        </w:rPr>
      </w:pPr>
    </w:p>
    <w:p w14:paraId="27BC34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\label{eq:2}</w:t>
      </w:r>
    </w:p>
    <w:p w14:paraId="7A3112F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P(G|D) = \frac{P(G)P(D|G</w:t>
      </w:r>
      <w:proofErr w:type="gramStart"/>
      <w:r w:rsidRPr="00C5118A">
        <w:rPr>
          <w:rFonts w:ascii="Trebuchet MS" w:eastAsiaTheme="minorEastAsia" w:hAnsi="Trebuchet MS"/>
        </w:rPr>
        <w:t>)}{</w:t>
      </w:r>
      <w:proofErr w:type="gramEnd"/>
      <w:r w:rsidRPr="00C5118A">
        <w:rPr>
          <w:rFonts w:ascii="Trebuchet MS" w:eastAsiaTheme="minorEastAsia" w:hAnsi="Trebuchet MS"/>
        </w:rPr>
        <w:t>P(D)} \</w:t>
      </w:r>
      <w:proofErr w:type="spellStart"/>
      <w:r w:rsidRPr="00C5118A">
        <w:rPr>
          <w:rFonts w:ascii="Trebuchet MS" w:eastAsiaTheme="minorEastAsia" w:hAnsi="Trebuchet MS"/>
        </w:rPr>
        <w:t>smallskip</w:t>
      </w:r>
      <w:proofErr w:type="spellEnd"/>
    </w:p>
    <w:p w14:paraId="47B1AFB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6AF4153" w14:textId="77777777" w:rsidR="004A5800" w:rsidRPr="00C5118A" w:rsidRDefault="004A5800" w:rsidP="004A5800">
      <w:pPr>
        <w:rPr>
          <w:rFonts w:ascii="Trebuchet MS" w:eastAsiaTheme="minorEastAsia" w:hAnsi="Trebuchet MS"/>
        </w:rPr>
      </w:pPr>
    </w:p>
    <w:p w14:paraId="0C69BC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$P(G)$ is the prior probability of observing the germline mutation genotype and $D$ is the data that represents the pileup of read bases and corresponding sequencing error probabilities for each base at the substitution site. $P(D)$ is a constant across all the possible genotypes and is ignored. $P(G)$ is dependent on whether the genotype is heterozygous, heterozygous alternative (tri-allelic), homozygous alternative or homozygous reference allele with respect to the reference base (\ref{eq:3}):</w:t>
      </w:r>
    </w:p>
    <w:p w14:paraId="4F82D87F" w14:textId="77777777" w:rsidR="004A5800" w:rsidRPr="00C5118A" w:rsidRDefault="004A5800" w:rsidP="004A5800">
      <w:pPr>
        <w:rPr>
          <w:rFonts w:ascii="Trebuchet MS" w:eastAsiaTheme="minorEastAsia" w:hAnsi="Trebuchet MS"/>
        </w:rPr>
      </w:pPr>
    </w:p>
    <w:p w14:paraId="69B863A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\label{eq:3}</w:t>
      </w:r>
    </w:p>
    <w:p w14:paraId="61D36C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P(G)= </w:t>
      </w:r>
    </w:p>
    <w:p w14:paraId="0702201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7794B7A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\theta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g_{\text{het}} \\</w:t>
      </w:r>
    </w:p>
    <w:p w14:paraId="1F55E06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\frac{\theta}{2}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w:t>
      </w:r>
      <w:proofErr w:type="spellStart"/>
      <w:r w:rsidRPr="00C5118A">
        <w:rPr>
          <w:rFonts w:ascii="Trebuchet MS" w:eastAsiaTheme="minorEastAsia" w:hAnsi="Trebuchet MS"/>
        </w:rPr>
        <w:t>hetalt</w:t>
      </w:r>
      <w:proofErr w:type="spellEnd"/>
      <w:r w:rsidRPr="00C5118A">
        <w:rPr>
          <w:rFonts w:ascii="Trebuchet MS" w:eastAsiaTheme="minorEastAsia" w:hAnsi="Trebuchet MS"/>
        </w:rPr>
        <w:t>}} \\</w:t>
      </w:r>
    </w:p>
    <w:p w14:paraId="3C8E906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\theta</w:t>
      </w:r>
      <w:proofErr w:type="gramStart"/>
      <w:r w:rsidRPr="00C5118A">
        <w:rPr>
          <w:rFonts w:ascii="Trebuchet MS" w:eastAsiaTheme="minorEastAsia" w:hAnsi="Trebuchet MS"/>
        </w:rPr>
        <w:t>^{</w:t>
      </w:r>
      <w:proofErr w:type="gramEnd"/>
      <w:r w:rsidRPr="00C5118A">
        <w:rPr>
          <w:rFonts w:ascii="Trebuchet MS" w:eastAsiaTheme="minorEastAsia" w:hAnsi="Trebuchet MS"/>
        </w:rPr>
        <w:t>2} &amp; \text{if } G = g_{\text{</w:t>
      </w:r>
      <w:proofErr w:type="spellStart"/>
      <w:r w:rsidRPr="00C5118A">
        <w:rPr>
          <w:rFonts w:ascii="Trebuchet MS" w:eastAsiaTheme="minorEastAsia" w:hAnsi="Trebuchet MS"/>
        </w:rPr>
        <w:t>homalt</w:t>
      </w:r>
      <w:proofErr w:type="spellEnd"/>
      <w:r w:rsidRPr="00C5118A">
        <w:rPr>
          <w:rFonts w:ascii="Trebuchet MS" w:eastAsiaTheme="minorEastAsia" w:hAnsi="Trebuchet MS"/>
        </w:rPr>
        <w:t>}} \\</w:t>
      </w:r>
    </w:p>
    <w:p w14:paraId="4445C5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r>
      <w:r w:rsidRPr="00C5118A">
        <w:rPr>
          <w:rFonts w:ascii="Trebuchet MS" w:eastAsiaTheme="minorEastAsia" w:hAnsi="Trebuchet MS"/>
        </w:rPr>
        <w:tab/>
        <w:t>1 - \frac{3\theta}{2} - \theta</w:t>
      </w:r>
      <w:proofErr w:type="gramStart"/>
      <w:r w:rsidRPr="00C5118A">
        <w:rPr>
          <w:rFonts w:ascii="Trebuchet MS" w:eastAsiaTheme="minorEastAsia" w:hAnsi="Trebuchet MS"/>
        </w:rPr>
        <w:t>^{</w:t>
      </w:r>
      <w:proofErr w:type="gramEnd"/>
      <w:r w:rsidRPr="00C5118A">
        <w:rPr>
          <w:rFonts w:ascii="Trebuchet MS" w:eastAsiaTheme="minorEastAsia" w:hAnsi="Trebuchet MS"/>
        </w:rPr>
        <w:t>2} &amp; \text{if } G = g_{\text{</w:t>
      </w:r>
      <w:proofErr w:type="spellStart"/>
      <w:r w:rsidRPr="00C5118A">
        <w:rPr>
          <w:rFonts w:ascii="Trebuchet MS" w:eastAsiaTheme="minorEastAsia" w:hAnsi="Trebuchet MS"/>
        </w:rPr>
        <w:t>homref</w:t>
      </w:r>
      <w:proofErr w:type="spellEnd"/>
      <w:r w:rsidRPr="00C5118A">
        <w:rPr>
          <w:rFonts w:ascii="Trebuchet MS" w:eastAsiaTheme="minorEastAsia" w:hAnsi="Trebuchet MS"/>
        </w:rPr>
        <w:t>}} \\</w:t>
      </w:r>
    </w:p>
    <w:p w14:paraId="43B9D7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 \</w:t>
      </w:r>
      <w:proofErr w:type="spellStart"/>
      <w:r w:rsidRPr="00C5118A">
        <w:rPr>
          <w:rFonts w:ascii="Trebuchet MS" w:eastAsiaTheme="minorEastAsia" w:hAnsi="Trebuchet MS"/>
        </w:rPr>
        <w:t>smallskip</w:t>
      </w:r>
      <w:proofErr w:type="spellEnd"/>
    </w:p>
    <w:p w14:paraId="4BA016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578EBD13" w14:textId="77777777" w:rsidR="004A5800" w:rsidRPr="00C5118A" w:rsidRDefault="004A5800" w:rsidP="004A5800">
      <w:pPr>
        <w:rPr>
          <w:rFonts w:ascii="Trebuchet MS" w:eastAsiaTheme="minorEastAsia" w:hAnsi="Trebuchet MS"/>
        </w:rPr>
      </w:pPr>
    </w:p>
    <w:p w14:paraId="19F85A2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$\theta$ is the expected germline SNP frequency and the default $\theta$ is set as $1\times10</w:t>
      </w:r>
      <w:proofErr w:type="gramStart"/>
      <w:r w:rsidRPr="00C5118A">
        <w:rPr>
          <w:rFonts w:ascii="Trebuchet MS" w:eastAsiaTheme="minorEastAsia" w:hAnsi="Trebuchet MS"/>
        </w:rPr>
        <w:t>^{</w:t>
      </w:r>
      <w:proofErr w:type="gramEnd"/>
      <w:r w:rsidRPr="00C5118A">
        <w:rPr>
          <w:rFonts w:ascii="Trebuchet MS" w:eastAsiaTheme="minorEastAsia" w:hAnsi="Trebuchet MS"/>
        </w:rPr>
        <w:t xml:space="preserve">-3}$, the expected human germline SNP frequency. </w:t>
      </w:r>
    </w:p>
    <w:p w14:paraId="67A7FC69" w14:textId="77777777" w:rsidR="004A5800" w:rsidRPr="00C5118A" w:rsidRDefault="004A5800" w:rsidP="004A5800">
      <w:pPr>
        <w:rPr>
          <w:rFonts w:ascii="Trebuchet MS" w:eastAsiaTheme="minorEastAsia" w:hAnsi="Trebuchet MS"/>
        </w:rPr>
      </w:pPr>
    </w:p>
    <w:p w14:paraId="328B2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$P(D|</w:t>
      </w:r>
      <w:proofErr w:type="gramStart"/>
      <w:r w:rsidRPr="00C5118A">
        <w:rPr>
          <w:rFonts w:ascii="Trebuchet MS" w:eastAsiaTheme="minorEastAsia" w:hAnsi="Trebuchet MS"/>
        </w:rPr>
        <w:t>G)$</w:t>
      </w:r>
      <w:proofErr w:type="gramEnd"/>
      <w:r w:rsidRPr="00C5118A">
        <w:rPr>
          <w:rFonts w:ascii="Trebuchet MS" w:eastAsiaTheme="minorEastAsia" w:hAnsi="Trebuchet MS"/>
        </w:rPr>
        <w:t xml:space="preserve"> is the probability of observing the data given the genotype. Binomial likelihood is calculated for each genotype under the assumption that sequencing errors and read sampling is independent and identically distributed (\ref{eq:4}):</w:t>
      </w:r>
    </w:p>
    <w:p w14:paraId="200AE20E" w14:textId="77777777" w:rsidR="004A5800" w:rsidRPr="00C5118A" w:rsidRDefault="004A5800" w:rsidP="004A5800">
      <w:pPr>
        <w:rPr>
          <w:rFonts w:ascii="Trebuchet MS" w:eastAsiaTheme="minorEastAsia" w:hAnsi="Trebuchet MS"/>
        </w:rPr>
      </w:pPr>
    </w:p>
    <w:p w14:paraId="5C8EFC1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\label{eq:4}</w:t>
      </w:r>
    </w:p>
    <w:p w14:paraId="7468EED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P(D|G) =  </w:t>
      </w:r>
    </w:p>
    <w:p w14:paraId="78A09A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445626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\frac{</w:t>
      </w:r>
      <w:proofErr w:type="gramStart"/>
      <w:r w:rsidRPr="00C5118A">
        <w:rPr>
          <w:rFonts w:ascii="Trebuchet MS" w:eastAsiaTheme="minorEastAsia" w:hAnsi="Trebuchet MS"/>
        </w:rPr>
        <w:t>1}{</w:t>
      </w:r>
      <w:proofErr w:type="gramEnd"/>
      <w:r w:rsidRPr="00C5118A">
        <w:rPr>
          <w:rFonts w:ascii="Trebuchet MS" w:eastAsiaTheme="minorEastAsia" w:hAnsi="Trebuchet MS"/>
        </w:rPr>
        <w:t>2^n}\prod_{</w:t>
      </w:r>
      <w:proofErr w:type="spellStart"/>
      <w:r w:rsidRPr="00C5118A">
        <w:rPr>
          <w:rFonts w:ascii="Trebuchet MS" w:eastAsiaTheme="minorEastAsia" w:hAnsi="Trebuchet MS"/>
        </w:rPr>
        <w:t>i</w:t>
      </w:r>
      <w:proofErr w:type="spellEnd"/>
      <w:r w:rsidRPr="00C5118A">
        <w:rPr>
          <w:rFonts w:ascii="Trebuchet MS" w:eastAsiaTheme="minorEastAsia" w:hAnsi="Trebuchet MS"/>
        </w:rPr>
        <w:t>}^{n} 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&amp; \text{if } G = g_{\text{het}} \text{ or } g_{\text{</w:t>
      </w:r>
      <w:proofErr w:type="spellStart"/>
      <w:r w:rsidRPr="00C5118A">
        <w:rPr>
          <w:rFonts w:ascii="Trebuchet MS" w:eastAsiaTheme="minorEastAsia" w:hAnsi="Trebuchet MS"/>
        </w:rPr>
        <w:t>hetalt</w:t>
      </w:r>
      <w:proofErr w:type="spellEnd"/>
      <w:r w:rsidRPr="00C5118A">
        <w:rPr>
          <w:rFonts w:ascii="Trebuchet MS" w:eastAsiaTheme="minorEastAsia" w:hAnsi="Trebuchet MS"/>
        </w:rPr>
        <w:t>}} \\</w:t>
      </w:r>
    </w:p>
    <w:p w14:paraId="3813ED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\prod_{</w:t>
      </w:r>
      <w:proofErr w:type="spellStart"/>
      <w:r w:rsidRPr="00C5118A">
        <w:rPr>
          <w:rFonts w:ascii="Trebuchet MS" w:eastAsiaTheme="minorEastAsia" w:hAnsi="Trebuchet MS"/>
        </w:rPr>
        <w:t>i</w:t>
      </w:r>
      <w:proofErr w:type="spellEnd"/>
      <w:r w:rsidRPr="00C5118A">
        <w:rPr>
          <w:rFonts w:ascii="Trebuchet MS" w:eastAsiaTheme="minorEastAsia" w:hAnsi="Trebuchet MS"/>
        </w:rPr>
        <w:t>}^{n} 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G = g_{\text{</w:t>
      </w:r>
      <w:proofErr w:type="spellStart"/>
      <w:r w:rsidRPr="00C5118A">
        <w:rPr>
          <w:rFonts w:ascii="Trebuchet MS" w:eastAsiaTheme="minorEastAsia" w:hAnsi="Trebuchet MS"/>
        </w:rPr>
        <w:t>homalt</w:t>
      </w:r>
      <w:proofErr w:type="spellEnd"/>
      <w:r w:rsidRPr="00C5118A">
        <w:rPr>
          <w:rFonts w:ascii="Trebuchet MS" w:eastAsiaTheme="minorEastAsia" w:hAnsi="Trebuchet MS"/>
        </w:rPr>
        <w:t>}} \text{ or } g_{\text{</w:t>
      </w:r>
      <w:proofErr w:type="spellStart"/>
      <w:r w:rsidRPr="00C5118A">
        <w:rPr>
          <w:rFonts w:ascii="Trebuchet MS" w:eastAsiaTheme="minorEastAsia" w:hAnsi="Trebuchet MS"/>
        </w:rPr>
        <w:t>homref</w:t>
      </w:r>
      <w:proofErr w:type="spellEnd"/>
      <w:r w:rsidRPr="00C5118A">
        <w:rPr>
          <w:rFonts w:ascii="Trebuchet MS" w:eastAsiaTheme="minorEastAsia" w:hAnsi="Trebuchet MS"/>
        </w:rPr>
        <w:t>}} \\</w:t>
      </w:r>
    </w:p>
    <w:p w14:paraId="6F810A5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4476628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CAEB46E" w14:textId="77777777" w:rsidR="004A5800" w:rsidRPr="00C5118A" w:rsidRDefault="004A5800" w:rsidP="004A5800">
      <w:pPr>
        <w:rPr>
          <w:rFonts w:ascii="Trebuchet MS" w:eastAsiaTheme="minorEastAsia" w:hAnsi="Trebuchet MS"/>
        </w:rPr>
      </w:pPr>
    </w:p>
    <w:p w14:paraId="254C9C3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$P(</w:t>
      </w:r>
      <w:proofErr w:type="spellStart"/>
      <w:r w:rsidRPr="00C5118A">
        <w:rPr>
          <w:rFonts w:ascii="Trebuchet MS" w:eastAsiaTheme="minorEastAsia" w:hAnsi="Trebuchet MS"/>
        </w:rPr>
        <w:t>b|</w:t>
      </w:r>
      <w:proofErr w:type="gramStart"/>
      <w:r w:rsidRPr="00C5118A">
        <w:rPr>
          <w:rFonts w:ascii="Trebuchet MS" w:eastAsiaTheme="minorEastAsia" w:hAnsi="Trebuchet MS"/>
        </w:rPr>
        <w:t>G</w:t>
      </w:r>
      <w:proofErr w:type="spellEnd"/>
      <w:r w:rsidRPr="00C5118A">
        <w:rPr>
          <w:rFonts w:ascii="Trebuchet MS" w:eastAsiaTheme="minorEastAsia" w:hAnsi="Trebuchet MS"/>
        </w:rPr>
        <w:t>)$</w:t>
      </w:r>
      <w:proofErr w:type="gramEnd"/>
      <w:r w:rsidRPr="00C5118A">
        <w:rPr>
          <w:rFonts w:ascii="Trebuchet MS" w:eastAsiaTheme="minorEastAsia" w:hAnsi="Trebuchet MS"/>
        </w:rPr>
        <w:t xml:space="preserve"> is the probability of observing the base given the genotype and is defined as such \ref{eq:5}</w:t>
      </w:r>
    </w:p>
    <w:p w14:paraId="0711523B" w14:textId="77777777" w:rsidR="004A5800" w:rsidRPr="00C5118A" w:rsidRDefault="004A5800" w:rsidP="004A5800">
      <w:pPr>
        <w:rPr>
          <w:rFonts w:ascii="Trebuchet MS" w:eastAsiaTheme="minorEastAsia" w:hAnsi="Trebuchet MS"/>
        </w:rPr>
      </w:pPr>
    </w:p>
    <w:p w14:paraId="3E8C650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\label{eq:5}</w:t>
      </w:r>
    </w:p>
    <w:p w14:paraId="2B0C448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P(b_{</w:t>
      </w:r>
      <w:proofErr w:type="spellStart"/>
      <w:r w:rsidRPr="00C5118A">
        <w:rPr>
          <w:rFonts w:ascii="Trebuchet MS" w:eastAsiaTheme="minorEastAsia" w:hAnsi="Trebuchet MS"/>
        </w:rPr>
        <w:t>i</w:t>
      </w:r>
      <w:proofErr w:type="spellEnd"/>
      <w:r w:rsidRPr="00C5118A">
        <w:rPr>
          <w:rFonts w:ascii="Trebuchet MS" w:eastAsiaTheme="minorEastAsia" w:hAnsi="Trebuchet MS"/>
        </w:rPr>
        <w:t>}|G) = P(b_{</w:t>
      </w:r>
      <w:proofErr w:type="spellStart"/>
      <w:r w:rsidRPr="00C5118A">
        <w:rPr>
          <w:rFonts w:ascii="Trebuchet MS" w:eastAsiaTheme="minorEastAsia" w:hAnsi="Trebuchet MS"/>
        </w:rPr>
        <w:t>i</w:t>
      </w:r>
      <w:proofErr w:type="spellEnd"/>
      <w:r w:rsidRPr="00C5118A">
        <w:rPr>
          <w:rFonts w:ascii="Trebuchet MS" w:eastAsiaTheme="minorEastAsia" w:hAnsi="Trebuchet MS"/>
        </w:rPr>
        <w:t xml:space="preserve">}|A) = </w:t>
      </w:r>
    </w:p>
    <w:p w14:paraId="10AD2B5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w:t>
      </w:r>
    </w:p>
    <w:p w14:paraId="5E6347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    </w:t>
      </w:r>
      <w:r w:rsidRPr="00C5118A">
        <w:rPr>
          <w:rFonts w:ascii="Trebuchet MS" w:eastAsiaTheme="minorEastAsia" w:hAnsi="Trebuchet MS"/>
        </w:rPr>
        <w:tab/>
        <w:t>1 - \epsilon_{</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b_{</w:t>
      </w:r>
      <w:proofErr w:type="spellStart"/>
      <w:r w:rsidRPr="00C5118A">
        <w:rPr>
          <w:rFonts w:ascii="Trebuchet MS" w:eastAsiaTheme="minorEastAsia" w:hAnsi="Trebuchet MS"/>
        </w:rPr>
        <w:t>i</w:t>
      </w:r>
      <w:proofErr w:type="spellEnd"/>
      <w:r w:rsidRPr="00C5118A">
        <w:rPr>
          <w:rFonts w:ascii="Trebuchet MS" w:eastAsiaTheme="minorEastAsia" w:hAnsi="Trebuchet MS"/>
        </w:rPr>
        <w:t>} \in A \\</w:t>
      </w:r>
    </w:p>
    <w:p w14:paraId="21C4404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 xml:space="preserve">    \frac{\epsilon_{</w:t>
      </w:r>
      <w:proofErr w:type="spellStart"/>
      <w:r w:rsidRPr="00C5118A">
        <w:rPr>
          <w:rFonts w:ascii="Trebuchet MS" w:eastAsiaTheme="minorEastAsia" w:hAnsi="Trebuchet MS"/>
        </w:rPr>
        <w:t>i</w:t>
      </w:r>
      <w:proofErr w:type="spellEnd"/>
      <w:r w:rsidRPr="00C5118A">
        <w:rPr>
          <w:rFonts w:ascii="Trebuchet MS" w:eastAsiaTheme="minorEastAsia" w:hAnsi="Trebuchet MS"/>
        </w:rPr>
        <w:t>}}{3} &amp; \</w:t>
      </w:r>
      <w:proofErr w:type="gramStart"/>
      <w:r w:rsidRPr="00C5118A">
        <w:rPr>
          <w:rFonts w:ascii="Trebuchet MS" w:eastAsiaTheme="minorEastAsia" w:hAnsi="Trebuchet MS"/>
        </w:rPr>
        <w:t>text{</w:t>
      </w:r>
      <w:proofErr w:type="gramEnd"/>
      <w:r w:rsidRPr="00C5118A">
        <w:rPr>
          <w:rFonts w:ascii="Trebuchet MS" w:eastAsiaTheme="minorEastAsia" w:hAnsi="Trebuchet MS"/>
        </w:rPr>
        <w:t>if } b_{</w:t>
      </w:r>
      <w:proofErr w:type="spellStart"/>
      <w:r w:rsidRPr="00C5118A">
        <w:rPr>
          <w:rFonts w:ascii="Trebuchet MS" w:eastAsiaTheme="minorEastAsia" w:hAnsi="Trebuchet MS"/>
        </w:rPr>
        <w:t>i</w:t>
      </w:r>
      <w:proofErr w:type="spellEnd"/>
      <w:r w:rsidRPr="00C5118A">
        <w:rPr>
          <w:rFonts w:ascii="Trebuchet MS" w:eastAsiaTheme="minorEastAsia" w:hAnsi="Trebuchet MS"/>
        </w:rPr>
        <w:t>} \not\in A \\</w:t>
      </w:r>
    </w:p>
    <w:p w14:paraId="00E1DD9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b/>
        <w:t>\</w:t>
      </w:r>
      <w:proofErr w:type="gramStart"/>
      <w:r w:rsidRPr="00C5118A">
        <w:rPr>
          <w:rFonts w:ascii="Trebuchet MS" w:eastAsiaTheme="minorEastAsia" w:hAnsi="Trebuchet MS"/>
        </w:rPr>
        <w:t>end</w:t>
      </w:r>
      <w:proofErr w:type="gramEnd"/>
      <w:r w:rsidRPr="00C5118A">
        <w:rPr>
          <w:rFonts w:ascii="Trebuchet MS" w:eastAsiaTheme="minorEastAsia" w:hAnsi="Trebuchet MS"/>
        </w:rPr>
        <w:t>{</w:t>
      </w:r>
      <w:proofErr w:type="spellStart"/>
      <w:r w:rsidRPr="00C5118A">
        <w:rPr>
          <w:rFonts w:ascii="Trebuchet MS" w:eastAsiaTheme="minorEastAsia" w:hAnsi="Trebuchet MS"/>
        </w:rPr>
        <w:t>dcases</w:t>
      </w:r>
      <w:proofErr w:type="spellEnd"/>
      <w:r w:rsidRPr="00C5118A">
        <w:rPr>
          <w:rFonts w:ascii="Trebuchet MS" w:eastAsiaTheme="minorEastAsia" w:hAnsi="Trebuchet MS"/>
        </w:rPr>
        <w:t>} \</w:t>
      </w:r>
      <w:proofErr w:type="spellStart"/>
      <w:r w:rsidRPr="00C5118A">
        <w:rPr>
          <w:rFonts w:ascii="Trebuchet MS" w:eastAsiaTheme="minorEastAsia" w:hAnsi="Trebuchet MS"/>
        </w:rPr>
        <w:t>smallskip</w:t>
      </w:r>
      <w:proofErr w:type="spellEnd"/>
    </w:p>
    <w:p w14:paraId="73FF043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195145FD" w14:textId="77777777" w:rsidR="004A5800" w:rsidRPr="00C5118A" w:rsidRDefault="004A5800" w:rsidP="004A5800">
      <w:pPr>
        <w:rPr>
          <w:rFonts w:ascii="Trebuchet MS" w:eastAsiaTheme="minorEastAsia" w:hAnsi="Trebuchet MS"/>
        </w:rPr>
      </w:pPr>
    </w:p>
    <w:p w14:paraId="5DF6CD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$b$ is CCS base covering the target locus, $\epsilon$ is the corresponding sequencing error probability and $A$ is alleles of the genotype. In practice, all </w:t>
      </w:r>
      <w:r w:rsidRPr="00C5118A">
        <w:rPr>
          <w:rFonts w:ascii="Trebuchet MS" w:eastAsiaTheme="minorEastAsia" w:hAnsi="Trebuchet MS"/>
        </w:rPr>
        <w:lastRenderedPageBreak/>
        <w:t xml:space="preserve">calculations are performed in log scale. </w:t>
      </w:r>
      <w:proofErr w:type="spellStart"/>
      <w:r w:rsidRPr="00C5118A">
        <w:rPr>
          <w:rFonts w:ascii="Trebuchet MS" w:eastAsiaTheme="minorEastAsia" w:hAnsi="Trebuchet MS"/>
        </w:rPr>
        <w:t>Phred</w:t>
      </w:r>
      <w:proofErr w:type="spellEnd"/>
      <w:r w:rsidRPr="00C5118A">
        <w:rPr>
          <w:rFonts w:ascii="Trebuchet MS" w:eastAsiaTheme="minorEastAsia" w:hAnsi="Trebuchet MS"/>
        </w:rPr>
        <w:t xml:space="preserve"> scaled likelihood (PL) is calculated for the 10 possible genotypes (AA, CA, CC, CT, GA, GC, GG, GT, TA, TT) using the posterior probability of the genotype (\ref{eq:6}):</w:t>
      </w:r>
    </w:p>
    <w:p w14:paraId="6027689D" w14:textId="77777777" w:rsidR="004A5800" w:rsidRPr="00C5118A" w:rsidRDefault="004A5800" w:rsidP="004A5800">
      <w:pPr>
        <w:rPr>
          <w:rFonts w:ascii="Trebuchet MS" w:eastAsiaTheme="minorEastAsia" w:hAnsi="Trebuchet MS"/>
        </w:rPr>
      </w:pPr>
    </w:p>
    <w:p w14:paraId="62E526C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\label{eq:6}</w:t>
      </w:r>
    </w:p>
    <w:p w14:paraId="0C0D6EA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PL} = -10\log_{10}P(G|D) </w:t>
      </w:r>
    </w:p>
    <w:p w14:paraId="7A5B6FC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20DD424D" w14:textId="77777777" w:rsidR="004A5800" w:rsidRPr="00C5118A" w:rsidRDefault="004A5800" w:rsidP="004A5800">
      <w:pPr>
        <w:rPr>
          <w:rFonts w:ascii="Trebuchet MS" w:eastAsiaTheme="minorEastAsia" w:hAnsi="Trebuchet MS"/>
        </w:rPr>
      </w:pPr>
    </w:p>
    <w:p w14:paraId="63453F3D"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and PL for each genotype is normalised using the lowest PL (\ref{eq:7}).</w:t>
      </w:r>
    </w:p>
    <w:p w14:paraId="7297FAFF" w14:textId="77777777" w:rsidR="004A5800" w:rsidRPr="00C5118A" w:rsidRDefault="004A5800" w:rsidP="004A5800">
      <w:pPr>
        <w:rPr>
          <w:rFonts w:ascii="Trebuchet MS" w:eastAsiaTheme="minorEastAsia" w:hAnsi="Trebuchet MS"/>
        </w:rPr>
      </w:pPr>
    </w:p>
    <w:p w14:paraId="4B8501C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\label{eq:7}</w:t>
      </w:r>
    </w:p>
    <w:p w14:paraId="48A2BE0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text{</w:t>
      </w:r>
      <w:proofErr w:type="gramEnd"/>
      <w:r w:rsidRPr="00C5118A">
        <w:rPr>
          <w:rFonts w:ascii="Trebuchet MS" w:eastAsiaTheme="minorEastAsia" w:hAnsi="Trebuchet MS"/>
        </w:rPr>
        <w:t>normalised PL} = [\text{PL}_{</w:t>
      </w:r>
      <w:proofErr w:type="spellStart"/>
      <w:r w:rsidRPr="00C5118A">
        <w:rPr>
          <w:rFonts w:ascii="Trebuchet MS" w:eastAsiaTheme="minorEastAsia" w:hAnsi="Trebuchet MS"/>
        </w:rPr>
        <w:t>i</w:t>
      </w:r>
      <w:proofErr w:type="spellEnd"/>
      <w:r w:rsidRPr="00C5118A">
        <w:rPr>
          <w:rFonts w:ascii="Trebuchet MS" w:eastAsiaTheme="minorEastAsia" w:hAnsi="Trebuchet MS"/>
        </w:rPr>
        <w:t>}, \text{PL}_{i+1}, \</w:t>
      </w:r>
      <w:proofErr w:type="spellStart"/>
      <w:r w:rsidRPr="00C5118A">
        <w:rPr>
          <w:rFonts w:ascii="Trebuchet MS" w:eastAsiaTheme="minorEastAsia" w:hAnsi="Trebuchet MS"/>
        </w:rPr>
        <w:t>ldots</w:t>
      </w:r>
      <w:proofErr w:type="spellEnd"/>
      <w:r w:rsidRPr="00C5118A">
        <w:rPr>
          <w:rFonts w:ascii="Trebuchet MS" w:eastAsiaTheme="minorEastAsia" w:hAnsi="Trebuchet MS"/>
        </w:rPr>
        <w:t>, \text{PL}_{10}] - \text{PL}_{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266036D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542456A1" w14:textId="77777777" w:rsidR="004A5800" w:rsidRPr="00C5118A" w:rsidRDefault="004A5800" w:rsidP="004A5800">
      <w:pPr>
        <w:rPr>
          <w:rFonts w:ascii="Trebuchet MS" w:eastAsiaTheme="minorEastAsia" w:hAnsi="Trebuchet MS"/>
        </w:rPr>
      </w:pPr>
    </w:p>
    <w:p w14:paraId="111C42BF"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PL is assumed to be sorted from the smallest to the largest. The genotype with the lowest PL is selected as the germline genotype. Genotype quality (GQ) score of the selected germline genotype is the difference between the second lowest normalised PL and the lowest normalised PL. If the data only provides evidence for a germline mutation, the next SBS is then considered for somatic mutation detection. If the data support the presence of both a germline mutation and a somatic mutation candidate, </w:t>
      </w:r>
      <w:proofErr w:type="gramStart"/>
      <w:r w:rsidRPr="00C5118A">
        <w:rPr>
          <w:rFonts w:ascii="Trebuchet MS" w:eastAsiaTheme="minorEastAsia" w:hAnsi="Trebuchet MS"/>
        </w:rPr>
        <w:t>a number of</w:t>
      </w:r>
      <w:proofErr w:type="gramEnd"/>
      <w:r w:rsidRPr="00C5118A">
        <w:rPr>
          <w:rFonts w:ascii="Trebuchet MS" w:eastAsiaTheme="minorEastAsia" w:hAnsi="Trebuchet MS"/>
        </w:rPr>
        <w:t xml:space="preserve"> conservative hard filters are subsequently applied to distinguish somatic mutations from errors:</w:t>
      </w:r>
    </w:p>
    <w:p w14:paraId="04394E37" w14:textId="77777777" w:rsidR="004A5800" w:rsidRPr="00C5118A" w:rsidRDefault="004A5800" w:rsidP="004A5800">
      <w:pPr>
        <w:rPr>
          <w:rFonts w:ascii="Trebuchet MS" w:eastAsiaTheme="minorEastAsia" w:hAnsi="Trebuchet MS"/>
        </w:rPr>
      </w:pPr>
    </w:p>
    <w:p w14:paraId="257A49A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{enumerate}</w:t>
      </w:r>
    </w:p>
    <w:p w14:paraId="5F67816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If the germline mutation is a heterozygous, heterozygous alternative or homozygous alternative allele, somatic mutation candidate is excluded from the downstream analysis as somatic reversions are not considered. Somatic mutation detection, hence, is restricted to a locus with homozygous reference allele to prevent the misclassification of heterozygous mutation as a somatic mutation.</w:t>
      </w:r>
    </w:p>
    <w:p w14:paraId="20DD079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GQ score for the homozygous reference allele needs to be above the minimum GQ score threshold.</w:t>
      </w:r>
    </w:p>
    <w:p w14:paraId="5A781EC4"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BQ score of the somatic mutation candidate needs to be above the minimum BQ score threshold.</w:t>
      </w:r>
    </w:p>
    <w:p w14:paraId="4D411DE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Indels must be absent from the SBS locus.</w:t>
      </w:r>
    </w:p>
    <w:p w14:paraId="56259C9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read depth of the target locus needs to be below the maximum depth threshold.</w:t>
      </w:r>
    </w:p>
    <w:p w14:paraId="7BF5D72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reference allele count and the alternative allele count need to be above the minimum reference allele and alternative allele count. This condition is not required if the sample has sufficient sequence coverage as the GQ score is positively correlated with sequence coverage.</w:t>
      </w:r>
    </w:p>
    <w:p w14:paraId="214BBB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CCS reads with adapter sequences might still be present in the BAM file and misalignment of residual adapter sequences might generate somatic mutation candidates. Therefore, candidates located near start and ends of reads are filtered as specified with the minimum trimming parameter.  </w:t>
      </w:r>
    </w:p>
    <w:p w14:paraId="716F753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item</w:t>
      </w:r>
      <w:proofErr w:type="gramEnd"/>
      <w:r w:rsidRPr="00C5118A">
        <w:rPr>
          <w:rFonts w:ascii="Trebuchet MS" w:eastAsiaTheme="minorEastAsia" w:hAnsi="Trebuchet MS"/>
        </w:rPr>
        <w:t xml:space="preserve"> The number of mismatches adjacent to the candidate needs to be below the maximum mismatch count threshold within a given mismatch window as an alignment error can be mistaken as a somatic mutation. </w:t>
      </w:r>
    </w:p>
    <w:p w14:paraId="5BF0BA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{enumerate}</w:t>
      </w:r>
    </w:p>
    <w:p w14:paraId="3D2E27E5" w14:textId="77777777" w:rsidR="004A5800" w:rsidRPr="00C5118A" w:rsidRDefault="004A5800" w:rsidP="004A5800">
      <w:pPr>
        <w:rPr>
          <w:rFonts w:ascii="Trebuchet MS" w:eastAsiaTheme="minorEastAsia" w:hAnsi="Trebuchet MS"/>
        </w:rPr>
      </w:pPr>
    </w:p>
    <w:p w14:paraId="2EBD4CA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A VCF file with common SNPs (&gt;1\% major allele frequencies) and a Panel of Normal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can also be optionally provided to exclude somatic mutation candidates potentially resulting from DNA contamination and systematic bioinformatics error, respectively. In addition, a VCF file with haplotype-phased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can be provided to limit somatic mutation detection from haplotype phased CCS reads. Here,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default parameters (</w:t>
      </w:r>
      <w:proofErr w:type="gramStart"/>
      <w:r w:rsidRPr="00C5118A">
        <w:rPr>
          <w:rFonts w:ascii="Trebuchet MS" w:eastAsiaTheme="minorEastAsia" w:hAnsi="Trebuchet MS"/>
        </w:rPr>
        <w:t>-{</w:t>
      </w:r>
      <w:proofErr w:type="gramEnd"/>
      <w:r w:rsidRPr="00C5118A">
        <w:rPr>
          <w:rFonts w:ascii="Trebuchet MS" w:eastAsiaTheme="minorEastAsia" w:hAnsi="Trebuchet MS"/>
        </w:rPr>
        <w:t>}-min\_qv 30 -{}-min\_sequence\_identity 0.99 -{}-min\_</w:t>
      </w:r>
      <w:proofErr w:type="spellStart"/>
      <w:r w:rsidRPr="00C5118A">
        <w:rPr>
          <w:rFonts w:ascii="Trebuchet MS" w:eastAsiaTheme="minorEastAsia" w:hAnsi="Trebuchet MS"/>
        </w:rPr>
        <w:t>gq</w:t>
      </w:r>
      <w:proofErr w:type="spellEnd"/>
      <w:r w:rsidRPr="00C5118A">
        <w:rPr>
          <w:rFonts w:ascii="Trebuchet MS" w:eastAsiaTheme="minorEastAsia" w:hAnsi="Trebuchet MS"/>
        </w:rPr>
        <w:t xml:space="preserve"> 20 -{}-min\_</w:t>
      </w:r>
      <w:proofErr w:type="spellStart"/>
      <w:r w:rsidRPr="00C5118A">
        <w:rPr>
          <w:rFonts w:ascii="Trebuchet MS" w:eastAsiaTheme="minorEastAsia" w:hAnsi="Trebuchet MS"/>
        </w:rPr>
        <w:t>bq</w:t>
      </w:r>
      <w:proofErr w:type="spellEnd"/>
      <w:r w:rsidRPr="00C5118A">
        <w:rPr>
          <w:rFonts w:ascii="Trebuchet MS" w:eastAsiaTheme="minorEastAsia" w:hAnsi="Trebuchet MS"/>
        </w:rPr>
        <w:t xml:space="preserve"> 93 -{}-min\_trim 0.01 -{}-min\_ref\_count 3 -{}-min\_alt\_count 1 -{}-min\_hap\_count 3 -{}-mismatch\_window 20 -{}-max\_mismatch\_count 0) were used for the identification of unphased and haplotype phased somatic mutation. As sex chromosomes are enriched for misassembled regions and repetitive sequences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somatic mutation detection was restricted to the autosomes. To process BAM, FASTA/Q and VCF files,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internally uses </w:t>
      </w:r>
      <w:proofErr w:type="spellStart"/>
      <w:r w:rsidRPr="00C5118A">
        <w:rPr>
          <w:rFonts w:ascii="Trebuchet MS" w:eastAsiaTheme="minorEastAsia" w:hAnsi="Trebuchet MS"/>
        </w:rPr>
        <w:t>pysam</w:t>
      </w:r>
      <w:proofErr w:type="spellEnd"/>
      <w:r w:rsidRPr="00C5118A">
        <w:rPr>
          <w:rFonts w:ascii="Trebuchet MS" w:eastAsiaTheme="minorEastAsia" w:hAnsi="Trebuchet MS"/>
        </w:rPr>
        <w:t xml:space="preserve"> \cite{</w:t>
      </w:r>
      <w:proofErr w:type="spellStart"/>
      <w:r w:rsidRPr="00C5118A">
        <w:rPr>
          <w:rFonts w:ascii="Trebuchet MS" w:eastAsiaTheme="minorEastAsia" w:hAnsi="Trebuchet MS"/>
        </w:rPr>
        <w:t>pysam</w:t>
      </w:r>
      <w:proofErr w:type="spellEnd"/>
      <w:r w:rsidRPr="00C5118A">
        <w:rPr>
          <w:rFonts w:ascii="Trebuchet MS" w:eastAsiaTheme="minorEastAsia" w:hAnsi="Trebuchet MS"/>
        </w:rPr>
        <w:t xml:space="preserve">}, </w:t>
      </w:r>
      <w:proofErr w:type="spellStart"/>
      <w:r w:rsidRPr="00C5118A">
        <w:rPr>
          <w:rFonts w:ascii="Trebuchet MS" w:eastAsiaTheme="minorEastAsia" w:hAnsi="Trebuchet MS"/>
        </w:rPr>
        <w:t>pyfastx</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Du2021-ya} and cyvcf2 \cite{Pedersen2017-ld}, respectively. In addition, multiprocessing Python package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was used to enable parallel processing of each chromosomes. </w:t>
      </w:r>
    </w:p>
    <w:p w14:paraId="2F32F2BF" w14:textId="77777777" w:rsidR="004A5800" w:rsidRPr="00C5118A" w:rsidRDefault="004A5800" w:rsidP="004A5800">
      <w:pPr>
        <w:rPr>
          <w:rFonts w:ascii="Trebuchet MS" w:eastAsiaTheme="minorEastAsia" w:hAnsi="Trebuchet MS"/>
        </w:rPr>
      </w:pPr>
    </w:p>
    <w:p w14:paraId="50974CD2"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Panel of Normal construction}</w:t>
      </w:r>
    </w:p>
    <w:p w14:paraId="576B0069" w14:textId="77777777" w:rsidR="004A5800" w:rsidRPr="00C5118A" w:rsidRDefault="004A5800" w:rsidP="004A5800">
      <w:pPr>
        <w:rPr>
          <w:rFonts w:ascii="Trebuchet MS" w:eastAsiaTheme="minorEastAsia" w:hAnsi="Trebuchet MS"/>
        </w:rPr>
      </w:pPr>
    </w:p>
    <w:p w14:paraId="3EFB9A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I created a Panel of Normal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file from 11 normal individuals with publicly available CCS dataset (Table X) to reduce number of false positives arising from systematic bioinformatics errors. We ran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with relaxed parameters (</w:t>
      </w:r>
      <w:proofErr w:type="gramStart"/>
      <w:r w:rsidRPr="00C5118A">
        <w:rPr>
          <w:rFonts w:ascii="Trebuchet MS" w:eastAsiaTheme="minorEastAsia" w:hAnsi="Trebuchet MS"/>
        </w:rPr>
        <w:t>-{</w:t>
      </w:r>
      <w:proofErr w:type="gramEnd"/>
      <w:r w:rsidRPr="00C5118A">
        <w:rPr>
          <w:rFonts w:ascii="Trebuchet MS" w:eastAsiaTheme="minorEastAsia" w:hAnsi="Trebuchet MS"/>
        </w:rPr>
        <w:t>}-min\_</w:t>
      </w:r>
      <w:proofErr w:type="spellStart"/>
      <w:r w:rsidRPr="00C5118A">
        <w:rPr>
          <w:rFonts w:ascii="Trebuchet MS" w:eastAsiaTheme="minorEastAsia" w:hAnsi="Trebuchet MS"/>
        </w:rPr>
        <w:t>mapq</w:t>
      </w:r>
      <w:proofErr w:type="spellEnd"/>
      <w:r w:rsidRPr="00C5118A">
        <w:rPr>
          <w:rFonts w:ascii="Trebuchet MS" w:eastAsiaTheme="minorEastAsia" w:hAnsi="Trebuchet MS"/>
        </w:rPr>
        <w:t xml:space="preserve"> 30 –{}-min\_trim 0 –{}-min\_sequence\_identity = 0.8 –{}-min\_</w:t>
      </w:r>
      <w:proofErr w:type="spellStart"/>
      <w:r w:rsidRPr="00C5118A">
        <w:rPr>
          <w:rFonts w:ascii="Trebuchet MS" w:eastAsiaTheme="minorEastAsia" w:hAnsi="Trebuchet MS"/>
        </w:rPr>
        <w:t>hq</w:t>
      </w:r>
      <w:proofErr w:type="spellEnd"/>
      <w:r w:rsidRPr="00C5118A">
        <w:rPr>
          <w:rFonts w:ascii="Trebuchet MS" w:eastAsiaTheme="minorEastAsia" w:hAnsi="Trebuchet MS"/>
        </w:rPr>
        <w:t>\_base\_proportion 0.3 –{}-min\_alignment\_proportion 0.5 –{}-min\_</w:t>
      </w:r>
      <w:proofErr w:type="spellStart"/>
      <w:r w:rsidRPr="00C5118A">
        <w:rPr>
          <w:rFonts w:ascii="Trebuchet MS" w:eastAsiaTheme="minorEastAsia" w:hAnsi="Trebuchet MS"/>
        </w:rPr>
        <w:t>bq</w:t>
      </w:r>
      <w:proofErr w:type="spellEnd"/>
      <w:r w:rsidRPr="00C5118A">
        <w:rPr>
          <w:rFonts w:ascii="Trebuchet MS" w:eastAsiaTheme="minorEastAsia" w:hAnsi="Trebuchet MS"/>
        </w:rPr>
        <w:t xml:space="preserve"> = 20) to maximise the number of mutations called from these samples. The number of samples in the </w:t>
      </w:r>
      <w:proofErr w:type="spellStart"/>
      <w:r w:rsidRPr="00C5118A">
        <w:rPr>
          <w:rFonts w:ascii="Trebuchet MS" w:eastAsiaTheme="minorEastAsia" w:hAnsi="Trebuchet MS"/>
        </w:rPr>
        <w:t>PoN</w:t>
      </w:r>
      <w:proofErr w:type="spellEnd"/>
      <w:r w:rsidRPr="00C5118A">
        <w:rPr>
          <w:rFonts w:ascii="Trebuchet MS" w:eastAsiaTheme="minorEastAsia" w:hAnsi="Trebuchet MS"/>
        </w:rPr>
        <w:t xml:space="preserve"> VCF is currently limited to the number of publicly available CCS dataset. As the number of CCS sequenced samples increases, the power to distinguish errors from somatic mutations will also increase in the future.  </w:t>
      </w:r>
    </w:p>
    <w:p w14:paraId="5553CF1B" w14:textId="77777777" w:rsidR="004A5800" w:rsidRPr="00C5118A" w:rsidRDefault="004A5800" w:rsidP="004A5800">
      <w:pPr>
        <w:rPr>
          <w:rFonts w:ascii="Trebuchet MS" w:eastAsiaTheme="minorEastAsia" w:hAnsi="Trebuchet MS"/>
          <w:b/>
          <w:bCs/>
        </w:rPr>
      </w:pPr>
    </w:p>
    <w:p w14:paraId="0B3D1BB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Germline mutation haplotype phasing}</w:t>
      </w:r>
    </w:p>
    <w:p w14:paraId="425D44AD" w14:textId="77777777" w:rsidR="004A5800" w:rsidRPr="00C5118A" w:rsidRDefault="004A5800" w:rsidP="004A5800">
      <w:pPr>
        <w:rPr>
          <w:rFonts w:ascii="Trebuchet MS" w:eastAsiaTheme="minorEastAsia" w:hAnsi="Trebuchet MS"/>
        </w:rPr>
      </w:pPr>
    </w:p>
    <w:p w14:paraId="0F206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A haplotype is defined as a group of genetic variations that are inherited together from a single parent. I treat haplotype phasing as a graph algorithm problem where each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a node in a graph and there is an edge between a pair of </w:t>
      </w:r>
      <w:proofErr w:type="gramStart"/>
      <w:r w:rsidRPr="00C5118A">
        <w:rPr>
          <w:rFonts w:ascii="Trebuchet MS" w:eastAsiaTheme="minorEastAsia" w:hAnsi="Trebuchet MS"/>
        </w:rPr>
        <w:t>haplotype</w:t>
      </w:r>
      <w:proofErr w:type="gramEnd"/>
      <w:r w:rsidRPr="00C5118A">
        <w:rPr>
          <w:rFonts w:ascii="Trebuchet MS" w:eastAsiaTheme="minorEastAsia" w:hAnsi="Trebuchet MS"/>
        </w:rPr>
        <w:t xml:space="preserve"> consistent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 single CCS read spans multiple heterozygous SNPs and evidence from multiple CCS reads can determine whether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haplotype consistent (p &lt; 0.0001, one-sided binomial test) (Figure\</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If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is haplotype consistent, a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exists in cis configuration or trans configuration (Figure\</w:t>
      </w:r>
      <w:proofErr w:type="gramStart"/>
      <w:r w:rsidRPr="00C5118A">
        <w:rPr>
          <w:rFonts w:ascii="Trebuchet MS" w:eastAsiaTheme="minorEastAsia" w:hAnsi="Trebuchet MS"/>
        </w:rPr>
        <w:t>ref{</w:t>
      </w:r>
      <w:proofErr w:type="gramEnd"/>
      <w:r w:rsidRPr="00C5118A">
        <w:rPr>
          <w:rFonts w:ascii="Trebuchet MS" w:eastAsiaTheme="minorEastAsia" w:hAnsi="Trebuchet MS"/>
        </w:rPr>
        <w:t xml:space="preserve">}). A haplotype inconsistent pair of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results from non-biological sources. Haplotype consistency is measured between all possible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pairs and </w:t>
      </w:r>
      <w:proofErr w:type="spellStart"/>
      <w:r w:rsidRPr="00C5118A">
        <w:rPr>
          <w:rFonts w:ascii="Trebuchet MS" w:eastAsiaTheme="minorEastAsia" w:hAnsi="Trebuchet MS"/>
        </w:rPr>
        <w:t>hetSNP</w:t>
      </w:r>
      <w:proofErr w:type="spellEnd"/>
      <w:r w:rsidRPr="00C5118A">
        <w:rPr>
          <w:rFonts w:ascii="Trebuchet MS" w:eastAsiaTheme="minorEastAsia" w:hAnsi="Trebuchet MS"/>
        </w:rPr>
        <w:t xml:space="preserve"> that is haplotype consistent with at least 20\% of its possible pairs is connected through breadth-first search algorithm to construct contiguous haplotype blocks.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accepts as input VCF file with germline mutations and returns a VCF file with haplotype-phased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w:t>
      </w:r>
    </w:p>
    <w:p w14:paraId="69AB3F27" w14:textId="77777777" w:rsidR="004A5800" w:rsidRPr="00C5118A" w:rsidRDefault="004A5800" w:rsidP="004A5800">
      <w:pPr>
        <w:rPr>
          <w:rFonts w:ascii="Trebuchet MS" w:eastAsiaTheme="minorEastAsia" w:hAnsi="Trebuchet MS"/>
        </w:rPr>
      </w:pPr>
    </w:p>
    <w:p w14:paraId="69A2B659"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Haplotype phased somatic mutation detection}</w:t>
      </w:r>
    </w:p>
    <w:p w14:paraId="223A65DA" w14:textId="77777777" w:rsidR="004A5800" w:rsidRPr="00C5118A" w:rsidRDefault="004A5800" w:rsidP="004A5800">
      <w:pPr>
        <w:rPr>
          <w:rFonts w:ascii="Trebuchet MS" w:eastAsiaTheme="minorEastAsia" w:hAnsi="Trebuchet MS"/>
        </w:rPr>
      </w:pPr>
    </w:p>
    <w:p w14:paraId="356216C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CCS reads are assigned to a haplotype block to enable haplotype-phased somatic mutation detection. To be allocated to a haplotype block, a CCS read must be within a haplotype block (and not between two haplotype blocks) and have </w:t>
      </w:r>
      <w:r w:rsidRPr="00C5118A">
        <w:rPr>
          <w:rFonts w:ascii="Trebuchet MS" w:eastAsiaTheme="minorEastAsia" w:hAnsi="Trebuchet MS"/>
        </w:rPr>
        <w:lastRenderedPageBreak/>
        <w:t xml:space="preserve">haplotype identical to the consensus haplotype as defined in the haplotype block. In essence, somatic mutations are not phased through adjacent </w:t>
      </w:r>
      <w:proofErr w:type="spellStart"/>
      <w:proofErr w:type="gramStart"/>
      <w:r w:rsidRPr="00C5118A">
        <w:rPr>
          <w:rFonts w:ascii="Trebuchet MS" w:eastAsiaTheme="minorEastAsia" w:hAnsi="Trebuchet MS"/>
        </w:rPr>
        <w:t>hetSNPs</w:t>
      </w:r>
      <w:proofErr w:type="spellEnd"/>
      <w:proofErr w:type="gramEnd"/>
      <w:r w:rsidRPr="00C5118A">
        <w:rPr>
          <w:rFonts w:ascii="Trebuchet MS" w:eastAsiaTheme="minorEastAsia" w:hAnsi="Trebuchet MS"/>
        </w:rPr>
        <w:t xml:space="preserve"> and instead phased CCS reads are used for somatic mutation detection. In addition, haplotype counts from the wild type CCS reads without the somatic mutation need to be above the minimum haplotype count threshold to select regions where both haplotypes have been sampled sufficiently and to prevent misclassification of </w:t>
      </w:r>
      <w:proofErr w:type="spellStart"/>
      <w:r w:rsidRPr="00C5118A">
        <w:rPr>
          <w:rFonts w:ascii="Trebuchet MS" w:eastAsiaTheme="minorEastAsia" w:hAnsi="Trebuchet MS"/>
        </w:rPr>
        <w:t>hetSNPs</w:t>
      </w:r>
      <w:proofErr w:type="spellEnd"/>
      <w:r w:rsidRPr="00C5118A">
        <w:rPr>
          <w:rFonts w:ascii="Trebuchet MS" w:eastAsiaTheme="minorEastAsia" w:hAnsi="Trebuchet MS"/>
        </w:rPr>
        <w:t xml:space="preserve"> as somatic mutations.</w:t>
      </w:r>
    </w:p>
    <w:p w14:paraId="0F111EE0" w14:textId="77777777" w:rsidR="004A5800" w:rsidRPr="00C5118A" w:rsidRDefault="004A5800" w:rsidP="004A5800">
      <w:pPr>
        <w:rPr>
          <w:rFonts w:ascii="Trebuchet MS" w:eastAsiaTheme="minorEastAsia" w:hAnsi="Trebuchet MS"/>
        </w:rPr>
      </w:pPr>
    </w:p>
    <w:p w14:paraId="1EDA2289" w14:textId="77777777" w:rsidR="004A5800" w:rsidRPr="00C5118A" w:rsidRDefault="004A5800" w:rsidP="004A5800">
      <w:pPr>
        <w:rPr>
          <w:rFonts w:ascii="Trebuchet MS" w:hAnsi="Trebuchet MS"/>
        </w:rPr>
      </w:pPr>
      <w:r w:rsidRPr="00C5118A">
        <w:rPr>
          <w:rFonts w:ascii="Trebuchet MS" w:hAnsi="Trebuchet MS"/>
          <w:b/>
          <w:bCs/>
          <w:color w:val="000000"/>
        </w:rPr>
        <w:t>\</w:t>
      </w:r>
      <w:proofErr w:type="gramStart"/>
      <w:r w:rsidRPr="00C5118A">
        <w:rPr>
          <w:rFonts w:ascii="Trebuchet MS" w:hAnsi="Trebuchet MS"/>
          <w:b/>
          <w:bCs/>
          <w:color w:val="000000"/>
        </w:rPr>
        <w:t>subsection{</w:t>
      </w:r>
      <w:proofErr w:type="gramEnd"/>
      <w:r w:rsidRPr="00C5118A">
        <w:rPr>
          <w:rFonts w:ascii="Trebuchet MS" w:hAnsi="Trebuchet MS"/>
          <w:b/>
          <w:bCs/>
          <w:color w:val="000000"/>
        </w:rPr>
        <w:t>Somatic mutation count normalisation}</w:t>
      </w:r>
    </w:p>
    <w:p w14:paraId="316BAD3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normalise the number of substitutions per trinucleotide sequence context, the SBS96 classification system and the same conditions as somatic mutation detection is used to the calculate of the number of callable reference and CCS bases. I would like to highlight that only the reference bases where homozygous reference allele has been called without an indel will considered as a callable reference base. </w:t>
      </w:r>
    </w:p>
    <w:p w14:paraId="0AE13A2E" w14:textId="77777777" w:rsidR="004A5800" w:rsidRPr="00C5118A" w:rsidRDefault="004A5800" w:rsidP="004A5800">
      <w:pPr>
        <w:rPr>
          <w:rFonts w:ascii="Trebuchet MS" w:eastAsiaTheme="minorEastAsia" w:hAnsi="Trebuchet MS"/>
        </w:rPr>
      </w:pPr>
    </w:p>
    <w:p w14:paraId="7D819B59"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Under the SBS96 classification, SBS is categorised according to 6 possible substitution types in the pyrimidine context (C&gt;A, C&gt;G, C&gt;T, T&gt;A, T&gt;C and T&gt;G) and 16 possible trinucleotide sequence context derived from the 4 possible bases upstream and downstream of the substitution. </w:t>
      </w:r>
    </w:p>
    <w:p w14:paraId="70319EB7" w14:textId="77777777" w:rsidR="004A5800" w:rsidRPr="00C5118A" w:rsidRDefault="004A5800" w:rsidP="004A5800">
      <w:pPr>
        <w:rPr>
          <w:rFonts w:ascii="Trebuchet MS" w:eastAsiaTheme="minorEastAsia" w:hAnsi="Trebuchet MS"/>
        </w:rPr>
      </w:pPr>
    </w:p>
    <w:p w14:paraId="3AA2B63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frequency of each trinucleotide is calculated for the reference $f^{g}_{</w:t>
      </w:r>
      <w:proofErr w:type="spellStart"/>
      <w:r w:rsidRPr="00C5118A">
        <w:rPr>
          <w:rFonts w:ascii="Trebuchet MS" w:eastAsiaTheme="minorEastAsia" w:hAnsi="Trebuchet MS"/>
        </w:rPr>
        <w:t>i</w:t>
      </w:r>
      <w:proofErr w:type="spellEnd"/>
      <w:r w:rsidRPr="00C5118A">
        <w:rPr>
          <w:rFonts w:ascii="Trebuchet MS" w:eastAsiaTheme="minorEastAsia" w:hAnsi="Trebuchet MS"/>
        </w:rPr>
        <w:t>}$, callable reference $f^{g_{\text{callable}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 and callable CCS $f^{\text{CCS}}_{</w:t>
      </w:r>
      <w:proofErr w:type="spellStart"/>
      <w:r w:rsidRPr="00C5118A">
        <w:rPr>
          <w:rFonts w:ascii="Trebuchet MS" w:eastAsiaTheme="minorEastAsia" w:hAnsi="Trebuchet MS"/>
        </w:rPr>
        <w:t>i</w:t>
      </w:r>
      <w:proofErr w:type="spellEnd"/>
      <w:r w:rsidRPr="00C5118A">
        <w:rPr>
          <w:rFonts w:ascii="Trebuchet MS" w:eastAsiaTheme="minorEastAsia" w:hAnsi="Trebuchet MS"/>
        </w:rPr>
        <w:t xml:space="preserve">}$ bases from the reference genome FASTA file, the number of callable reference bases and the number of callable CCS bases, respectively (eq. \ref{eq:8}). </w:t>
      </w:r>
    </w:p>
    <w:p w14:paraId="0F350678" w14:textId="77777777" w:rsidR="004A5800" w:rsidRPr="00C5118A" w:rsidRDefault="004A5800" w:rsidP="004A5800">
      <w:pPr>
        <w:rPr>
          <w:rFonts w:ascii="Trebuchet MS" w:eastAsiaTheme="minorEastAsia" w:hAnsi="Trebuchet MS"/>
        </w:rPr>
      </w:pPr>
    </w:p>
    <w:p w14:paraId="0045DCB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\label{eq:8}</w:t>
      </w:r>
    </w:p>
    <w:p w14:paraId="13306DD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f_{</w:t>
      </w:r>
      <w:proofErr w:type="spellStart"/>
      <w:r w:rsidRPr="00C5118A">
        <w:rPr>
          <w:rFonts w:ascii="Trebuchet MS" w:eastAsiaTheme="minorEastAsia" w:hAnsi="Trebuchet MS"/>
        </w:rPr>
        <w:t>i</w:t>
      </w:r>
      <w:proofErr w:type="spellEnd"/>
      <w:r w:rsidRPr="00C5118A">
        <w:rPr>
          <w:rFonts w:ascii="Trebuchet MS" w:eastAsiaTheme="minorEastAsia" w:hAnsi="Trebuchet MS"/>
        </w:rPr>
        <w:t>} = \frac{t_{</w:t>
      </w:r>
      <w:proofErr w:type="spellStart"/>
      <w:r w:rsidRPr="00C5118A">
        <w:rPr>
          <w:rFonts w:ascii="Trebuchet MS" w:eastAsiaTheme="minorEastAsia" w:hAnsi="Trebuchet MS"/>
        </w:rPr>
        <w:t>i</w:t>
      </w:r>
      <w:proofErr w:type="spellEnd"/>
      <w:proofErr w:type="gramStart"/>
      <w:r w:rsidRPr="00C5118A">
        <w:rPr>
          <w:rFonts w:ascii="Trebuchet MS" w:eastAsiaTheme="minorEastAsia" w:hAnsi="Trebuchet MS"/>
        </w:rPr>
        <w:t>}}{</w:t>
      </w:r>
      <w:proofErr w:type="gramEnd"/>
      <w:r w:rsidRPr="00C5118A">
        <w:rPr>
          <w:rFonts w:ascii="Trebuchet MS" w:eastAsiaTheme="minorEastAsia" w:hAnsi="Trebuchet MS"/>
        </w:rPr>
        <w:t>\sum^{32}_{</w:t>
      </w:r>
      <w:proofErr w:type="spellStart"/>
      <w:r w:rsidRPr="00C5118A">
        <w:rPr>
          <w:rFonts w:ascii="Trebuchet MS" w:eastAsiaTheme="minorEastAsia" w:hAnsi="Trebuchet MS"/>
        </w:rPr>
        <w:t>i</w:t>
      </w:r>
      <w:proofErr w:type="spellEnd"/>
      <w:r w:rsidRPr="00C5118A">
        <w:rPr>
          <w:rFonts w:ascii="Trebuchet MS" w:eastAsiaTheme="minorEastAsia" w:hAnsi="Trebuchet MS"/>
        </w:rPr>
        <w:t>=1} t_{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43F3588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9991A4E" w14:textId="77777777" w:rsidR="004A5800" w:rsidRPr="00C5118A" w:rsidRDefault="004A5800" w:rsidP="004A5800">
      <w:pPr>
        <w:rPr>
          <w:rFonts w:ascii="Trebuchet MS" w:eastAsiaTheme="minorEastAsia" w:hAnsi="Trebuchet MS"/>
        </w:rPr>
      </w:pPr>
    </w:p>
    <w:p w14:paraId="319302C5"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$t$ denote a specific trinucleotide. There are 32 possible trinucleotide sequence contexts where pyrimidine is the middle base. </w:t>
      </w:r>
    </w:p>
    <w:p w14:paraId="6FDE10A3" w14:textId="77777777" w:rsidR="004A5800" w:rsidRPr="00C5118A" w:rsidRDefault="004A5800" w:rsidP="004A5800">
      <w:pPr>
        <w:rPr>
          <w:rFonts w:ascii="Trebuchet MS" w:eastAsiaTheme="minorEastAsia" w:hAnsi="Trebuchet MS"/>
        </w:rPr>
      </w:pPr>
    </w:p>
    <w:p w14:paraId="35312B9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number of somatic mutations is, thereafter, normalised with the ratio of reference to callable reference trinucleotide frequency and the ratio of callable reference and callable CCS base trinucleotide frequency according to the substitution and the trinucleotide sequence context. ACA&gt;A somatic mutation count, for example, is normalised as follows (eq. \ref{eq:9}):</w:t>
      </w:r>
    </w:p>
    <w:p w14:paraId="3A61E266" w14:textId="77777777" w:rsidR="004A5800" w:rsidRPr="00C5118A" w:rsidRDefault="004A5800" w:rsidP="004A5800">
      <w:pPr>
        <w:rPr>
          <w:rFonts w:ascii="Trebuchet MS" w:eastAsiaTheme="minorEastAsia" w:hAnsi="Trebuchet MS"/>
        </w:rPr>
      </w:pPr>
    </w:p>
    <w:p w14:paraId="583732C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\label{eq:9}</w:t>
      </w:r>
    </w:p>
    <w:p w14:paraId="58A3E052"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S'_{\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ACA&gt;A}} = S_{\text{ACA&gt;A}} \times r^{g}_{\text{ACA}} \times r^{\text{callable}}_{\text{ACA}} </w:t>
      </w:r>
    </w:p>
    <w:p w14:paraId="21E1967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65508B3" w14:textId="77777777" w:rsidR="004A5800" w:rsidRPr="00C5118A" w:rsidRDefault="004A5800" w:rsidP="004A5800">
      <w:pPr>
        <w:rPr>
          <w:rFonts w:ascii="Trebuchet MS" w:eastAsiaTheme="minorEastAsia" w:hAnsi="Trebuchet MS"/>
        </w:rPr>
      </w:pPr>
    </w:p>
    <w:p w14:paraId="673B95D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$S'_{\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ACA&gt;A}}$ is the normalised substitution count, $S_{\text{ACA&gt;A}}$ is the raw substitution count, $r^{g}_{\text{ACA}}$ is the ratio of reference to callable reference ACA frequency and $r^{\text{callable}}_{\text{ACA}}$ is the ratio of callable reference and CCS base ACA frequency. </w:t>
      </w:r>
    </w:p>
    <w:p w14:paraId="73F038A3" w14:textId="77777777" w:rsidR="004A5800" w:rsidRPr="00C5118A" w:rsidRDefault="004A5800" w:rsidP="004A5800">
      <w:pPr>
        <w:rPr>
          <w:rFonts w:ascii="Trebuchet MS" w:eastAsiaTheme="minorEastAsia" w:hAnsi="Trebuchet MS"/>
        </w:rPr>
      </w:pPr>
    </w:p>
    <w:p w14:paraId="61B9B5C1"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lastRenderedPageBreak/>
        <w:t>The ratio of reference to callable reference trinucleotide frequency and the ratio of callable reference and CCS base trinucleotide frequency is calculated as follows (eq. \ref{eq:10}):</w:t>
      </w:r>
    </w:p>
    <w:p w14:paraId="2C7EA6B9" w14:textId="77777777" w:rsidR="004A5800" w:rsidRPr="00C5118A" w:rsidRDefault="004A5800" w:rsidP="004A5800">
      <w:pPr>
        <w:rPr>
          <w:rFonts w:ascii="Trebuchet MS" w:eastAsiaTheme="minorEastAsia" w:hAnsi="Trebuchet MS"/>
        </w:rPr>
      </w:pPr>
    </w:p>
    <w:p w14:paraId="11CED97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\label{eq:10}</w:t>
      </w:r>
    </w:p>
    <w:p w14:paraId="477A081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{align*}</w:t>
      </w:r>
    </w:p>
    <w:p w14:paraId="2F95545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r^{g}_{</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\frac{f^{g_{\text{callable}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}}{f^{g}_{</w:t>
      </w:r>
      <w:proofErr w:type="spellStart"/>
      <w:r w:rsidRPr="00C5118A">
        <w:rPr>
          <w:rFonts w:ascii="Trebuchet MS" w:eastAsiaTheme="minorEastAsia" w:hAnsi="Trebuchet MS"/>
        </w:rPr>
        <w:t>i</w:t>
      </w:r>
      <w:proofErr w:type="spellEnd"/>
      <w:r w:rsidRPr="00C5118A">
        <w:rPr>
          <w:rFonts w:ascii="Trebuchet MS" w:eastAsiaTheme="minorEastAsia" w:hAnsi="Trebuchet MS"/>
        </w:rPr>
        <w:t>}} \\ \</w:t>
      </w:r>
      <w:proofErr w:type="spellStart"/>
      <w:r w:rsidRPr="00C5118A">
        <w:rPr>
          <w:rFonts w:ascii="Trebuchet MS" w:eastAsiaTheme="minorEastAsia" w:hAnsi="Trebuchet MS"/>
        </w:rPr>
        <w:t>smallskip</w:t>
      </w:r>
      <w:proofErr w:type="spellEnd"/>
    </w:p>
    <w:p w14:paraId="0ED15C5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r^{\text{callable</w:t>
      </w:r>
      <w:proofErr w:type="gramStart"/>
      <w:r w:rsidRPr="00C5118A">
        <w:rPr>
          <w:rFonts w:ascii="Trebuchet MS" w:eastAsiaTheme="minorEastAsia" w:hAnsi="Trebuchet MS"/>
        </w:rPr>
        <w:t>}}_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 &amp;= \frac{f^{g_{\text{callable}}}_{i}}{f^{\text{CCS}_{\text{callable}}}_{i}}</w:t>
      </w:r>
    </w:p>
    <w:p w14:paraId="10D0E53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{align*}</w:t>
      </w:r>
    </w:p>
    <w:p w14:paraId="38F6B790"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6BECF2D1" w14:textId="77777777" w:rsidR="004A5800" w:rsidRPr="00C5118A" w:rsidRDefault="004A5800" w:rsidP="004A5800">
      <w:pPr>
        <w:rPr>
          <w:rFonts w:ascii="Trebuchet MS" w:eastAsiaTheme="minorEastAsia" w:hAnsi="Trebuchet MS"/>
        </w:rPr>
      </w:pPr>
    </w:p>
    <w:p w14:paraId="7C2C1E27"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Mutation burden calculation}</w:t>
      </w:r>
    </w:p>
    <w:p w14:paraId="438DC377" w14:textId="77777777" w:rsidR="004A5800" w:rsidRPr="00C5118A" w:rsidRDefault="004A5800" w:rsidP="004A5800">
      <w:pPr>
        <w:rPr>
          <w:rFonts w:ascii="Trebuchet MS" w:eastAsiaTheme="minorEastAsia" w:hAnsi="Trebuchet MS"/>
        </w:rPr>
      </w:pPr>
    </w:p>
    <w:p w14:paraId="30908B7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The somatic mutation rate is calculated for each trinucleotide sequence context from the normalised somatic mutation counts and the number of callable CCS bases (eq. \ref{eq:11})</w:t>
      </w:r>
    </w:p>
    <w:p w14:paraId="344328E7" w14:textId="77777777" w:rsidR="004A5800" w:rsidRPr="00C5118A" w:rsidRDefault="004A5800" w:rsidP="004A5800">
      <w:pPr>
        <w:rPr>
          <w:rFonts w:ascii="Trebuchet MS" w:eastAsiaTheme="minorEastAsia" w:hAnsi="Trebuchet MS"/>
        </w:rPr>
      </w:pPr>
    </w:p>
    <w:p w14:paraId="0F84E323"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\label{eq:11}</w:t>
      </w:r>
    </w:p>
    <w:p w14:paraId="780A788C"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m_{\</w:t>
      </w:r>
      <w:proofErr w:type="gramStart"/>
      <w:r w:rsidRPr="00C5118A">
        <w:rPr>
          <w:rFonts w:ascii="Trebuchet MS" w:eastAsiaTheme="minorEastAsia" w:hAnsi="Trebuchet MS"/>
        </w:rPr>
        <w:t>text{</w:t>
      </w:r>
      <w:proofErr w:type="gramEnd"/>
      <w:r w:rsidRPr="00C5118A">
        <w:rPr>
          <w:rFonts w:ascii="Trebuchet MS" w:eastAsiaTheme="minorEastAsia" w:hAnsi="Trebuchet MS"/>
        </w:rPr>
        <w:t xml:space="preserve">ACA}} = \frac{S'_{\text{ACA&gt;C}} + S'_{\text{ACA&gt;G}} + S'_{\text{ACA&gt;T}}}{t^{\text{CCS}_{\text{callable}}}_{\text{ACA}}} </w:t>
      </w:r>
    </w:p>
    <w:p w14:paraId="44BF93F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049C1D03" w14:textId="77777777" w:rsidR="004A5800" w:rsidRPr="00C5118A" w:rsidRDefault="004A5800" w:rsidP="004A5800">
      <w:pPr>
        <w:rPr>
          <w:rFonts w:ascii="Trebuchet MS" w:eastAsiaTheme="minorEastAsia" w:hAnsi="Trebuchet MS"/>
        </w:rPr>
      </w:pPr>
    </w:p>
    <w:p w14:paraId="7411AAFE"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where $m_{ACA}$ is the somatic mutation rate for the ACA trinucleotide sequence context. </w:t>
      </w:r>
    </w:p>
    <w:p w14:paraId="64D9C73C" w14:textId="77777777" w:rsidR="004A5800" w:rsidRPr="00C5118A" w:rsidRDefault="004A5800" w:rsidP="004A5800">
      <w:pPr>
        <w:rPr>
          <w:rFonts w:ascii="Trebuchet MS" w:eastAsiaTheme="minorEastAsia" w:hAnsi="Trebuchet MS"/>
        </w:rPr>
      </w:pPr>
    </w:p>
    <w:p w14:paraId="11BD3778"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To calculate the mutation burden per cell, genomic mutation burden is first calculated using the trinucleotide sequence context specific somatic mutation rate and the number of trinucleotides in the reference FASTA file and the genomic mutation burden is adjusted with the ploidy of the sample to derive the mutation burden per cell (eq. \ref{eq:12})</w:t>
      </w:r>
    </w:p>
    <w:p w14:paraId="2305B4F0" w14:textId="77777777" w:rsidR="004A5800" w:rsidRPr="00C5118A" w:rsidRDefault="004A5800" w:rsidP="004A5800">
      <w:pPr>
        <w:rPr>
          <w:rFonts w:ascii="Trebuchet MS" w:eastAsiaTheme="minorEastAsia" w:hAnsi="Trebuchet MS"/>
        </w:rPr>
      </w:pPr>
    </w:p>
    <w:p w14:paraId="2CFB137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begin</w:t>
      </w:r>
      <w:proofErr w:type="gramEnd"/>
      <w:r w:rsidRPr="00C5118A">
        <w:rPr>
          <w:rFonts w:ascii="Trebuchet MS" w:eastAsiaTheme="minorEastAsia" w:hAnsi="Trebuchet MS"/>
        </w:rPr>
        <w:t>{equation} \label{eq:12}</w:t>
      </w:r>
    </w:p>
    <w:p w14:paraId="37265927"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g_{\text{burden}} = n * (\sum^{</w:t>
      </w:r>
      <w:proofErr w:type="gramStart"/>
      <w:r w:rsidRPr="00C5118A">
        <w:rPr>
          <w:rFonts w:ascii="Trebuchet MS" w:eastAsiaTheme="minorEastAsia" w:hAnsi="Trebuchet MS"/>
        </w:rPr>
        <w:t>32}_</w:t>
      </w:r>
      <w:proofErr w:type="gramEnd"/>
      <w:r w:rsidRPr="00C5118A">
        <w:rPr>
          <w:rFonts w:ascii="Trebuchet MS" w:eastAsiaTheme="minorEastAsia" w:hAnsi="Trebuchet MS"/>
        </w:rPr>
        <w:t>{</w:t>
      </w:r>
      <w:proofErr w:type="spellStart"/>
      <w:r w:rsidRPr="00C5118A">
        <w:rPr>
          <w:rFonts w:ascii="Trebuchet MS" w:eastAsiaTheme="minorEastAsia" w:hAnsi="Trebuchet MS"/>
        </w:rPr>
        <w:t>i</w:t>
      </w:r>
      <w:proofErr w:type="spellEnd"/>
      <w:r w:rsidRPr="00C5118A">
        <w:rPr>
          <w:rFonts w:ascii="Trebuchet MS" w:eastAsiaTheme="minorEastAsia" w:hAnsi="Trebuchet MS"/>
        </w:rPr>
        <w:t>=1} m_{</w:t>
      </w:r>
      <w:proofErr w:type="spellStart"/>
      <w:r w:rsidRPr="00C5118A">
        <w:rPr>
          <w:rFonts w:ascii="Trebuchet MS" w:eastAsiaTheme="minorEastAsia" w:hAnsi="Trebuchet MS"/>
        </w:rPr>
        <w:t>i</w:t>
      </w:r>
      <w:proofErr w:type="spellEnd"/>
      <w:r w:rsidRPr="00C5118A">
        <w:rPr>
          <w:rFonts w:ascii="Trebuchet MS" w:eastAsiaTheme="minorEastAsia" w:hAnsi="Trebuchet MS"/>
        </w:rPr>
        <w:t>} * t^{g}_{</w:t>
      </w:r>
      <w:proofErr w:type="spellStart"/>
      <w:r w:rsidRPr="00C5118A">
        <w:rPr>
          <w:rFonts w:ascii="Trebuchet MS" w:eastAsiaTheme="minorEastAsia" w:hAnsi="Trebuchet MS"/>
        </w:rPr>
        <w:t>i</w:t>
      </w:r>
      <w:proofErr w:type="spellEnd"/>
      <w:r w:rsidRPr="00C5118A">
        <w:rPr>
          <w:rFonts w:ascii="Trebuchet MS" w:eastAsiaTheme="minorEastAsia" w:hAnsi="Trebuchet MS"/>
        </w:rPr>
        <w:t>})</w:t>
      </w:r>
    </w:p>
    <w:p w14:paraId="55370B5A"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t>
      </w:r>
      <w:proofErr w:type="gramStart"/>
      <w:r w:rsidRPr="00C5118A">
        <w:rPr>
          <w:rFonts w:ascii="Trebuchet MS" w:eastAsiaTheme="minorEastAsia" w:hAnsi="Trebuchet MS"/>
        </w:rPr>
        <w:t>end</w:t>
      </w:r>
      <w:proofErr w:type="gramEnd"/>
      <w:r w:rsidRPr="00C5118A">
        <w:rPr>
          <w:rFonts w:ascii="Trebuchet MS" w:eastAsiaTheme="minorEastAsia" w:hAnsi="Trebuchet MS"/>
        </w:rPr>
        <w:t>{equation}</w:t>
      </w:r>
    </w:p>
    <w:p w14:paraId="3BBB61E6" w14:textId="77777777" w:rsidR="004A5800" w:rsidRPr="00C5118A" w:rsidRDefault="004A5800" w:rsidP="004A5800">
      <w:pPr>
        <w:rPr>
          <w:rFonts w:ascii="Trebuchet MS" w:eastAsiaTheme="minorEastAsia" w:hAnsi="Trebuchet MS"/>
        </w:rPr>
      </w:pPr>
    </w:p>
    <w:p w14:paraId="1EA7851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where $n$ is the ploidy of the sample, $m_{</w:t>
      </w:r>
      <w:proofErr w:type="spellStart"/>
      <w:r w:rsidRPr="00C5118A">
        <w:rPr>
          <w:rFonts w:ascii="Trebuchet MS" w:eastAsiaTheme="minorEastAsia" w:hAnsi="Trebuchet MS"/>
        </w:rPr>
        <w:t>i</w:t>
      </w:r>
      <w:proofErr w:type="spellEnd"/>
      <w:r w:rsidRPr="00C5118A">
        <w:rPr>
          <w:rFonts w:ascii="Trebuchet MS" w:eastAsiaTheme="minorEastAsia" w:hAnsi="Trebuchet MS"/>
        </w:rPr>
        <w:t>}$ is the trinucleotide sequence context somatic mutation rate and $t^{g}_{</w:t>
      </w:r>
      <w:proofErr w:type="spellStart"/>
      <w:r w:rsidRPr="00C5118A">
        <w:rPr>
          <w:rFonts w:ascii="Trebuchet MS" w:eastAsiaTheme="minorEastAsia" w:hAnsi="Trebuchet MS"/>
        </w:rPr>
        <w:t>i</w:t>
      </w:r>
      <w:proofErr w:type="spellEnd"/>
      <w:r w:rsidRPr="00C5118A">
        <w:rPr>
          <w:rFonts w:ascii="Trebuchet MS" w:eastAsiaTheme="minorEastAsia" w:hAnsi="Trebuchet MS"/>
        </w:rPr>
        <w:t>}$ is the number of trinucleotides in the reference genome.</w:t>
      </w:r>
    </w:p>
    <w:p w14:paraId="1BAA1A67" w14:textId="77777777" w:rsidR="004A5800" w:rsidRPr="00C5118A" w:rsidRDefault="004A5800" w:rsidP="004A5800">
      <w:pPr>
        <w:rPr>
          <w:rFonts w:ascii="Trebuchet MS" w:eastAsiaTheme="minorEastAsia" w:hAnsi="Trebuchet MS"/>
        </w:rPr>
      </w:pPr>
    </w:p>
    <w:p w14:paraId="67C3A0BB"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error rate per trinucleotide sequence context}</w:t>
      </w:r>
    </w:p>
    <w:p w14:paraId="56FA126E" w14:textId="77777777" w:rsidR="004A5800" w:rsidRPr="00C5118A" w:rsidRDefault="004A5800" w:rsidP="004A5800">
      <w:pPr>
        <w:rPr>
          <w:rFonts w:ascii="Trebuchet MS" w:eastAsiaTheme="minorEastAsia" w:hAnsi="Trebuchet MS"/>
        </w:rPr>
      </w:pPr>
    </w:p>
    <w:p w14:paraId="52A1E066"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 xml:space="preserve">To calculate the substitution error rate per trinucleotide sequence context, cord blood CCS reads were regenerated with 10 full-length subreads per CCS read using </w:t>
      </w:r>
      <w:proofErr w:type="spellStart"/>
      <w:r w:rsidRPr="00C5118A">
        <w:rPr>
          <w:rFonts w:ascii="Trebuchet MS" w:eastAsiaTheme="minorEastAsia" w:hAnsi="Trebuchet MS"/>
        </w:rPr>
        <w:t>pbccs</w:t>
      </w:r>
      <w:proofErr w:type="spellEnd"/>
      <w:r w:rsidRPr="00C5118A">
        <w:rPr>
          <w:rFonts w:ascii="Trebuchet MS" w:eastAsiaTheme="minorEastAsia" w:hAnsi="Trebuchet MS"/>
        </w:rPr>
        <w:t xml:space="preserve">. The first subread and the last subread were excluded from CCS read generation. The number of subreads were set as a constant as the number of subreads influenced the CCS BQ score estimate and as the increase in number of subreads per CCS reads decreased the accuracy of the BQ score estimate (discussed and demonstrated later in Chapter 3). </w:t>
      </w:r>
      <w:r w:rsidRPr="00C5118A">
        <w:rPr>
          <w:rFonts w:ascii="Trebuchet MS" w:eastAsiaTheme="minorEastAsia" w:hAnsi="Trebuchet MS"/>
          <w:lang w:val="en-US"/>
        </w:rPr>
        <w:t xml:space="preserve">Cord blood CCS reads were </w:t>
      </w:r>
      <w:r w:rsidRPr="00C5118A">
        <w:rPr>
          <w:rFonts w:ascii="Trebuchet MS" w:eastAsiaTheme="minorEastAsia" w:hAnsi="Trebuchet MS"/>
          <w:lang w:val="en-US"/>
        </w:rPr>
        <w:lastRenderedPageBreak/>
        <w:t xml:space="preserve">subsequently processed as described above for read alignment, somatic mutation detection and somatic mutation count </w:t>
      </w:r>
      <w:proofErr w:type="spellStart"/>
      <w:r w:rsidRPr="00C5118A">
        <w:rPr>
          <w:rFonts w:ascii="Trebuchet MS" w:eastAsiaTheme="minorEastAsia" w:hAnsi="Trebuchet MS"/>
          <w:lang w:val="en-US"/>
        </w:rPr>
        <w:t>normalisation</w:t>
      </w:r>
      <w:proofErr w:type="spellEnd"/>
      <w:r w:rsidRPr="00C5118A">
        <w:rPr>
          <w:rFonts w:ascii="Trebuchet MS" w:eastAsiaTheme="minorEastAsia" w:hAnsi="Trebuchet MS"/>
          <w:lang w:val="en-US"/>
        </w:rPr>
        <w:t>.</w:t>
      </w:r>
    </w:p>
    <w:p w14:paraId="272A8C1D" w14:textId="77777777" w:rsidR="004A5800" w:rsidRPr="00C5118A" w:rsidRDefault="004A5800" w:rsidP="004A5800">
      <w:pPr>
        <w:rPr>
          <w:rFonts w:ascii="Trebuchet MS" w:eastAsiaTheme="minorEastAsia" w:hAnsi="Trebuchet MS"/>
          <w:lang w:val="en-US"/>
        </w:rPr>
      </w:pPr>
    </w:p>
    <w:p w14:paraId="264DECF5"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Somatic mutations detected from the cord blood granulocyte are attributable to the clock-like mutational process and non-biological processes (library, sequencing, and alignment errors). As the number of called somatic mutations greatly exceeds the expected number of somatic mutations of 40-50 somatic mutations per cell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Osorio2018-mh, Mitchell2022-ry}</w:t>
      </w:r>
      <w:r w:rsidRPr="00C5118A">
        <w:rPr>
          <w:rFonts w:ascii="Trebuchet MS" w:eastAsiaTheme="minorEastAsia" w:hAnsi="Trebuchet MS"/>
          <w:lang w:val="en-US"/>
        </w:rPr>
        <w:t xml:space="preserve">, the cord blood sample can be assumed to be enriched with false positive mutations. </w:t>
      </w:r>
    </w:p>
    <w:p w14:paraId="1688443B" w14:textId="77777777" w:rsidR="004A5800" w:rsidRPr="00C5118A" w:rsidRDefault="004A5800" w:rsidP="004A5800">
      <w:pPr>
        <w:rPr>
          <w:rFonts w:ascii="Trebuchet MS" w:eastAsiaTheme="minorEastAsia" w:hAnsi="Trebuchet MS"/>
          <w:lang w:val="en-US"/>
        </w:rPr>
      </w:pPr>
    </w:p>
    <w:p w14:paraId="04AE3B04" w14:textId="77777777" w:rsidR="004A5800" w:rsidRPr="00C5118A" w:rsidRDefault="004A5800" w:rsidP="004A5800">
      <w:pPr>
        <w:rPr>
          <w:rFonts w:ascii="Trebuchet MS" w:eastAsiaTheme="minorEastAsia" w:hAnsi="Trebuchet MS"/>
          <w:lang w:val="en-US"/>
        </w:rPr>
      </w:pPr>
      <w:r w:rsidRPr="00C5118A">
        <w:rPr>
          <w:rFonts w:ascii="Trebuchet MS" w:eastAsiaTheme="minorEastAsia" w:hAnsi="Trebuchet MS"/>
          <w:lang w:val="en-US"/>
        </w:rPr>
        <w:t xml:space="preserve">To accurately ascertain the number of false positive mutations, the number of true positive somatic mutations were first estimated from the number of callable bases and the cord blood somatic mutational process </w:t>
      </w:r>
      <w:r w:rsidRPr="00C5118A">
        <w:rPr>
          <w:rFonts w:ascii="Trebuchet MS" w:eastAsiaTheme="minorEastAsia" w:hAnsi="Trebuchet MS"/>
        </w:rPr>
        <w:t>\</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Mitchell2022-ry} and were subtracted from the normalised somatic mutation counts. The number of normalised false positive somatic mutation counts, and the number of callable bases were subsequently used to estimate the </w:t>
      </w:r>
      <w:r w:rsidRPr="00C5118A">
        <w:rPr>
          <w:rFonts w:ascii="Trebuchet MS" w:eastAsiaTheme="minorEastAsia" w:hAnsi="Trebuchet MS"/>
          <w:lang w:val="en-US"/>
        </w:rPr>
        <w:t>substitution error rate per trinucleotide sequence context.</w:t>
      </w:r>
    </w:p>
    <w:p w14:paraId="2B1AC90B" w14:textId="77777777" w:rsidR="004A5800" w:rsidRPr="00C5118A" w:rsidRDefault="004A5800" w:rsidP="004A5800">
      <w:pPr>
        <w:rPr>
          <w:rFonts w:ascii="Trebuchet MS" w:eastAsiaTheme="minorEastAsia" w:hAnsi="Trebuchet MS"/>
        </w:rPr>
      </w:pPr>
    </w:p>
    <w:p w14:paraId="3D9F7480" w14:textId="77777777" w:rsidR="004A5800" w:rsidRPr="00C5118A" w:rsidRDefault="004A5800" w:rsidP="004A5800">
      <w:pPr>
        <w:rPr>
          <w:rFonts w:ascii="Trebuchet MS" w:eastAsiaTheme="minorEastAsia" w:hAnsi="Trebuchet MS"/>
          <w:b/>
          <w:bCs/>
        </w:rPr>
      </w:pPr>
      <w:r w:rsidRPr="00C5118A">
        <w:rPr>
          <w:rFonts w:ascii="Trebuchet MS" w:eastAsiaTheme="minorEastAsia" w:hAnsi="Trebuchet MS"/>
          <w:b/>
          <w:bCs/>
        </w:rPr>
        <w:t>\</w:t>
      </w:r>
      <w:proofErr w:type="gramStart"/>
      <w:r w:rsidRPr="00C5118A">
        <w:rPr>
          <w:rFonts w:ascii="Trebuchet MS" w:eastAsiaTheme="minorEastAsia" w:hAnsi="Trebuchet MS"/>
          <w:b/>
          <w:bCs/>
        </w:rPr>
        <w:t>subsection{</w:t>
      </w:r>
      <w:proofErr w:type="gramEnd"/>
      <w:r w:rsidRPr="00C5118A">
        <w:rPr>
          <w:rFonts w:ascii="Trebuchet MS" w:eastAsiaTheme="minorEastAsia" w:hAnsi="Trebuchet MS"/>
          <w:b/>
          <w:bCs/>
        </w:rPr>
        <w:t>CCS base quality score recalibration}</w:t>
      </w:r>
    </w:p>
    <w:p w14:paraId="2945339C" w14:textId="77777777" w:rsidR="004A5800" w:rsidRPr="00C5118A" w:rsidRDefault="004A5800" w:rsidP="004A5800">
      <w:pPr>
        <w:rPr>
          <w:rFonts w:ascii="Trebuchet MS" w:eastAsiaTheme="minorEastAsia" w:hAnsi="Trebuchet MS"/>
        </w:rPr>
      </w:pPr>
    </w:p>
    <w:p w14:paraId="5ED9AABB" w14:textId="77777777" w:rsidR="004A5800" w:rsidRPr="00C5118A" w:rsidRDefault="004A5800" w:rsidP="004A5800">
      <w:pPr>
        <w:rPr>
          <w:rFonts w:ascii="Trebuchet MS" w:eastAsiaTheme="minorEastAsia" w:hAnsi="Trebuchet MS"/>
        </w:rPr>
      </w:pPr>
      <w:r w:rsidRPr="00C5118A">
        <w:rPr>
          <w:rFonts w:ascii="Trebuchet MS" w:eastAsiaTheme="minorEastAsia" w:hAnsi="Trebuchet MS"/>
        </w:rPr>
        <w:t>ACTC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 was used to align subreads to CCS reads from the same ZMW to determine the sequence orientation of subreads and to exclude subreads produced from erroneous adapter sequence detection.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accepts as input the BAM file where subreads have been aligned to CCS read from the same ZMW, polishes CCS reads and recalibrates the BQ score. CCS reads and subreads from the same ZMW were used to construct partial order alignment using </w:t>
      </w:r>
      <w:proofErr w:type="spellStart"/>
      <w:r w:rsidRPr="00C5118A">
        <w:rPr>
          <w:rFonts w:ascii="Trebuchet MS" w:eastAsiaTheme="minorEastAsia" w:hAnsi="Trebuchet MS"/>
        </w:rPr>
        <w:t>abPOA</w:t>
      </w:r>
      <w:proofErr w:type="spellEnd"/>
      <w:r w:rsidRPr="00C5118A">
        <w:rPr>
          <w:rFonts w:ascii="Trebuchet MS" w:eastAsiaTheme="minorEastAsia" w:hAnsi="Trebuchet MS"/>
        </w:rPr>
        <w:t xml:space="preserve"> \</w:t>
      </w:r>
      <w:proofErr w:type="gramStart"/>
      <w:r w:rsidRPr="00C5118A">
        <w:rPr>
          <w:rFonts w:ascii="Trebuchet MS" w:eastAsiaTheme="minorEastAsia" w:hAnsi="Trebuchet MS"/>
        </w:rPr>
        <w:t>cite{</w:t>
      </w:r>
      <w:proofErr w:type="gramEnd"/>
      <w:r w:rsidRPr="00C5118A">
        <w:rPr>
          <w:rFonts w:ascii="Trebuchet MS" w:eastAsiaTheme="minorEastAsia" w:hAnsi="Trebuchet MS"/>
        </w:rPr>
        <w:t xml:space="preserve">Gao2021-nf} and the resulting alignment was processed to identify CCS bases where there is unanimous support from at least 10 subreads. CCS bases with unanimous support were assigned Q93 BQ score while all other bases were assigned Q0 BQ score. </w:t>
      </w:r>
      <w:proofErr w:type="spellStart"/>
      <w:r w:rsidRPr="00C5118A">
        <w:rPr>
          <w:rFonts w:ascii="Trebuchet MS" w:eastAsiaTheme="minorEastAsia" w:hAnsi="Trebuchet MS"/>
        </w:rPr>
        <w:t>Himut</w:t>
      </w:r>
      <w:proofErr w:type="spellEnd"/>
      <w:r w:rsidRPr="00C5118A">
        <w:rPr>
          <w:rFonts w:ascii="Trebuchet MS" w:eastAsiaTheme="minorEastAsia" w:hAnsi="Trebuchet MS"/>
        </w:rPr>
        <w:t xml:space="preserve"> was, thereafter, used to call somatic mutations from </w:t>
      </w:r>
      <w:proofErr w:type="spellStart"/>
      <w:r w:rsidRPr="00C5118A">
        <w:rPr>
          <w:rFonts w:ascii="Trebuchet MS" w:eastAsiaTheme="minorEastAsia" w:hAnsi="Trebuchet MS"/>
        </w:rPr>
        <w:t>abPOA</w:t>
      </w:r>
      <w:proofErr w:type="spellEnd"/>
      <w:r w:rsidRPr="00C5118A">
        <w:rPr>
          <w:rFonts w:ascii="Trebuchet MS" w:eastAsiaTheme="minorEastAsia" w:hAnsi="Trebuchet MS"/>
        </w:rPr>
        <w:t xml:space="preserve"> and </w:t>
      </w:r>
      <w:proofErr w:type="spellStart"/>
      <w:r w:rsidRPr="00C5118A">
        <w:rPr>
          <w:rFonts w:ascii="Trebuchet MS" w:eastAsiaTheme="minorEastAsia" w:hAnsi="Trebuchet MS"/>
        </w:rPr>
        <w:t>DeepConsensus</w:t>
      </w:r>
      <w:proofErr w:type="spellEnd"/>
      <w:r w:rsidRPr="00C5118A">
        <w:rPr>
          <w:rFonts w:ascii="Trebuchet MS" w:eastAsiaTheme="minorEastAsia" w:hAnsi="Trebuchet MS"/>
        </w:rPr>
        <w:t xml:space="preserve"> polished CCS reads to assess the impact of BQ score recalibration. </w:t>
      </w:r>
    </w:p>
    <w:p w14:paraId="5F77B793" w14:textId="77777777" w:rsidR="004A5800" w:rsidRPr="00C5118A" w:rsidRDefault="004A5800" w:rsidP="004A5800">
      <w:pPr>
        <w:rPr>
          <w:rFonts w:ascii="Trebuchet MS" w:eastAsiaTheme="minorEastAsia" w:hAnsi="Trebuchet MS"/>
        </w:rPr>
      </w:pPr>
    </w:p>
    <w:p w14:paraId="0ECA74F9" w14:textId="77777777" w:rsidR="004A5800" w:rsidRPr="00C5118A" w:rsidRDefault="004A5800" w:rsidP="004A5800">
      <w:pPr>
        <w:rPr>
          <w:rFonts w:ascii="Trebuchet MS" w:hAnsi="Trebuchet MS"/>
        </w:rPr>
      </w:pPr>
    </w:p>
    <w:p w14:paraId="1CB4C4BF" w14:textId="77777777" w:rsidR="004A5800" w:rsidRPr="00C5118A" w:rsidRDefault="004A5800" w:rsidP="00C00019">
      <w:pPr>
        <w:rPr>
          <w:rFonts w:ascii="Trebuchet MS" w:eastAsiaTheme="minorEastAsia" w:hAnsi="Trebuchet MS"/>
        </w:rPr>
      </w:pPr>
    </w:p>
    <w:p w14:paraId="4D4DB0CB" w14:textId="77777777" w:rsidR="009A05A9" w:rsidRPr="00C5118A" w:rsidRDefault="009A05A9" w:rsidP="00C00019">
      <w:pPr>
        <w:rPr>
          <w:rFonts w:ascii="Trebuchet MS" w:eastAsiaTheme="minorEastAsia" w:hAnsi="Trebuchet MS"/>
        </w:rPr>
      </w:pPr>
    </w:p>
    <w:p w14:paraId="50FFF949" w14:textId="77777777" w:rsidR="009A05A9" w:rsidRPr="00C5118A" w:rsidRDefault="009A05A9">
      <w:pPr>
        <w:rPr>
          <w:rFonts w:ascii="Trebuchet MS" w:hAnsi="Trebuchet MS"/>
          <w:lang w:val="en-US"/>
        </w:rPr>
      </w:pPr>
    </w:p>
    <w:sectPr w:rsidR="009A05A9" w:rsidRPr="00C5118A"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AA3216"/>
    <w:multiLevelType w:val="hybridMultilevel"/>
    <w:tmpl w:val="8BF0FD62"/>
    <w:lvl w:ilvl="0" w:tplc="3A565A28">
      <w:start w:val="1"/>
      <w:numFmt w:val="lowerRoman"/>
      <w:lvlText w:val="%1."/>
      <w:lvlJc w:val="right"/>
      <w:pPr>
        <w:tabs>
          <w:tab w:val="num" w:pos="720"/>
        </w:tabs>
        <w:ind w:left="720" w:hanging="360"/>
      </w:pPr>
    </w:lvl>
    <w:lvl w:ilvl="1" w:tplc="051C73D4" w:tentative="1">
      <w:start w:val="1"/>
      <w:numFmt w:val="lowerRoman"/>
      <w:lvlText w:val="%2."/>
      <w:lvlJc w:val="right"/>
      <w:pPr>
        <w:tabs>
          <w:tab w:val="num" w:pos="1440"/>
        </w:tabs>
        <w:ind w:left="1440" w:hanging="360"/>
      </w:pPr>
    </w:lvl>
    <w:lvl w:ilvl="2" w:tplc="007AAE60">
      <w:start w:val="1"/>
      <w:numFmt w:val="lowerRoman"/>
      <w:lvlText w:val="%3."/>
      <w:lvlJc w:val="right"/>
      <w:pPr>
        <w:tabs>
          <w:tab w:val="num" w:pos="2160"/>
        </w:tabs>
        <w:ind w:left="2160" w:hanging="360"/>
      </w:pPr>
    </w:lvl>
    <w:lvl w:ilvl="3" w:tplc="23B2CD60" w:tentative="1">
      <w:start w:val="1"/>
      <w:numFmt w:val="lowerRoman"/>
      <w:lvlText w:val="%4."/>
      <w:lvlJc w:val="right"/>
      <w:pPr>
        <w:tabs>
          <w:tab w:val="num" w:pos="2880"/>
        </w:tabs>
        <w:ind w:left="2880" w:hanging="360"/>
      </w:pPr>
    </w:lvl>
    <w:lvl w:ilvl="4" w:tplc="63AADE7C" w:tentative="1">
      <w:start w:val="1"/>
      <w:numFmt w:val="lowerRoman"/>
      <w:lvlText w:val="%5."/>
      <w:lvlJc w:val="right"/>
      <w:pPr>
        <w:tabs>
          <w:tab w:val="num" w:pos="3600"/>
        </w:tabs>
        <w:ind w:left="3600" w:hanging="360"/>
      </w:pPr>
    </w:lvl>
    <w:lvl w:ilvl="5" w:tplc="D90C629C" w:tentative="1">
      <w:start w:val="1"/>
      <w:numFmt w:val="lowerRoman"/>
      <w:lvlText w:val="%6."/>
      <w:lvlJc w:val="right"/>
      <w:pPr>
        <w:tabs>
          <w:tab w:val="num" w:pos="4320"/>
        </w:tabs>
        <w:ind w:left="4320" w:hanging="360"/>
      </w:pPr>
    </w:lvl>
    <w:lvl w:ilvl="6" w:tplc="8E747F08" w:tentative="1">
      <w:start w:val="1"/>
      <w:numFmt w:val="lowerRoman"/>
      <w:lvlText w:val="%7."/>
      <w:lvlJc w:val="right"/>
      <w:pPr>
        <w:tabs>
          <w:tab w:val="num" w:pos="5040"/>
        </w:tabs>
        <w:ind w:left="5040" w:hanging="360"/>
      </w:pPr>
    </w:lvl>
    <w:lvl w:ilvl="7" w:tplc="E31E9FE4" w:tentative="1">
      <w:start w:val="1"/>
      <w:numFmt w:val="lowerRoman"/>
      <w:lvlText w:val="%8."/>
      <w:lvlJc w:val="right"/>
      <w:pPr>
        <w:tabs>
          <w:tab w:val="num" w:pos="5760"/>
        </w:tabs>
        <w:ind w:left="5760" w:hanging="360"/>
      </w:pPr>
    </w:lvl>
    <w:lvl w:ilvl="8" w:tplc="5668650C" w:tentative="1">
      <w:start w:val="1"/>
      <w:numFmt w:val="lowerRoman"/>
      <w:lvlText w:val="%9."/>
      <w:lvlJc w:val="right"/>
      <w:pPr>
        <w:tabs>
          <w:tab w:val="num" w:pos="6480"/>
        </w:tabs>
        <w:ind w:left="6480" w:hanging="360"/>
      </w:pPr>
    </w:lvl>
  </w:abstractNum>
  <w:abstractNum w:abstractNumId="2"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B090D"/>
    <w:multiLevelType w:val="hybridMultilevel"/>
    <w:tmpl w:val="B898496A"/>
    <w:lvl w:ilvl="0" w:tplc="F5CC4314">
      <w:start w:val="1"/>
      <w:numFmt w:val="decimal"/>
      <w:lvlText w:val="%1."/>
      <w:lvlJc w:val="left"/>
      <w:pPr>
        <w:tabs>
          <w:tab w:val="num" w:pos="720"/>
        </w:tabs>
        <w:ind w:left="720" w:hanging="360"/>
      </w:pPr>
    </w:lvl>
    <w:lvl w:ilvl="1" w:tplc="C2EC876C">
      <w:start w:val="1"/>
      <w:numFmt w:val="decimal"/>
      <w:lvlText w:val="%2."/>
      <w:lvlJc w:val="left"/>
      <w:pPr>
        <w:tabs>
          <w:tab w:val="num" w:pos="1440"/>
        </w:tabs>
        <w:ind w:left="1440" w:hanging="360"/>
      </w:pPr>
    </w:lvl>
    <w:lvl w:ilvl="2" w:tplc="AA0E4C96">
      <w:start w:val="1"/>
      <w:numFmt w:val="lowerRoman"/>
      <w:lvlText w:val="%3."/>
      <w:lvlJc w:val="right"/>
      <w:pPr>
        <w:tabs>
          <w:tab w:val="num" w:pos="2160"/>
        </w:tabs>
        <w:ind w:left="2160" w:hanging="360"/>
      </w:pPr>
    </w:lvl>
    <w:lvl w:ilvl="3" w:tplc="8F94B5E2" w:tentative="1">
      <w:start w:val="1"/>
      <w:numFmt w:val="decimal"/>
      <w:lvlText w:val="%4."/>
      <w:lvlJc w:val="left"/>
      <w:pPr>
        <w:tabs>
          <w:tab w:val="num" w:pos="2880"/>
        </w:tabs>
        <w:ind w:left="2880" w:hanging="360"/>
      </w:pPr>
    </w:lvl>
    <w:lvl w:ilvl="4" w:tplc="11EE25DC" w:tentative="1">
      <w:start w:val="1"/>
      <w:numFmt w:val="decimal"/>
      <w:lvlText w:val="%5."/>
      <w:lvlJc w:val="left"/>
      <w:pPr>
        <w:tabs>
          <w:tab w:val="num" w:pos="3600"/>
        </w:tabs>
        <w:ind w:left="3600" w:hanging="360"/>
      </w:pPr>
    </w:lvl>
    <w:lvl w:ilvl="5" w:tplc="D13EBB4E" w:tentative="1">
      <w:start w:val="1"/>
      <w:numFmt w:val="decimal"/>
      <w:lvlText w:val="%6."/>
      <w:lvlJc w:val="left"/>
      <w:pPr>
        <w:tabs>
          <w:tab w:val="num" w:pos="4320"/>
        </w:tabs>
        <w:ind w:left="4320" w:hanging="360"/>
      </w:pPr>
    </w:lvl>
    <w:lvl w:ilvl="6" w:tplc="555AF6AA" w:tentative="1">
      <w:start w:val="1"/>
      <w:numFmt w:val="decimal"/>
      <w:lvlText w:val="%7."/>
      <w:lvlJc w:val="left"/>
      <w:pPr>
        <w:tabs>
          <w:tab w:val="num" w:pos="5040"/>
        </w:tabs>
        <w:ind w:left="5040" w:hanging="360"/>
      </w:pPr>
    </w:lvl>
    <w:lvl w:ilvl="7" w:tplc="A0F41D12" w:tentative="1">
      <w:start w:val="1"/>
      <w:numFmt w:val="decimal"/>
      <w:lvlText w:val="%8."/>
      <w:lvlJc w:val="left"/>
      <w:pPr>
        <w:tabs>
          <w:tab w:val="num" w:pos="5760"/>
        </w:tabs>
        <w:ind w:left="5760" w:hanging="360"/>
      </w:pPr>
    </w:lvl>
    <w:lvl w:ilvl="8" w:tplc="8C9487A0"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384"/>
    <w:rsid w:val="00000629"/>
    <w:rsid w:val="000040AF"/>
    <w:rsid w:val="00004258"/>
    <w:rsid w:val="00006024"/>
    <w:rsid w:val="00006615"/>
    <w:rsid w:val="00007ABF"/>
    <w:rsid w:val="000109BC"/>
    <w:rsid w:val="00015954"/>
    <w:rsid w:val="00015A33"/>
    <w:rsid w:val="000170E1"/>
    <w:rsid w:val="00023D69"/>
    <w:rsid w:val="00026E81"/>
    <w:rsid w:val="0002736E"/>
    <w:rsid w:val="00027545"/>
    <w:rsid w:val="00032497"/>
    <w:rsid w:val="000337C3"/>
    <w:rsid w:val="00033D6C"/>
    <w:rsid w:val="000357F2"/>
    <w:rsid w:val="000368DA"/>
    <w:rsid w:val="000374BA"/>
    <w:rsid w:val="000402EE"/>
    <w:rsid w:val="00042A3E"/>
    <w:rsid w:val="00042B69"/>
    <w:rsid w:val="00043C56"/>
    <w:rsid w:val="00044570"/>
    <w:rsid w:val="00045109"/>
    <w:rsid w:val="000455BA"/>
    <w:rsid w:val="00045731"/>
    <w:rsid w:val="000465CD"/>
    <w:rsid w:val="00047716"/>
    <w:rsid w:val="000536BD"/>
    <w:rsid w:val="000540AC"/>
    <w:rsid w:val="00054CA6"/>
    <w:rsid w:val="00055449"/>
    <w:rsid w:val="00056A3F"/>
    <w:rsid w:val="00060DC4"/>
    <w:rsid w:val="00061363"/>
    <w:rsid w:val="000653B3"/>
    <w:rsid w:val="00070456"/>
    <w:rsid w:val="0007167F"/>
    <w:rsid w:val="000747DB"/>
    <w:rsid w:val="00074B12"/>
    <w:rsid w:val="000750F8"/>
    <w:rsid w:val="0007675C"/>
    <w:rsid w:val="000836B8"/>
    <w:rsid w:val="00083999"/>
    <w:rsid w:val="00083A17"/>
    <w:rsid w:val="00083CE9"/>
    <w:rsid w:val="0008512C"/>
    <w:rsid w:val="00092052"/>
    <w:rsid w:val="0009217E"/>
    <w:rsid w:val="000A066A"/>
    <w:rsid w:val="000A074F"/>
    <w:rsid w:val="000A08F1"/>
    <w:rsid w:val="000A0E11"/>
    <w:rsid w:val="000A4CC7"/>
    <w:rsid w:val="000B41CE"/>
    <w:rsid w:val="000B515F"/>
    <w:rsid w:val="000B732F"/>
    <w:rsid w:val="000C26B7"/>
    <w:rsid w:val="000C5EAC"/>
    <w:rsid w:val="000D1A3B"/>
    <w:rsid w:val="000D4836"/>
    <w:rsid w:val="000D6B2F"/>
    <w:rsid w:val="000E1BF1"/>
    <w:rsid w:val="000E3DF6"/>
    <w:rsid w:val="000E7005"/>
    <w:rsid w:val="000E78CD"/>
    <w:rsid w:val="000F4BE9"/>
    <w:rsid w:val="00102904"/>
    <w:rsid w:val="00102AD4"/>
    <w:rsid w:val="00102D7B"/>
    <w:rsid w:val="001079EE"/>
    <w:rsid w:val="001113CA"/>
    <w:rsid w:val="00114D52"/>
    <w:rsid w:val="00115AD9"/>
    <w:rsid w:val="00120145"/>
    <w:rsid w:val="001245E1"/>
    <w:rsid w:val="00127041"/>
    <w:rsid w:val="00130477"/>
    <w:rsid w:val="00140ABE"/>
    <w:rsid w:val="001421CF"/>
    <w:rsid w:val="0014345B"/>
    <w:rsid w:val="001442B6"/>
    <w:rsid w:val="00145A15"/>
    <w:rsid w:val="00147A77"/>
    <w:rsid w:val="001513B0"/>
    <w:rsid w:val="001528BA"/>
    <w:rsid w:val="00154385"/>
    <w:rsid w:val="0015603B"/>
    <w:rsid w:val="0016068E"/>
    <w:rsid w:val="00163F53"/>
    <w:rsid w:val="00165828"/>
    <w:rsid w:val="00167333"/>
    <w:rsid w:val="0016756B"/>
    <w:rsid w:val="001712CB"/>
    <w:rsid w:val="00172413"/>
    <w:rsid w:val="00173CC0"/>
    <w:rsid w:val="00174569"/>
    <w:rsid w:val="00175C2C"/>
    <w:rsid w:val="00176663"/>
    <w:rsid w:val="00177775"/>
    <w:rsid w:val="00177D33"/>
    <w:rsid w:val="00184546"/>
    <w:rsid w:val="00186B60"/>
    <w:rsid w:val="001907DD"/>
    <w:rsid w:val="001A6930"/>
    <w:rsid w:val="001B0A0A"/>
    <w:rsid w:val="001B44BA"/>
    <w:rsid w:val="001B48DC"/>
    <w:rsid w:val="001B4A3B"/>
    <w:rsid w:val="001B603C"/>
    <w:rsid w:val="001C0DC4"/>
    <w:rsid w:val="001C2ACC"/>
    <w:rsid w:val="001C4563"/>
    <w:rsid w:val="001C4EBB"/>
    <w:rsid w:val="001D0116"/>
    <w:rsid w:val="001D0FA8"/>
    <w:rsid w:val="001D2FA1"/>
    <w:rsid w:val="001D347C"/>
    <w:rsid w:val="001D70AF"/>
    <w:rsid w:val="001D7F0B"/>
    <w:rsid w:val="001E4E22"/>
    <w:rsid w:val="001E6103"/>
    <w:rsid w:val="001F4739"/>
    <w:rsid w:val="001F6B41"/>
    <w:rsid w:val="001F6C5F"/>
    <w:rsid w:val="0020040C"/>
    <w:rsid w:val="00203634"/>
    <w:rsid w:val="002043EA"/>
    <w:rsid w:val="00204B1B"/>
    <w:rsid w:val="002066FF"/>
    <w:rsid w:val="00206A50"/>
    <w:rsid w:val="002110E1"/>
    <w:rsid w:val="002132D2"/>
    <w:rsid w:val="00220C79"/>
    <w:rsid w:val="00225DDE"/>
    <w:rsid w:val="002323CF"/>
    <w:rsid w:val="00235256"/>
    <w:rsid w:val="00236AF3"/>
    <w:rsid w:val="00237960"/>
    <w:rsid w:val="00237C27"/>
    <w:rsid w:val="00237F4A"/>
    <w:rsid w:val="00240610"/>
    <w:rsid w:val="00241D18"/>
    <w:rsid w:val="0024232B"/>
    <w:rsid w:val="00243C86"/>
    <w:rsid w:val="0024426B"/>
    <w:rsid w:val="00246ECC"/>
    <w:rsid w:val="00247B6E"/>
    <w:rsid w:val="002524E9"/>
    <w:rsid w:val="00254BAD"/>
    <w:rsid w:val="00255DAC"/>
    <w:rsid w:val="002600CE"/>
    <w:rsid w:val="00261AD8"/>
    <w:rsid w:val="00263567"/>
    <w:rsid w:val="002651C2"/>
    <w:rsid w:val="00265261"/>
    <w:rsid w:val="00265680"/>
    <w:rsid w:val="00267943"/>
    <w:rsid w:val="0027643E"/>
    <w:rsid w:val="0027763B"/>
    <w:rsid w:val="00277DCB"/>
    <w:rsid w:val="00280777"/>
    <w:rsid w:val="002842AE"/>
    <w:rsid w:val="0028767F"/>
    <w:rsid w:val="00290702"/>
    <w:rsid w:val="002908A0"/>
    <w:rsid w:val="002930C2"/>
    <w:rsid w:val="00294069"/>
    <w:rsid w:val="00295A11"/>
    <w:rsid w:val="002A121B"/>
    <w:rsid w:val="002A2280"/>
    <w:rsid w:val="002A389A"/>
    <w:rsid w:val="002A494C"/>
    <w:rsid w:val="002A603F"/>
    <w:rsid w:val="002A648A"/>
    <w:rsid w:val="002B02B4"/>
    <w:rsid w:val="002B0EA3"/>
    <w:rsid w:val="002B2A17"/>
    <w:rsid w:val="002B616B"/>
    <w:rsid w:val="002B6495"/>
    <w:rsid w:val="002C0FC1"/>
    <w:rsid w:val="002C1359"/>
    <w:rsid w:val="002C1FAF"/>
    <w:rsid w:val="002C2DB9"/>
    <w:rsid w:val="002C45D3"/>
    <w:rsid w:val="002D27A8"/>
    <w:rsid w:val="002E3503"/>
    <w:rsid w:val="002E4FAF"/>
    <w:rsid w:val="002E6D04"/>
    <w:rsid w:val="002E79B5"/>
    <w:rsid w:val="002E7C7C"/>
    <w:rsid w:val="002F0220"/>
    <w:rsid w:val="002F1CEF"/>
    <w:rsid w:val="002F6BFF"/>
    <w:rsid w:val="00300A0B"/>
    <w:rsid w:val="0030481B"/>
    <w:rsid w:val="0030590B"/>
    <w:rsid w:val="00307D6C"/>
    <w:rsid w:val="00310C43"/>
    <w:rsid w:val="003115F7"/>
    <w:rsid w:val="003126DD"/>
    <w:rsid w:val="00312906"/>
    <w:rsid w:val="003134D3"/>
    <w:rsid w:val="00313819"/>
    <w:rsid w:val="00315F99"/>
    <w:rsid w:val="00320DBA"/>
    <w:rsid w:val="00322B89"/>
    <w:rsid w:val="00325CE1"/>
    <w:rsid w:val="00332ACB"/>
    <w:rsid w:val="00333BFF"/>
    <w:rsid w:val="00334185"/>
    <w:rsid w:val="00334EF3"/>
    <w:rsid w:val="00335709"/>
    <w:rsid w:val="00335877"/>
    <w:rsid w:val="003462FE"/>
    <w:rsid w:val="00354CF2"/>
    <w:rsid w:val="00360922"/>
    <w:rsid w:val="00365689"/>
    <w:rsid w:val="00365DE5"/>
    <w:rsid w:val="0036670B"/>
    <w:rsid w:val="003711DB"/>
    <w:rsid w:val="00374453"/>
    <w:rsid w:val="00376403"/>
    <w:rsid w:val="00380BE2"/>
    <w:rsid w:val="00384F5E"/>
    <w:rsid w:val="003862EC"/>
    <w:rsid w:val="003865B1"/>
    <w:rsid w:val="00387CD1"/>
    <w:rsid w:val="0039047A"/>
    <w:rsid w:val="00392B7F"/>
    <w:rsid w:val="00393EEA"/>
    <w:rsid w:val="003953FC"/>
    <w:rsid w:val="003A09FD"/>
    <w:rsid w:val="003A2894"/>
    <w:rsid w:val="003A7144"/>
    <w:rsid w:val="003B751F"/>
    <w:rsid w:val="003C0AD9"/>
    <w:rsid w:val="003C0ADA"/>
    <w:rsid w:val="003D2673"/>
    <w:rsid w:val="003D49D1"/>
    <w:rsid w:val="003E4DE5"/>
    <w:rsid w:val="003E5633"/>
    <w:rsid w:val="003F1358"/>
    <w:rsid w:val="003F3BAB"/>
    <w:rsid w:val="003F52A8"/>
    <w:rsid w:val="00400E0F"/>
    <w:rsid w:val="00411E57"/>
    <w:rsid w:val="0041342B"/>
    <w:rsid w:val="004262B2"/>
    <w:rsid w:val="004262DC"/>
    <w:rsid w:val="00432D00"/>
    <w:rsid w:val="0043521B"/>
    <w:rsid w:val="00437BE6"/>
    <w:rsid w:val="00440FE4"/>
    <w:rsid w:val="0044406B"/>
    <w:rsid w:val="00447274"/>
    <w:rsid w:val="004513D9"/>
    <w:rsid w:val="004548DB"/>
    <w:rsid w:val="00455806"/>
    <w:rsid w:val="00460F1A"/>
    <w:rsid w:val="00464EC7"/>
    <w:rsid w:val="00471481"/>
    <w:rsid w:val="004732EC"/>
    <w:rsid w:val="0048517E"/>
    <w:rsid w:val="00492228"/>
    <w:rsid w:val="00492628"/>
    <w:rsid w:val="0049402C"/>
    <w:rsid w:val="00495A17"/>
    <w:rsid w:val="004977BB"/>
    <w:rsid w:val="004A198E"/>
    <w:rsid w:val="004A3171"/>
    <w:rsid w:val="004A37E7"/>
    <w:rsid w:val="004A446D"/>
    <w:rsid w:val="004A5072"/>
    <w:rsid w:val="004A5800"/>
    <w:rsid w:val="004B2213"/>
    <w:rsid w:val="004B3EE3"/>
    <w:rsid w:val="004B41BB"/>
    <w:rsid w:val="004B6485"/>
    <w:rsid w:val="004B6685"/>
    <w:rsid w:val="004B7EFE"/>
    <w:rsid w:val="004C11FE"/>
    <w:rsid w:val="004C172A"/>
    <w:rsid w:val="004C4E08"/>
    <w:rsid w:val="004C52FA"/>
    <w:rsid w:val="004D153F"/>
    <w:rsid w:val="004D19CA"/>
    <w:rsid w:val="004D276D"/>
    <w:rsid w:val="004D2934"/>
    <w:rsid w:val="004D589C"/>
    <w:rsid w:val="004D5957"/>
    <w:rsid w:val="004D70DB"/>
    <w:rsid w:val="004E2CFD"/>
    <w:rsid w:val="004F1CB9"/>
    <w:rsid w:val="004F4602"/>
    <w:rsid w:val="004F54F2"/>
    <w:rsid w:val="004F6304"/>
    <w:rsid w:val="00502A17"/>
    <w:rsid w:val="00510954"/>
    <w:rsid w:val="00512092"/>
    <w:rsid w:val="00512910"/>
    <w:rsid w:val="00513070"/>
    <w:rsid w:val="00514EB4"/>
    <w:rsid w:val="00515845"/>
    <w:rsid w:val="0051706E"/>
    <w:rsid w:val="00517A23"/>
    <w:rsid w:val="00522B38"/>
    <w:rsid w:val="00522D29"/>
    <w:rsid w:val="005252CF"/>
    <w:rsid w:val="00525DF3"/>
    <w:rsid w:val="0052699C"/>
    <w:rsid w:val="005276CB"/>
    <w:rsid w:val="00527B3B"/>
    <w:rsid w:val="005314B1"/>
    <w:rsid w:val="00531522"/>
    <w:rsid w:val="005350A3"/>
    <w:rsid w:val="00536D1B"/>
    <w:rsid w:val="00542D5E"/>
    <w:rsid w:val="005435B8"/>
    <w:rsid w:val="005436F3"/>
    <w:rsid w:val="005446D5"/>
    <w:rsid w:val="005501BE"/>
    <w:rsid w:val="005515E8"/>
    <w:rsid w:val="005528A1"/>
    <w:rsid w:val="00552914"/>
    <w:rsid w:val="00555509"/>
    <w:rsid w:val="00556C37"/>
    <w:rsid w:val="00562994"/>
    <w:rsid w:val="0056304D"/>
    <w:rsid w:val="00564994"/>
    <w:rsid w:val="00566495"/>
    <w:rsid w:val="00566F44"/>
    <w:rsid w:val="005706BF"/>
    <w:rsid w:val="005730CF"/>
    <w:rsid w:val="00573F36"/>
    <w:rsid w:val="00574E1B"/>
    <w:rsid w:val="005760A7"/>
    <w:rsid w:val="0057680D"/>
    <w:rsid w:val="00577B64"/>
    <w:rsid w:val="005813FF"/>
    <w:rsid w:val="00581998"/>
    <w:rsid w:val="00582A10"/>
    <w:rsid w:val="00587A20"/>
    <w:rsid w:val="00591477"/>
    <w:rsid w:val="00591D94"/>
    <w:rsid w:val="005A050D"/>
    <w:rsid w:val="005A4484"/>
    <w:rsid w:val="005A4729"/>
    <w:rsid w:val="005A646D"/>
    <w:rsid w:val="005A7824"/>
    <w:rsid w:val="005B0CF8"/>
    <w:rsid w:val="005B1ED2"/>
    <w:rsid w:val="005B5F8C"/>
    <w:rsid w:val="005B64E8"/>
    <w:rsid w:val="005C11D1"/>
    <w:rsid w:val="005C4075"/>
    <w:rsid w:val="005C5E20"/>
    <w:rsid w:val="005D06BF"/>
    <w:rsid w:val="005D0B32"/>
    <w:rsid w:val="005D6C3C"/>
    <w:rsid w:val="005D70E5"/>
    <w:rsid w:val="005E01AB"/>
    <w:rsid w:val="005E133B"/>
    <w:rsid w:val="005E3174"/>
    <w:rsid w:val="005E51CB"/>
    <w:rsid w:val="005E7758"/>
    <w:rsid w:val="005E7CA5"/>
    <w:rsid w:val="005F2D62"/>
    <w:rsid w:val="005F6BB9"/>
    <w:rsid w:val="006019E9"/>
    <w:rsid w:val="0060602B"/>
    <w:rsid w:val="00606E36"/>
    <w:rsid w:val="006107E0"/>
    <w:rsid w:val="0061264E"/>
    <w:rsid w:val="0061476A"/>
    <w:rsid w:val="00614BBF"/>
    <w:rsid w:val="00617D5B"/>
    <w:rsid w:val="00620451"/>
    <w:rsid w:val="0062150F"/>
    <w:rsid w:val="00622380"/>
    <w:rsid w:val="00623FD8"/>
    <w:rsid w:val="00624B8E"/>
    <w:rsid w:val="006250BD"/>
    <w:rsid w:val="00626551"/>
    <w:rsid w:val="00630B12"/>
    <w:rsid w:val="0063253B"/>
    <w:rsid w:val="006339E7"/>
    <w:rsid w:val="00635683"/>
    <w:rsid w:val="0063603E"/>
    <w:rsid w:val="00636BED"/>
    <w:rsid w:val="00637FB4"/>
    <w:rsid w:val="00640A23"/>
    <w:rsid w:val="00640C5E"/>
    <w:rsid w:val="006427F3"/>
    <w:rsid w:val="00645503"/>
    <w:rsid w:val="006458D2"/>
    <w:rsid w:val="00645EF1"/>
    <w:rsid w:val="006461EB"/>
    <w:rsid w:val="0064737B"/>
    <w:rsid w:val="006502ED"/>
    <w:rsid w:val="006512A5"/>
    <w:rsid w:val="00651974"/>
    <w:rsid w:val="00651FB7"/>
    <w:rsid w:val="0065288F"/>
    <w:rsid w:val="00654DD0"/>
    <w:rsid w:val="0065676D"/>
    <w:rsid w:val="00657EB1"/>
    <w:rsid w:val="00662A7D"/>
    <w:rsid w:val="006658CE"/>
    <w:rsid w:val="0067000B"/>
    <w:rsid w:val="00670D7B"/>
    <w:rsid w:val="00671CA8"/>
    <w:rsid w:val="00676053"/>
    <w:rsid w:val="00677469"/>
    <w:rsid w:val="00680407"/>
    <w:rsid w:val="006816EE"/>
    <w:rsid w:val="00681E4D"/>
    <w:rsid w:val="00682394"/>
    <w:rsid w:val="00684ED4"/>
    <w:rsid w:val="006854A6"/>
    <w:rsid w:val="00696426"/>
    <w:rsid w:val="006A0CF0"/>
    <w:rsid w:val="006A1B6A"/>
    <w:rsid w:val="006A2566"/>
    <w:rsid w:val="006A7101"/>
    <w:rsid w:val="006B03B3"/>
    <w:rsid w:val="006B0C6A"/>
    <w:rsid w:val="006B4EA3"/>
    <w:rsid w:val="006B7721"/>
    <w:rsid w:val="006C03C4"/>
    <w:rsid w:val="006C2352"/>
    <w:rsid w:val="006C6DD2"/>
    <w:rsid w:val="006D2516"/>
    <w:rsid w:val="006D251D"/>
    <w:rsid w:val="006D4ADE"/>
    <w:rsid w:val="006D7B99"/>
    <w:rsid w:val="006E106B"/>
    <w:rsid w:val="006E15C3"/>
    <w:rsid w:val="006E1D2B"/>
    <w:rsid w:val="006E26DB"/>
    <w:rsid w:val="006F0632"/>
    <w:rsid w:val="006F2BF7"/>
    <w:rsid w:val="006F37C8"/>
    <w:rsid w:val="006F404E"/>
    <w:rsid w:val="006F505D"/>
    <w:rsid w:val="006F6778"/>
    <w:rsid w:val="006F7F85"/>
    <w:rsid w:val="007000F6"/>
    <w:rsid w:val="00700134"/>
    <w:rsid w:val="00702E6B"/>
    <w:rsid w:val="00710AA5"/>
    <w:rsid w:val="00712711"/>
    <w:rsid w:val="00713B1A"/>
    <w:rsid w:val="00713DF3"/>
    <w:rsid w:val="00713FE3"/>
    <w:rsid w:val="007143E8"/>
    <w:rsid w:val="007146FF"/>
    <w:rsid w:val="007165D8"/>
    <w:rsid w:val="007178A0"/>
    <w:rsid w:val="00717EC1"/>
    <w:rsid w:val="0072069A"/>
    <w:rsid w:val="00722EEE"/>
    <w:rsid w:val="00723279"/>
    <w:rsid w:val="00727B1F"/>
    <w:rsid w:val="00731BE6"/>
    <w:rsid w:val="0073310F"/>
    <w:rsid w:val="00735146"/>
    <w:rsid w:val="007436D6"/>
    <w:rsid w:val="0074396B"/>
    <w:rsid w:val="007467FB"/>
    <w:rsid w:val="00747BC1"/>
    <w:rsid w:val="00750676"/>
    <w:rsid w:val="00752A02"/>
    <w:rsid w:val="0075400A"/>
    <w:rsid w:val="00756172"/>
    <w:rsid w:val="007630F5"/>
    <w:rsid w:val="00764345"/>
    <w:rsid w:val="007676DB"/>
    <w:rsid w:val="00772D78"/>
    <w:rsid w:val="00775231"/>
    <w:rsid w:val="007776A8"/>
    <w:rsid w:val="007810CF"/>
    <w:rsid w:val="00782237"/>
    <w:rsid w:val="00783BF3"/>
    <w:rsid w:val="0078525F"/>
    <w:rsid w:val="00790A98"/>
    <w:rsid w:val="007910FB"/>
    <w:rsid w:val="007911C9"/>
    <w:rsid w:val="007A1422"/>
    <w:rsid w:val="007A4950"/>
    <w:rsid w:val="007A4E6F"/>
    <w:rsid w:val="007A6C63"/>
    <w:rsid w:val="007B2C03"/>
    <w:rsid w:val="007B327C"/>
    <w:rsid w:val="007B43FE"/>
    <w:rsid w:val="007B4AFE"/>
    <w:rsid w:val="007C0501"/>
    <w:rsid w:val="007C650D"/>
    <w:rsid w:val="007C7028"/>
    <w:rsid w:val="007D042D"/>
    <w:rsid w:val="007D2544"/>
    <w:rsid w:val="007D327D"/>
    <w:rsid w:val="007D4260"/>
    <w:rsid w:val="007E51F4"/>
    <w:rsid w:val="007E7F07"/>
    <w:rsid w:val="007F3AE9"/>
    <w:rsid w:val="007F3C54"/>
    <w:rsid w:val="007F785B"/>
    <w:rsid w:val="00803D60"/>
    <w:rsid w:val="00804624"/>
    <w:rsid w:val="00812147"/>
    <w:rsid w:val="00812DE2"/>
    <w:rsid w:val="0081401F"/>
    <w:rsid w:val="00817647"/>
    <w:rsid w:val="008179C2"/>
    <w:rsid w:val="008221A6"/>
    <w:rsid w:val="008249CA"/>
    <w:rsid w:val="00825591"/>
    <w:rsid w:val="008268BD"/>
    <w:rsid w:val="00827735"/>
    <w:rsid w:val="00830C69"/>
    <w:rsid w:val="00830C95"/>
    <w:rsid w:val="00835817"/>
    <w:rsid w:val="0084285C"/>
    <w:rsid w:val="00842B4A"/>
    <w:rsid w:val="0084467C"/>
    <w:rsid w:val="00846390"/>
    <w:rsid w:val="0084653E"/>
    <w:rsid w:val="00846628"/>
    <w:rsid w:val="008471F8"/>
    <w:rsid w:val="00856254"/>
    <w:rsid w:val="008610D5"/>
    <w:rsid w:val="0086309A"/>
    <w:rsid w:val="00863DD1"/>
    <w:rsid w:val="00865A53"/>
    <w:rsid w:val="008667CE"/>
    <w:rsid w:val="00866FA4"/>
    <w:rsid w:val="008722F7"/>
    <w:rsid w:val="008726B9"/>
    <w:rsid w:val="00875945"/>
    <w:rsid w:val="00875BAE"/>
    <w:rsid w:val="00881BB8"/>
    <w:rsid w:val="00883C35"/>
    <w:rsid w:val="00884A75"/>
    <w:rsid w:val="008854C5"/>
    <w:rsid w:val="00891387"/>
    <w:rsid w:val="0089385C"/>
    <w:rsid w:val="00897C5E"/>
    <w:rsid w:val="008A01F1"/>
    <w:rsid w:val="008A1358"/>
    <w:rsid w:val="008A2178"/>
    <w:rsid w:val="008A3F16"/>
    <w:rsid w:val="008A5B8B"/>
    <w:rsid w:val="008B1D2C"/>
    <w:rsid w:val="008B2439"/>
    <w:rsid w:val="008B4FC9"/>
    <w:rsid w:val="008B5E72"/>
    <w:rsid w:val="008B68BE"/>
    <w:rsid w:val="008B7BD3"/>
    <w:rsid w:val="008C255B"/>
    <w:rsid w:val="008C2E17"/>
    <w:rsid w:val="008C3D97"/>
    <w:rsid w:val="008C4D53"/>
    <w:rsid w:val="008C6A4A"/>
    <w:rsid w:val="008C723D"/>
    <w:rsid w:val="008D03E5"/>
    <w:rsid w:val="008D21EE"/>
    <w:rsid w:val="008D76B5"/>
    <w:rsid w:val="008E20B1"/>
    <w:rsid w:val="008E2EA9"/>
    <w:rsid w:val="008E2FB5"/>
    <w:rsid w:val="008E49D4"/>
    <w:rsid w:val="008E4A4B"/>
    <w:rsid w:val="008E599D"/>
    <w:rsid w:val="008E5DCE"/>
    <w:rsid w:val="008F256A"/>
    <w:rsid w:val="008F5193"/>
    <w:rsid w:val="008F775C"/>
    <w:rsid w:val="009028BA"/>
    <w:rsid w:val="0090526C"/>
    <w:rsid w:val="00907005"/>
    <w:rsid w:val="00907398"/>
    <w:rsid w:val="00907EED"/>
    <w:rsid w:val="0091059F"/>
    <w:rsid w:val="00910DEC"/>
    <w:rsid w:val="00911BE1"/>
    <w:rsid w:val="00913BDC"/>
    <w:rsid w:val="00920177"/>
    <w:rsid w:val="00920BC2"/>
    <w:rsid w:val="00931199"/>
    <w:rsid w:val="009318B6"/>
    <w:rsid w:val="00931F8C"/>
    <w:rsid w:val="009373E0"/>
    <w:rsid w:val="00940FB2"/>
    <w:rsid w:val="00942621"/>
    <w:rsid w:val="009428D8"/>
    <w:rsid w:val="009441E0"/>
    <w:rsid w:val="009462E4"/>
    <w:rsid w:val="009469D5"/>
    <w:rsid w:val="00947CEE"/>
    <w:rsid w:val="00951DD1"/>
    <w:rsid w:val="00952BCE"/>
    <w:rsid w:val="00952C65"/>
    <w:rsid w:val="009561C7"/>
    <w:rsid w:val="00963B72"/>
    <w:rsid w:val="00964388"/>
    <w:rsid w:val="00973AC5"/>
    <w:rsid w:val="00975B75"/>
    <w:rsid w:val="009816BD"/>
    <w:rsid w:val="00987D8A"/>
    <w:rsid w:val="00990187"/>
    <w:rsid w:val="009901DD"/>
    <w:rsid w:val="0099089F"/>
    <w:rsid w:val="00990F64"/>
    <w:rsid w:val="009929AF"/>
    <w:rsid w:val="00993F05"/>
    <w:rsid w:val="00994DBA"/>
    <w:rsid w:val="009951A9"/>
    <w:rsid w:val="00997C02"/>
    <w:rsid w:val="009A05A9"/>
    <w:rsid w:val="009A34F7"/>
    <w:rsid w:val="009A37B5"/>
    <w:rsid w:val="009A57A0"/>
    <w:rsid w:val="009A596B"/>
    <w:rsid w:val="009B2FE2"/>
    <w:rsid w:val="009B32DD"/>
    <w:rsid w:val="009B350D"/>
    <w:rsid w:val="009B47D8"/>
    <w:rsid w:val="009C1667"/>
    <w:rsid w:val="009C63DF"/>
    <w:rsid w:val="009C6BFD"/>
    <w:rsid w:val="009D1C33"/>
    <w:rsid w:val="009D3C20"/>
    <w:rsid w:val="009D5E64"/>
    <w:rsid w:val="009E0CF6"/>
    <w:rsid w:val="009E1B75"/>
    <w:rsid w:val="009E6D56"/>
    <w:rsid w:val="009E6FFF"/>
    <w:rsid w:val="009E7C01"/>
    <w:rsid w:val="009E7E85"/>
    <w:rsid w:val="009F0627"/>
    <w:rsid w:val="009F0D09"/>
    <w:rsid w:val="009F3261"/>
    <w:rsid w:val="009F6780"/>
    <w:rsid w:val="009F6A9F"/>
    <w:rsid w:val="00A0218E"/>
    <w:rsid w:val="00A04FAD"/>
    <w:rsid w:val="00A06D83"/>
    <w:rsid w:val="00A1183E"/>
    <w:rsid w:val="00A14FB9"/>
    <w:rsid w:val="00A1692E"/>
    <w:rsid w:val="00A215DC"/>
    <w:rsid w:val="00A23244"/>
    <w:rsid w:val="00A245B9"/>
    <w:rsid w:val="00A26636"/>
    <w:rsid w:val="00A2687D"/>
    <w:rsid w:val="00A34926"/>
    <w:rsid w:val="00A349AC"/>
    <w:rsid w:val="00A35006"/>
    <w:rsid w:val="00A4136F"/>
    <w:rsid w:val="00A41AD5"/>
    <w:rsid w:val="00A44CC8"/>
    <w:rsid w:val="00A45CF0"/>
    <w:rsid w:val="00A502C0"/>
    <w:rsid w:val="00A52DAF"/>
    <w:rsid w:val="00A55882"/>
    <w:rsid w:val="00A6020F"/>
    <w:rsid w:val="00A6194A"/>
    <w:rsid w:val="00A6265B"/>
    <w:rsid w:val="00A63100"/>
    <w:rsid w:val="00A70BE7"/>
    <w:rsid w:val="00A71F8D"/>
    <w:rsid w:val="00A72294"/>
    <w:rsid w:val="00A72773"/>
    <w:rsid w:val="00A74169"/>
    <w:rsid w:val="00A76F8E"/>
    <w:rsid w:val="00A80DAF"/>
    <w:rsid w:val="00A826B7"/>
    <w:rsid w:val="00A84705"/>
    <w:rsid w:val="00A90A03"/>
    <w:rsid w:val="00A9150F"/>
    <w:rsid w:val="00A91B69"/>
    <w:rsid w:val="00AA293C"/>
    <w:rsid w:val="00AA3E72"/>
    <w:rsid w:val="00AA52D0"/>
    <w:rsid w:val="00AB02F3"/>
    <w:rsid w:val="00AB4E19"/>
    <w:rsid w:val="00AB50C9"/>
    <w:rsid w:val="00AB637C"/>
    <w:rsid w:val="00AB720E"/>
    <w:rsid w:val="00AC129C"/>
    <w:rsid w:val="00AC1508"/>
    <w:rsid w:val="00AC1631"/>
    <w:rsid w:val="00AC178B"/>
    <w:rsid w:val="00AC29BE"/>
    <w:rsid w:val="00AC2AD4"/>
    <w:rsid w:val="00AC4C7D"/>
    <w:rsid w:val="00AC565B"/>
    <w:rsid w:val="00AC59C2"/>
    <w:rsid w:val="00AC62FF"/>
    <w:rsid w:val="00AC6CCB"/>
    <w:rsid w:val="00AD017E"/>
    <w:rsid w:val="00AD5072"/>
    <w:rsid w:val="00AD583E"/>
    <w:rsid w:val="00AD72B4"/>
    <w:rsid w:val="00AE1F94"/>
    <w:rsid w:val="00AE2B94"/>
    <w:rsid w:val="00AE2C4B"/>
    <w:rsid w:val="00AE31F0"/>
    <w:rsid w:val="00AE360B"/>
    <w:rsid w:val="00AE48E2"/>
    <w:rsid w:val="00AE5D78"/>
    <w:rsid w:val="00AF0C3C"/>
    <w:rsid w:val="00AF50C2"/>
    <w:rsid w:val="00AF68FD"/>
    <w:rsid w:val="00B001F4"/>
    <w:rsid w:val="00B0253F"/>
    <w:rsid w:val="00B071F1"/>
    <w:rsid w:val="00B077A9"/>
    <w:rsid w:val="00B1029D"/>
    <w:rsid w:val="00B12D62"/>
    <w:rsid w:val="00B13BC9"/>
    <w:rsid w:val="00B1529D"/>
    <w:rsid w:val="00B17800"/>
    <w:rsid w:val="00B203D0"/>
    <w:rsid w:val="00B21698"/>
    <w:rsid w:val="00B256ED"/>
    <w:rsid w:val="00B25F25"/>
    <w:rsid w:val="00B274C1"/>
    <w:rsid w:val="00B30729"/>
    <w:rsid w:val="00B36F90"/>
    <w:rsid w:val="00B42C39"/>
    <w:rsid w:val="00B44829"/>
    <w:rsid w:val="00B467AF"/>
    <w:rsid w:val="00B50652"/>
    <w:rsid w:val="00B510D8"/>
    <w:rsid w:val="00B53E38"/>
    <w:rsid w:val="00B56772"/>
    <w:rsid w:val="00B6591A"/>
    <w:rsid w:val="00B6684A"/>
    <w:rsid w:val="00B741F7"/>
    <w:rsid w:val="00B759B0"/>
    <w:rsid w:val="00B806C7"/>
    <w:rsid w:val="00B821ED"/>
    <w:rsid w:val="00B829D4"/>
    <w:rsid w:val="00B8566B"/>
    <w:rsid w:val="00B85B56"/>
    <w:rsid w:val="00B92337"/>
    <w:rsid w:val="00B9323F"/>
    <w:rsid w:val="00B96736"/>
    <w:rsid w:val="00BA01F6"/>
    <w:rsid w:val="00BA139C"/>
    <w:rsid w:val="00BA376B"/>
    <w:rsid w:val="00BA7369"/>
    <w:rsid w:val="00BB29B8"/>
    <w:rsid w:val="00BC18F0"/>
    <w:rsid w:val="00BC29B9"/>
    <w:rsid w:val="00BD3376"/>
    <w:rsid w:val="00BD3E8C"/>
    <w:rsid w:val="00BD5115"/>
    <w:rsid w:val="00BF4864"/>
    <w:rsid w:val="00BF7386"/>
    <w:rsid w:val="00C00019"/>
    <w:rsid w:val="00C03D38"/>
    <w:rsid w:val="00C040D1"/>
    <w:rsid w:val="00C10411"/>
    <w:rsid w:val="00C148BC"/>
    <w:rsid w:val="00C17ADD"/>
    <w:rsid w:val="00C23F37"/>
    <w:rsid w:val="00C24865"/>
    <w:rsid w:val="00C25ECD"/>
    <w:rsid w:val="00C2610E"/>
    <w:rsid w:val="00C26552"/>
    <w:rsid w:val="00C26D1E"/>
    <w:rsid w:val="00C27871"/>
    <w:rsid w:val="00C30316"/>
    <w:rsid w:val="00C303A2"/>
    <w:rsid w:val="00C3097A"/>
    <w:rsid w:val="00C31BEC"/>
    <w:rsid w:val="00C33E2E"/>
    <w:rsid w:val="00C42985"/>
    <w:rsid w:val="00C47131"/>
    <w:rsid w:val="00C475E9"/>
    <w:rsid w:val="00C5118A"/>
    <w:rsid w:val="00C525C6"/>
    <w:rsid w:val="00C52842"/>
    <w:rsid w:val="00C530EB"/>
    <w:rsid w:val="00C5799F"/>
    <w:rsid w:val="00C655D5"/>
    <w:rsid w:val="00C662C8"/>
    <w:rsid w:val="00C6719C"/>
    <w:rsid w:val="00C67BAC"/>
    <w:rsid w:val="00C72CF7"/>
    <w:rsid w:val="00C7356E"/>
    <w:rsid w:val="00C77680"/>
    <w:rsid w:val="00C777E6"/>
    <w:rsid w:val="00C77CDB"/>
    <w:rsid w:val="00C83265"/>
    <w:rsid w:val="00C907D6"/>
    <w:rsid w:val="00C9294A"/>
    <w:rsid w:val="00C9604F"/>
    <w:rsid w:val="00C97835"/>
    <w:rsid w:val="00CA0FEB"/>
    <w:rsid w:val="00CA1375"/>
    <w:rsid w:val="00CA3E6D"/>
    <w:rsid w:val="00CA40F8"/>
    <w:rsid w:val="00CA4371"/>
    <w:rsid w:val="00CA4C0F"/>
    <w:rsid w:val="00CB1BD0"/>
    <w:rsid w:val="00CB24CF"/>
    <w:rsid w:val="00CB4BFF"/>
    <w:rsid w:val="00CB5DB8"/>
    <w:rsid w:val="00CB5F15"/>
    <w:rsid w:val="00CC2948"/>
    <w:rsid w:val="00CC47A3"/>
    <w:rsid w:val="00CC49A9"/>
    <w:rsid w:val="00CC7DFD"/>
    <w:rsid w:val="00CD0C8C"/>
    <w:rsid w:val="00CE1D02"/>
    <w:rsid w:val="00CE5426"/>
    <w:rsid w:val="00CE7085"/>
    <w:rsid w:val="00CF1A3D"/>
    <w:rsid w:val="00CF2880"/>
    <w:rsid w:val="00CF2BC7"/>
    <w:rsid w:val="00CF3152"/>
    <w:rsid w:val="00CF45CF"/>
    <w:rsid w:val="00CF56ED"/>
    <w:rsid w:val="00D02E31"/>
    <w:rsid w:val="00D038E3"/>
    <w:rsid w:val="00D03A13"/>
    <w:rsid w:val="00D03EEE"/>
    <w:rsid w:val="00D05A23"/>
    <w:rsid w:val="00D10CFE"/>
    <w:rsid w:val="00D12C2E"/>
    <w:rsid w:val="00D136E4"/>
    <w:rsid w:val="00D145FA"/>
    <w:rsid w:val="00D16E52"/>
    <w:rsid w:val="00D17837"/>
    <w:rsid w:val="00D20948"/>
    <w:rsid w:val="00D22C9A"/>
    <w:rsid w:val="00D2321A"/>
    <w:rsid w:val="00D245CC"/>
    <w:rsid w:val="00D2526F"/>
    <w:rsid w:val="00D27F00"/>
    <w:rsid w:val="00D305B0"/>
    <w:rsid w:val="00D358F8"/>
    <w:rsid w:val="00D35CC7"/>
    <w:rsid w:val="00D3678B"/>
    <w:rsid w:val="00D403FE"/>
    <w:rsid w:val="00D418B2"/>
    <w:rsid w:val="00D4715F"/>
    <w:rsid w:val="00D47D09"/>
    <w:rsid w:val="00D552A7"/>
    <w:rsid w:val="00D55D19"/>
    <w:rsid w:val="00D55D90"/>
    <w:rsid w:val="00D55FA0"/>
    <w:rsid w:val="00D566D7"/>
    <w:rsid w:val="00D57C27"/>
    <w:rsid w:val="00D611AE"/>
    <w:rsid w:val="00D62796"/>
    <w:rsid w:val="00D65661"/>
    <w:rsid w:val="00D67B7F"/>
    <w:rsid w:val="00D71FF3"/>
    <w:rsid w:val="00D73C5B"/>
    <w:rsid w:val="00D74DD1"/>
    <w:rsid w:val="00D77B03"/>
    <w:rsid w:val="00D80D79"/>
    <w:rsid w:val="00D81C6A"/>
    <w:rsid w:val="00D82D36"/>
    <w:rsid w:val="00D84377"/>
    <w:rsid w:val="00D85D54"/>
    <w:rsid w:val="00D867E7"/>
    <w:rsid w:val="00D91610"/>
    <w:rsid w:val="00D91A58"/>
    <w:rsid w:val="00D95F08"/>
    <w:rsid w:val="00D9770E"/>
    <w:rsid w:val="00D97E35"/>
    <w:rsid w:val="00DA08A5"/>
    <w:rsid w:val="00DA0A29"/>
    <w:rsid w:val="00DA0D4F"/>
    <w:rsid w:val="00DA2457"/>
    <w:rsid w:val="00DA26BC"/>
    <w:rsid w:val="00DA2735"/>
    <w:rsid w:val="00DB11C1"/>
    <w:rsid w:val="00DB302B"/>
    <w:rsid w:val="00DB3DA7"/>
    <w:rsid w:val="00DB5023"/>
    <w:rsid w:val="00DC2269"/>
    <w:rsid w:val="00DC4661"/>
    <w:rsid w:val="00DC627C"/>
    <w:rsid w:val="00DD1738"/>
    <w:rsid w:val="00DD2B81"/>
    <w:rsid w:val="00DD3916"/>
    <w:rsid w:val="00DD4283"/>
    <w:rsid w:val="00DD4FE6"/>
    <w:rsid w:val="00DE3DC4"/>
    <w:rsid w:val="00DF08BA"/>
    <w:rsid w:val="00DF2036"/>
    <w:rsid w:val="00DF3869"/>
    <w:rsid w:val="00DF3F35"/>
    <w:rsid w:val="00DF40CF"/>
    <w:rsid w:val="00E0203C"/>
    <w:rsid w:val="00E10031"/>
    <w:rsid w:val="00E10965"/>
    <w:rsid w:val="00E10CF1"/>
    <w:rsid w:val="00E143B5"/>
    <w:rsid w:val="00E16428"/>
    <w:rsid w:val="00E165DE"/>
    <w:rsid w:val="00E16BB3"/>
    <w:rsid w:val="00E26597"/>
    <w:rsid w:val="00E341B2"/>
    <w:rsid w:val="00E34F8B"/>
    <w:rsid w:val="00E43C1C"/>
    <w:rsid w:val="00E4609A"/>
    <w:rsid w:val="00E50E0F"/>
    <w:rsid w:val="00E51443"/>
    <w:rsid w:val="00E5428F"/>
    <w:rsid w:val="00E5602B"/>
    <w:rsid w:val="00E56C33"/>
    <w:rsid w:val="00E57739"/>
    <w:rsid w:val="00E61D3D"/>
    <w:rsid w:val="00E62B3D"/>
    <w:rsid w:val="00E64313"/>
    <w:rsid w:val="00E660F4"/>
    <w:rsid w:val="00E66F5B"/>
    <w:rsid w:val="00E70596"/>
    <w:rsid w:val="00E72667"/>
    <w:rsid w:val="00E732EC"/>
    <w:rsid w:val="00E748C5"/>
    <w:rsid w:val="00E7739D"/>
    <w:rsid w:val="00E8117B"/>
    <w:rsid w:val="00E829D4"/>
    <w:rsid w:val="00E83BF3"/>
    <w:rsid w:val="00E84332"/>
    <w:rsid w:val="00E85B0C"/>
    <w:rsid w:val="00E9114C"/>
    <w:rsid w:val="00E91C59"/>
    <w:rsid w:val="00E92789"/>
    <w:rsid w:val="00E92D23"/>
    <w:rsid w:val="00E94FD9"/>
    <w:rsid w:val="00E97417"/>
    <w:rsid w:val="00EA20AD"/>
    <w:rsid w:val="00EB5352"/>
    <w:rsid w:val="00EB54D5"/>
    <w:rsid w:val="00EB5BD4"/>
    <w:rsid w:val="00EB6156"/>
    <w:rsid w:val="00EB62C7"/>
    <w:rsid w:val="00EB6B3C"/>
    <w:rsid w:val="00EC2AD8"/>
    <w:rsid w:val="00EC51CA"/>
    <w:rsid w:val="00EC57EA"/>
    <w:rsid w:val="00EC605C"/>
    <w:rsid w:val="00EC72DE"/>
    <w:rsid w:val="00ED4EDE"/>
    <w:rsid w:val="00ED6F8A"/>
    <w:rsid w:val="00ED7C24"/>
    <w:rsid w:val="00EE0CE7"/>
    <w:rsid w:val="00EE1B71"/>
    <w:rsid w:val="00EE4942"/>
    <w:rsid w:val="00EE5FE1"/>
    <w:rsid w:val="00EF3D70"/>
    <w:rsid w:val="00EF6C2F"/>
    <w:rsid w:val="00F0363F"/>
    <w:rsid w:val="00F06EA2"/>
    <w:rsid w:val="00F11EFD"/>
    <w:rsid w:val="00F12E7F"/>
    <w:rsid w:val="00F12F4A"/>
    <w:rsid w:val="00F143A1"/>
    <w:rsid w:val="00F14C51"/>
    <w:rsid w:val="00F16BEB"/>
    <w:rsid w:val="00F22F55"/>
    <w:rsid w:val="00F26E4A"/>
    <w:rsid w:val="00F27227"/>
    <w:rsid w:val="00F2772F"/>
    <w:rsid w:val="00F30DA0"/>
    <w:rsid w:val="00F30F31"/>
    <w:rsid w:val="00F34832"/>
    <w:rsid w:val="00F432F6"/>
    <w:rsid w:val="00F43753"/>
    <w:rsid w:val="00F47094"/>
    <w:rsid w:val="00F51888"/>
    <w:rsid w:val="00F51E0F"/>
    <w:rsid w:val="00F52731"/>
    <w:rsid w:val="00F56077"/>
    <w:rsid w:val="00F57FE3"/>
    <w:rsid w:val="00F64AAF"/>
    <w:rsid w:val="00F65173"/>
    <w:rsid w:val="00F65483"/>
    <w:rsid w:val="00F812E0"/>
    <w:rsid w:val="00F8337D"/>
    <w:rsid w:val="00F846F0"/>
    <w:rsid w:val="00F864FC"/>
    <w:rsid w:val="00F86917"/>
    <w:rsid w:val="00F86CEA"/>
    <w:rsid w:val="00F90280"/>
    <w:rsid w:val="00F918D4"/>
    <w:rsid w:val="00F93A80"/>
    <w:rsid w:val="00FA03B9"/>
    <w:rsid w:val="00FA0B19"/>
    <w:rsid w:val="00FA1C34"/>
    <w:rsid w:val="00FA76FC"/>
    <w:rsid w:val="00FB01D7"/>
    <w:rsid w:val="00FB0D10"/>
    <w:rsid w:val="00FB18F3"/>
    <w:rsid w:val="00FB1ACB"/>
    <w:rsid w:val="00FB3146"/>
    <w:rsid w:val="00FB3C5F"/>
    <w:rsid w:val="00FB526F"/>
    <w:rsid w:val="00FC221C"/>
    <w:rsid w:val="00FC25ED"/>
    <w:rsid w:val="00FC2EA0"/>
    <w:rsid w:val="00FC2FF9"/>
    <w:rsid w:val="00FC383B"/>
    <w:rsid w:val="00FC4C09"/>
    <w:rsid w:val="00FC5038"/>
    <w:rsid w:val="00FC5669"/>
    <w:rsid w:val="00FC5D23"/>
    <w:rsid w:val="00FC67C7"/>
    <w:rsid w:val="00FE1B8F"/>
    <w:rsid w:val="00FE1E6F"/>
    <w:rsid w:val="00FE2BA7"/>
    <w:rsid w:val="00FE670B"/>
    <w:rsid w:val="00FE6930"/>
    <w:rsid w:val="00FE6B09"/>
    <w:rsid w:val="00FE7407"/>
    <w:rsid w:val="00FF22B4"/>
    <w:rsid w:val="00FF747E"/>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29"/>
    <w:rPr>
      <w:rFonts w:ascii="Times New Roman" w:eastAsia="Times New Roman" w:hAnsi="Times New Roman" w:cs="Times New Roman"/>
    </w:rPr>
  </w:style>
  <w:style w:type="paragraph" w:styleId="Heading1">
    <w:name w:val="heading 1"/>
    <w:basedOn w:val="Normal"/>
    <w:link w:val="Heading1Char"/>
    <w:uiPriority w:val="9"/>
    <w:qFormat/>
    <w:rsid w:val="00AC62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 w:type="character" w:customStyle="1" w:styleId="Heading1Char">
    <w:name w:val="Heading 1 Char"/>
    <w:basedOn w:val="DefaultParagraphFont"/>
    <w:link w:val="Heading1"/>
    <w:uiPriority w:val="9"/>
    <w:rsid w:val="00AC62F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3672">
      <w:bodyDiv w:val="1"/>
      <w:marLeft w:val="0"/>
      <w:marRight w:val="0"/>
      <w:marTop w:val="0"/>
      <w:marBottom w:val="0"/>
      <w:divBdr>
        <w:top w:val="none" w:sz="0" w:space="0" w:color="auto"/>
        <w:left w:val="none" w:sz="0" w:space="0" w:color="auto"/>
        <w:bottom w:val="none" w:sz="0" w:space="0" w:color="auto"/>
        <w:right w:val="none" w:sz="0" w:space="0" w:color="auto"/>
      </w:divBdr>
    </w:div>
    <w:div w:id="97258536">
      <w:bodyDiv w:val="1"/>
      <w:marLeft w:val="0"/>
      <w:marRight w:val="0"/>
      <w:marTop w:val="0"/>
      <w:marBottom w:val="0"/>
      <w:divBdr>
        <w:top w:val="none" w:sz="0" w:space="0" w:color="auto"/>
        <w:left w:val="none" w:sz="0" w:space="0" w:color="auto"/>
        <w:bottom w:val="none" w:sz="0" w:space="0" w:color="auto"/>
        <w:right w:val="none" w:sz="0" w:space="0" w:color="auto"/>
      </w:divBdr>
      <w:divsChild>
        <w:div w:id="1036542678">
          <w:marLeft w:val="1440"/>
          <w:marRight w:val="0"/>
          <w:marTop w:val="100"/>
          <w:marBottom w:val="0"/>
          <w:divBdr>
            <w:top w:val="none" w:sz="0" w:space="0" w:color="auto"/>
            <w:left w:val="none" w:sz="0" w:space="0" w:color="auto"/>
            <w:bottom w:val="none" w:sz="0" w:space="0" w:color="auto"/>
            <w:right w:val="none" w:sz="0" w:space="0" w:color="auto"/>
          </w:divBdr>
        </w:div>
        <w:div w:id="1770462840">
          <w:marLeft w:val="2246"/>
          <w:marRight w:val="0"/>
          <w:marTop w:val="100"/>
          <w:marBottom w:val="0"/>
          <w:divBdr>
            <w:top w:val="none" w:sz="0" w:space="0" w:color="auto"/>
            <w:left w:val="none" w:sz="0" w:space="0" w:color="auto"/>
            <w:bottom w:val="none" w:sz="0" w:space="0" w:color="auto"/>
            <w:right w:val="none" w:sz="0" w:space="0" w:color="auto"/>
          </w:divBdr>
        </w:div>
        <w:div w:id="1971587679">
          <w:marLeft w:val="2246"/>
          <w:marRight w:val="0"/>
          <w:marTop w:val="100"/>
          <w:marBottom w:val="0"/>
          <w:divBdr>
            <w:top w:val="none" w:sz="0" w:space="0" w:color="auto"/>
            <w:left w:val="none" w:sz="0" w:space="0" w:color="auto"/>
            <w:bottom w:val="none" w:sz="0" w:space="0" w:color="auto"/>
            <w:right w:val="none" w:sz="0" w:space="0" w:color="auto"/>
          </w:divBdr>
        </w:div>
        <w:div w:id="1609504981">
          <w:marLeft w:val="1440"/>
          <w:marRight w:val="0"/>
          <w:marTop w:val="100"/>
          <w:marBottom w:val="0"/>
          <w:divBdr>
            <w:top w:val="none" w:sz="0" w:space="0" w:color="auto"/>
            <w:left w:val="none" w:sz="0" w:space="0" w:color="auto"/>
            <w:bottom w:val="none" w:sz="0" w:space="0" w:color="auto"/>
            <w:right w:val="none" w:sz="0" w:space="0" w:color="auto"/>
          </w:divBdr>
        </w:div>
        <w:div w:id="517618759">
          <w:marLeft w:val="1440"/>
          <w:marRight w:val="0"/>
          <w:marTop w:val="100"/>
          <w:marBottom w:val="0"/>
          <w:divBdr>
            <w:top w:val="none" w:sz="0" w:space="0" w:color="auto"/>
            <w:left w:val="none" w:sz="0" w:space="0" w:color="auto"/>
            <w:bottom w:val="none" w:sz="0" w:space="0" w:color="auto"/>
            <w:right w:val="none" w:sz="0" w:space="0" w:color="auto"/>
          </w:divBdr>
        </w:div>
        <w:div w:id="1444571159">
          <w:marLeft w:val="1440"/>
          <w:marRight w:val="0"/>
          <w:marTop w:val="100"/>
          <w:marBottom w:val="0"/>
          <w:divBdr>
            <w:top w:val="none" w:sz="0" w:space="0" w:color="auto"/>
            <w:left w:val="none" w:sz="0" w:space="0" w:color="auto"/>
            <w:bottom w:val="none" w:sz="0" w:space="0" w:color="auto"/>
            <w:right w:val="none" w:sz="0" w:space="0" w:color="auto"/>
          </w:divBdr>
        </w:div>
        <w:div w:id="783812614">
          <w:marLeft w:val="1440"/>
          <w:marRight w:val="0"/>
          <w:marTop w:val="100"/>
          <w:marBottom w:val="0"/>
          <w:divBdr>
            <w:top w:val="none" w:sz="0" w:space="0" w:color="auto"/>
            <w:left w:val="none" w:sz="0" w:space="0" w:color="auto"/>
            <w:bottom w:val="none" w:sz="0" w:space="0" w:color="auto"/>
            <w:right w:val="none" w:sz="0" w:space="0" w:color="auto"/>
          </w:divBdr>
        </w:div>
        <w:div w:id="1715234042">
          <w:marLeft w:val="1440"/>
          <w:marRight w:val="0"/>
          <w:marTop w:val="100"/>
          <w:marBottom w:val="0"/>
          <w:divBdr>
            <w:top w:val="none" w:sz="0" w:space="0" w:color="auto"/>
            <w:left w:val="none" w:sz="0" w:space="0" w:color="auto"/>
            <w:bottom w:val="none" w:sz="0" w:space="0" w:color="auto"/>
            <w:right w:val="none" w:sz="0" w:space="0" w:color="auto"/>
          </w:divBdr>
        </w:div>
        <w:div w:id="957754980">
          <w:marLeft w:val="1440"/>
          <w:marRight w:val="0"/>
          <w:marTop w:val="100"/>
          <w:marBottom w:val="0"/>
          <w:divBdr>
            <w:top w:val="none" w:sz="0" w:space="0" w:color="auto"/>
            <w:left w:val="none" w:sz="0" w:space="0" w:color="auto"/>
            <w:bottom w:val="none" w:sz="0" w:space="0" w:color="auto"/>
            <w:right w:val="none" w:sz="0" w:space="0" w:color="auto"/>
          </w:divBdr>
        </w:div>
        <w:div w:id="843011625">
          <w:marLeft w:val="1440"/>
          <w:marRight w:val="0"/>
          <w:marTop w:val="100"/>
          <w:marBottom w:val="0"/>
          <w:divBdr>
            <w:top w:val="none" w:sz="0" w:space="0" w:color="auto"/>
            <w:left w:val="none" w:sz="0" w:space="0" w:color="auto"/>
            <w:bottom w:val="none" w:sz="0" w:space="0" w:color="auto"/>
            <w:right w:val="none" w:sz="0" w:space="0" w:color="auto"/>
          </w:divBdr>
        </w:div>
        <w:div w:id="1650671354">
          <w:marLeft w:val="1440"/>
          <w:marRight w:val="0"/>
          <w:marTop w:val="100"/>
          <w:marBottom w:val="0"/>
          <w:divBdr>
            <w:top w:val="none" w:sz="0" w:space="0" w:color="auto"/>
            <w:left w:val="none" w:sz="0" w:space="0" w:color="auto"/>
            <w:bottom w:val="none" w:sz="0" w:space="0" w:color="auto"/>
            <w:right w:val="none" w:sz="0" w:space="0" w:color="auto"/>
          </w:divBdr>
        </w:div>
        <w:div w:id="1980180937">
          <w:marLeft w:val="1440"/>
          <w:marRight w:val="0"/>
          <w:marTop w:val="100"/>
          <w:marBottom w:val="0"/>
          <w:divBdr>
            <w:top w:val="none" w:sz="0" w:space="0" w:color="auto"/>
            <w:left w:val="none" w:sz="0" w:space="0" w:color="auto"/>
            <w:bottom w:val="none" w:sz="0" w:space="0" w:color="auto"/>
            <w:right w:val="none" w:sz="0" w:space="0" w:color="auto"/>
          </w:divBdr>
        </w:div>
        <w:div w:id="1908609052">
          <w:marLeft w:val="1440"/>
          <w:marRight w:val="0"/>
          <w:marTop w:val="100"/>
          <w:marBottom w:val="0"/>
          <w:divBdr>
            <w:top w:val="none" w:sz="0" w:space="0" w:color="auto"/>
            <w:left w:val="none" w:sz="0" w:space="0" w:color="auto"/>
            <w:bottom w:val="none" w:sz="0" w:space="0" w:color="auto"/>
            <w:right w:val="none" w:sz="0" w:space="0" w:color="auto"/>
          </w:divBdr>
        </w:div>
        <w:div w:id="936447096">
          <w:marLeft w:val="1440"/>
          <w:marRight w:val="0"/>
          <w:marTop w:val="100"/>
          <w:marBottom w:val="0"/>
          <w:divBdr>
            <w:top w:val="none" w:sz="0" w:space="0" w:color="auto"/>
            <w:left w:val="none" w:sz="0" w:space="0" w:color="auto"/>
            <w:bottom w:val="none" w:sz="0" w:space="0" w:color="auto"/>
            <w:right w:val="none" w:sz="0" w:space="0" w:color="auto"/>
          </w:divBdr>
        </w:div>
        <w:div w:id="2111388784">
          <w:marLeft w:val="1440"/>
          <w:marRight w:val="0"/>
          <w:marTop w:val="100"/>
          <w:marBottom w:val="0"/>
          <w:divBdr>
            <w:top w:val="none" w:sz="0" w:space="0" w:color="auto"/>
            <w:left w:val="none" w:sz="0" w:space="0" w:color="auto"/>
            <w:bottom w:val="none" w:sz="0" w:space="0" w:color="auto"/>
            <w:right w:val="none" w:sz="0" w:space="0" w:color="auto"/>
          </w:divBdr>
        </w:div>
        <w:div w:id="683634773">
          <w:marLeft w:val="1440"/>
          <w:marRight w:val="0"/>
          <w:marTop w:val="100"/>
          <w:marBottom w:val="0"/>
          <w:divBdr>
            <w:top w:val="none" w:sz="0" w:space="0" w:color="auto"/>
            <w:left w:val="none" w:sz="0" w:space="0" w:color="auto"/>
            <w:bottom w:val="none" w:sz="0" w:space="0" w:color="auto"/>
            <w:right w:val="none" w:sz="0" w:space="0" w:color="auto"/>
          </w:divBdr>
        </w:div>
      </w:divsChild>
    </w:div>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4178355">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11189378">
      <w:bodyDiv w:val="1"/>
      <w:marLeft w:val="0"/>
      <w:marRight w:val="0"/>
      <w:marTop w:val="0"/>
      <w:marBottom w:val="0"/>
      <w:divBdr>
        <w:top w:val="none" w:sz="0" w:space="0" w:color="auto"/>
        <w:left w:val="none" w:sz="0" w:space="0" w:color="auto"/>
        <w:bottom w:val="none" w:sz="0" w:space="0" w:color="auto"/>
        <w:right w:val="none" w:sz="0" w:space="0" w:color="auto"/>
      </w:divBdr>
      <w:divsChild>
        <w:div w:id="1298488880">
          <w:marLeft w:val="0"/>
          <w:marRight w:val="0"/>
          <w:marTop w:val="0"/>
          <w:marBottom w:val="0"/>
          <w:divBdr>
            <w:top w:val="none" w:sz="0" w:space="0" w:color="auto"/>
            <w:left w:val="none" w:sz="0" w:space="0" w:color="auto"/>
            <w:bottom w:val="none" w:sz="0" w:space="0" w:color="auto"/>
            <w:right w:val="none" w:sz="0" w:space="0" w:color="auto"/>
          </w:divBdr>
          <w:divsChild>
            <w:div w:id="761493498">
              <w:marLeft w:val="0"/>
              <w:marRight w:val="0"/>
              <w:marTop w:val="0"/>
              <w:marBottom w:val="0"/>
              <w:divBdr>
                <w:top w:val="none" w:sz="0" w:space="0" w:color="auto"/>
                <w:left w:val="none" w:sz="0" w:space="0" w:color="auto"/>
                <w:bottom w:val="none" w:sz="0" w:space="0" w:color="auto"/>
                <w:right w:val="none" w:sz="0" w:space="0" w:color="auto"/>
              </w:divBdr>
              <w:divsChild>
                <w:div w:id="9435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8235">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37906601">
      <w:bodyDiv w:val="1"/>
      <w:marLeft w:val="0"/>
      <w:marRight w:val="0"/>
      <w:marTop w:val="0"/>
      <w:marBottom w:val="0"/>
      <w:divBdr>
        <w:top w:val="none" w:sz="0" w:space="0" w:color="auto"/>
        <w:left w:val="none" w:sz="0" w:space="0" w:color="auto"/>
        <w:bottom w:val="none" w:sz="0" w:space="0" w:color="auto"/>
        <w:right w:val="none" w:sz="0" w:space="0" w:color="auto"/>
      </w:divBdr>
      <w:divsChild>
        <w:div w:id="1224487046">
          <w:marLeft w:val="0"/>
          <w:marRight w:val="0"/>
          <w:marTop w:val="0"/>
          <w:marBottom w:val="0"/>
          <w:divBdr>
            <w:top w:val="none" w:sz="0" w:space="0" w:color="auto"/>
            <w:left w:val="none" w:sz="0" w:space="0" w:color="auto"/>
            <w:bottom w:val="none" w:sz="0" w:space="0" w:color="auto"/>
            <w:right w:val="none" w:sz="0" w:space="0" w:color="auto"/>
          </w:divBdr>
          <w:divsChild>
            <w:div w:id="1244682124">
              <w:marLeft w:val="0"/>
              <w:marRight w:val="0"/>
              <w:marTop w:val="0"/>
              <w:marBottom w:val="0"/>
              <w:divBdr>
                <w:top w:val="none" w:sz="0" w:space="0" w:color="auto"/>
                <w:left w:val="none" w:sz="0" w:space="0" w:color="auto"/>
                <w:bottom w:val="none" w:sz="0" w:space="0" w:color="auto"/>
                <w:right w:val="none" w:sz="0" w:space="0" w:color="auto"/>
              </w:divBdr>
              <w:divsChild>
                <w:div w:id="1337920274">
                  <w:marLeft w:val="0"/>
                  <w:marRight w:val="0"/>
                  <w:marTop w:val="0"/>
                  <w:marBottom w:val="0"/>
                  <w:divBdr>
                    <w:top w:val="none" w:sz="0" w:space="0" w:color="auto"/>
                    <w:left w:val="none" w:sz="0" w:space="0" w:color="auto"/>
                    <w:bottom w:val="none" w:sz="0" w:space="0" w:color="auto"/>
                    <w:right w:val="none" w:sz="0" w:space="0" w:color="auto"/>
                  </w:divBdr>
                  <w:divsChild>
                    <w:div w:id="742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1636550">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20163000">
      <w:bodyDiv w:val="1"/>
      <w:marLeft w:val="0"/>
      <w:marRight w:val="0"/>
      <w:marTop w:val="0"/>
      <w:marBottom w:val="0"/>
      <w:divBdr>
        <w:top w:val="none" w:sz="0" w:space="0" w:color="auto"/>
        <w:left w:val="none" w:sz="0" w:space="0" w:color="auto"/>
        <w:bottom w:val="none" w:sz="0" w:space="0" w:color="auto"/>
        <w:right w:val="none" w:sz="0" w:space="0" w:color="auto"/>
      </w:divBdr>
    </w:div>
    <w:div w:id="325980922">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496923484">
      <w:bodyDiv w:val="1"/>
      <w:marLeft w:val="0"/>
      <w:marRight w:val="0"/>
      <w:marTop w:val="0"/>
      <w:marBottom w:val="0"/>
      <w:divBdr>
        <w:top w:val="none" w:sz="0" w:space="0" w:color="auto"/>
        <w:left w:val="none" w:sz="0" w:space="0" w:color="auto"/>
        <w:bottom w:val="none" w:sz="0" w:space="0" w:color="auto"/>
        <w:right w:val="none" w:sz="0" w:space="0" w:color="auto"/>
      </w:divBdr>
      <w:divsChild>
        <w:div w:id="1102844740">
          <w:marLeft w:val="2246"/>
          <w:marRight w:val="0"/>
          <w:marTop w:val="100"/>
          <w:marBottom w:val="0"/>
          <w:divBdr>
            <w:top w:val="none" w:sz="0" w:space="0" w:color="auto"/>
            <w:left w:val="none" w:sz="0" w:space="0" w:color="auto"/>
            <w:bottom w:val="none" w:sz="0" w:space="0" w:color="auto"/>
            <w:right w:val="none" w:sz="0" w:space="0" w:color="auto"/>
          </w:divBdr>
        </w:div>
      </w:divsChild>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2914717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46783198">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43532771">
      <w:bodyDiv w:val="1"/>
      <w:marLeft w:val="0"/>
      <w:marRight w:val="0"/>
      <w:marTop w:val="0"/>
      <w:marBottom w:val="0"/>
      <w:divBdr>
        <w:top w:val="none" w:sz="0" w:space="0" w:color="auto"/>
        <w:left w:val="none" w:sz="0" w:space="0" w:color="auto"/>
        <w:bottom w:val="none" w:sz="0" w:space="0" w:color="auto"/>
        <w:right w:val="none" w:sz="0" w:space="0" w:color="auto"/>
      </w:divBdr>
      <w:divsChild>
        <w:div w:id="122314820">
          <w:marLeft w:val="0"/>
          <w:marRight w:val="0"/>
          <w:marTop w:val="0"/>
          <w:marBottom w:val="0"/>
          <w:divBdr>
            <w:top w:val="none" w:sz="0" w:space="0" w:color="auto"/>
            <w:left w:val="none" w:sz="0" w:space="0" w:color="auto"/>
            <w:bottom w:val="none" w:sz="0" w:space="0" w:color="auto"/>
            <w:right w:val="none" w:sz="0" w:space="0" w:color="auto"/>
          </w:divBdr>
          <w:divsChild>
            <w:div w:id="588268449">
              <w:marLeft w:val="0"/>
              <w:marRight w:val="0"/>
              <w:marTop w:val="0"/>
              <w:marBottom w:val="0"/>
              <w:divBdr>
                <w:top w:val="none" w:sz="0" w:space="0" w:color="auto"/>
                <w:left w:val="none" w:sz="0" w:space="0" w:color="auto"/>
                <w:bottom w:val="none" w:sz="0" w:space="0" w:color="auto"/>
                <w:right w:val="none" w:sz="0" w:space="0" w:color="auto"/>
              </w:divBdr>
              <w:divsChild>
                <w:div w:id="1460106873">
                  <w:marLeft w:val="0"/>
                  <w:marRight w:val="0"/>
                  <w:marTop w:val="0"/>
                  <w:marBottom w:val="0"/>
                  <w:divBdr>
                    <w:top w:val="none" w:sz="0" w:space="0" w:color="auto"/>
                    <w:left w:val="none" w:sz="0" w:space="0" w:color="auto"/>
                    <w:bottom w:val="none" w:sz="0" w:space="0" w:color="auto"/>
                    <w:right w:val="none" w:sz="0" w:space="0" w:color="auto"/>
                  </w:divBdr>
                  <w:divsChild>
                    <w:div w:id="138359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046839">
      <w:bodyDiv w:val="1"/>
      <w:marLeft w:val="0"/>
      <w:marRight w:val="0"/>
      <w:marTop w:val="0"/>
      <w:marBottom w:val="0"/>
      <w:divBdr>
        <w:top w:val="none" w:sz="0" w:space="0" w:color="auto"/>
        <w:left w:val="none" w:sz="0" w:space="0" w:color="auto"/>
        <w:bottom w:val="none" w:sz="0" w:space="0" w:color="auto"/>
        <w:right w:val="none" w:sz="0" w:space="0" w:color="auto"/>
      </w:divBdr>
      <w:divsChild>
        <w:div w:id="817772005">
          <w:marLeft w:val="0"/>
          <w:marRight w:val="0"/>
          <w:marTop w:val="0"/>
          <w:marBottom w:val="0"/>
          <w:divBdr>
            <w:top w:val="none" w:sz="0" w:space="0" w:color="auto"/>
            <w:left w:val="none" w:sz="0" w:space="0" w:color="auto"/>
            <w:bottom w:val="none" w:sz="0" w:space="0" w:color="auto"/>
            <w:right w:val="none" w:sz="0" w:space="0" w:color="auto"/>
          </w:divBdr>
          <w:divsChild>
            <w:div w:id="117992800">
              <w:marLeft w:val="0"/>
              <w:marRight w:val="0"/>
              <w:marTop w:val="0"/>
              <w:marBottom w:val="0"/>
              <w:divBdr>
                <w:top w:val="none" w:sz="0" w:space="0" w:color="auto"/>
                <w:left w:val="none" w:sz="0" w:space="0" w:color="auto"/>
                <w:bottom w:val="none" w:sz="0" w:space="0" w:color="auto"/>
                <w:right w:val="none" w:sz="0" w:space="0" w:color="auto"/>
              </w:divBdr>
              <w:divsChild>
                <w:div w:id="6975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791246059">
      <w:bodyDiv w:val="1"/>
      <w:marLeft w:val="0"/>
      <w:marRight w:val="0"/>
      <w:marTop w:val="0"/>
      <w:marBottom w:val="0"/>
      <w:divBdr>
        <w:top w:val="none" w:sz="0" w:space="0" w:color="auto"/>
        <w:left w:val="none" w:sz="0" w:space="0" w:color="auto"/>
        <w:bottom w:val="none" w:sz="0" w:space="0" w:color="auto"/>
        <w:right w:val="none" w:sz="0" w:space="0" w:color="auto"/>
      </w:divBdr>
    </w:div>
    <w:div w:id="843204400">
      <w:bodyDiv w:val="1"/>
      <w:marLeft w:val="0"/>
      <w:marRight w:val="0"/>
      <w:marTop w:val="0"/>
      <w:marBottom w:val="0"/>
      <w:divBdr>
        <w:top w:val="none" w:sz="0" w:space="0" w:color="auto"/>
        <w:left w:val="none" w:sz="0" w:space="0" w:color="auto"/>
        <w:bottom w:val="none" w:sz="0" w:space="0" w:color="auto"/>
        <w:right w:val="none" w:sz="0" w:space="0" w:color="auto"/>
      </w:divBdr>
      <w:divsChild>
        <w:div w:id="1020161049">
          <w:marLeft w:val="0"/>
          <w:marRight w:val="0"/>
          <w:marTop w:val="0"/>
          <w:marBottom w:val="0"/>
          <w:divBdr>
            <w:top w:val="none" w:sz="0" w:space="0" w:color="auto"/>
            <w:left w:val="none" w:sz="0" w:space="0" w:color="auto"/>
            <w:bottom w:val="none" w:sz="0" w:space="0" w:color="auto"/>
            <w:right w:val="none" w:sz="0" w:space="0" w:color="auto"/>
          </w:divBdr>
        </w:div>
      </w:divsChild>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998968144">
      <w:bodyDiv w:val="1"/>
      <w:marLeft w:val="0"/>
      <w:marRight w:val="0"/>
      <w:marTop w:val="0"/>
      <w:marBottom w:val="0"/>
      <w:divBdr>
        <w:top w:val="none" w:sz="0" w:space="0" w:color="auto"/>
        <w:left w:val="none" w:sz="0" w:space="0" w:color="auto"/>
        <w:bottom w:val="none" w:sz="0" w:space="0" w:color="auto"/>
        <w:right w:val="none" w:sz="0" w:space="0" w:color="auto"/>
      </w:divBdr>
    </w:div>
    <w:div w:id="1027099390">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44079928">
      <w:bodyDiv w:val="1"/>
      <w:marLeft w:val="0"/>
      <w:marRight w:val="0"/>
      <w:marTop w:val="0"/>
      <w:marBottom w:val="0"/>
      <w:divBdr>
        <w:top w:val="none" w:sz="0" w:space="0" w:color="auto"/>
        <w:left w:val="none" w:sz="0" w:space="0" w:color="auto"/>
        <w:bottom w:val="none" w:sz="0" w:space="0" w:color="auto"/>
        <w:right w:val="none" w:sz="0" w:space="0" w:color="auto"/>
      </w:divBdr>
      <w:divsChild>
        <w:div w:id="2026856176">
          <w:marLeft w:val="0"/>
          <w:marRight w:val="0"/>
          <w:marTop w:val="0"/>
          <w:marBottom w:val="0"/>
          <w:divBdr>
            <w:top w:val="none" w:sz="0" w:space="0" w:color="auto"/>
            <w:left w:val="none" w:sz="0" w:space="0" w:color="auto"/>
            <w:bottom w:val="none" w:sz="0" w:space="0" w:color="auto"/>
            <w:right w:val="none" w:sz="0" w:space="0" w:color="auto"/>
          </w:divBdr>
          <w:divsChild>
            <w:div w:id="1858763681">
              <w:marLeft w:val="0"/>
              <w:marRight w:val="0"/>
              <w:marTop w:val="0"/>
              <w:marBottom w:val="0"/>
              <w:divBdr>
                <w:top w:val="none" w:sz="0" w:space="0" w:color="auto"/>
                <w:left w:val="none" w:sz="0" w:space="0" w:color="auto"/>
                <w:bottom w:val="none" w:sz="0" w:space="0" w:color="auto"/>
                <w:right w:val="none" w:sz="0" w:space="0" w:color="auto"/>
              </w:divBdr>
              <w:divsChild>
                <w:div w:id="2968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856">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25406427">
      <w:bodyDiv w:val="1"/>
      <w:marLeft w:val="0"/>
      <w:marRight w:val="0"/>
      <w:marTop w:val="0"/>
      <w:marBottom w:val="0"/>
      <w:divBdr>
        <w:top w:val="none" w:sz="0" w:space="0" w:color="auto"/>
        <w:left w:val="none" w:sz="0" w:space="0" w:color="auto"/>
        <w:bottom w:val="none" w:sz="0" w:space="0" w:color="auto"/>
        <w:right w:val="none" w:sz="0" w:space="0" w:color="auto"/>
      </w:divBdr>
      <w:divsChild>
        <w:div w:id="1025207926">
          <w:marLeft w:val="0"/>
          <w:marRight w:val="0"/>
          <w:marTop w:val="0"/>
          <w:marBottom w:val="0"/>
          <w:divBdr>
            <w:top w:val="none" w:sz="0" w:space="0" w:color="auto"/>
            <w:left w:val="none" w:sz="0" w:space="0" w:color="auto"/>
            <w:bottom w:val="none" w:sz="0" w:space="0" w:color="auto"/>
            <w:right w:val="none" w:sz="0" w:space="0" w:color="auto"/>
          </w:divBdr>
          <w:divsChild>
            <w:div w:id="1513766297">
              <w:marLeft w:val="0"/>
              <w:marRight w:val="0"/>
              <w:marTop w:val="0"/>
              <w:marBottom w:val="0"/>
              <w:divBdr>
                <w:top w:val="none" w:sz="0" w:space="0" w:color="auto"/>
                <w:left w:val="none" w:sz="0" w:space="0" w:color="auto"/>
                <w:bottom w:val="none" w:sz="0" w:space="0" w:color="auto"/>
                <w:right w:val="none" w:sz="0" w:space="0" w:color="auto"/>
              </w:divBdr>
              <w:divsChild>
                <w:div w:id="1326200845">
                  <w:marLeft w:val="0"/>
                  <w:marRight w:val="0"/>
                  <w:marTop w:val="0"/>
                  <w:marBottom w:val="0"/>
                  <w:divBdr>
                    <w:top w:val="none" w:sz="0" w:space="0" w:color="auto"/>
                    <w:left w:val="none" w:sz="0" w:space="0" w:color="auto"/>
                    <w:bottom w:val="none" w:sz="0" w:space="0" w:color="auto"/>
                    <w:right w:val="none" w:sz="0" w:space="0" w:color="auto"/>
                  </w:divBdr>
                  <w:divsChild>
                    <w:div w:id="1968007708">
                      <w:marLeft w:val="0"/>
                      <w:marRight w:val="0"/>
                      <w:marTop w:val="0"/>
                      <w:marBottom w:val="0"/>
                      <w:divBdr>
                        <w:top w:val="none" w:sz="0" w:space="0" w:color="auto"/>
                        <w:left w:val="none" w:sz="0" w:space="0" w:color="auto"/>
                        <w:bottom w:val="none" w:sz="0" w:space="0" w:color="auto"/>
                        <w:right w:val="none" w:sz="0" w:space="0" w:color="auto"/>
                      </w:divBdr>
                      <w:divsChild>
                        <w:div w:id="16905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820006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432780427">
      <w:bodyDiv w:val="1"/>
      <w:marLeft w:val="0"/>
      <w:marRight w:val="0"/>
      <w:marTop w:val="0"/>
      <w:marBottom w:val="0"/>
      <w:divBdr>
        <w:top w:val="none" w:sz="0" w:space="0" w:color="auto"/>
        <w:left w:val="none" w:sz="0" w:space="0" w:color="auto"/>
        <w:bottom w:val="none" w:sz="0" w:space="0" w:color="auto"/>
        <w:right w:val="none" w:sz="0" w:space="0" w:color="auto"/>
      </w:divBdr>
    </w:div>
    <w:div w:id="1466507101">
      <w:bodyDiv w:val="1"/>
      <w:marLeft w:val="0"/>
      <w:marRight w:val="0"/>
      <w:marTop w:val="0"/>
      <w:marBottom w:val="0"/>
      <w:divBdr>
        <w:top w:val="none" w:sz="0" w:space="0" w:color="auto"/>
        <w:left w:val="none" w:sz="0" w:space="0" w:color="auto"/>
        <w:bottom w:val="none" w:sz="0" w:space="0" w:color="auto"/>
        <w:right w:val="none" w:sz="0" w:space="0" w:color="auto"/>
      </w:divBdr>
      <w:divsChild>
        <w:div w:id="1590193238">
          <w:marLeft w:val="0"/>
          <w:marRight w:val="0"/>
          <w:marTop w:val="0"/>
          <w:marBottom w:val="0"/>
          <w:divBdr>
            <w:top w:val="none" w:sz="0" w:space="0" w:color="auto"/>
            <w:left w:val="none" w:sz="0" w:space="0" w:color="auto"/>
            <w:bottom w:val="none" w:sz="0" w:space="0" w:color="auto"/>
            <w:right w:val="none" w:sz="0" w:space="0" w:color="auto"/>
          </w:divBdr>
          <w:divsChild>
            <w:div w:id="1443188460">
              <w:marLeft w:val="0"/>
              <w:marRight w:val="0"/>
              <w:marTop w:val="0"/>
              <w:marBottom w:val="0"/>
              <w:divBdr>
                <w:top w:val="none" w:sz="0" w:space="0" w:color="auto"/>
                <w:left w:val="none" w:sz="0" w:space="0" w:color="auto"/>
                <w:bottom w:val="none" w:sz="0" w:space="0" w:color="auto"/>
                <w:right w:val="none" w:sz="0" w:space="0" w:color="auto"/>
              </w:divBdr>
              <w:divsChild>
                <w:div w:id="116824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111507">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42590445">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230031">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62271871">
      <w:bodyDiv w:val="1"/>
      <w:marLeft w:val="0"/>
      <w:marRight w:val="0"/>
      <w:marTop w:val="0"/>
      <w:marBottom w:val="0"/>
      <w:divBdr>
        <w:top w:val="none" w:sz="0" w:space="0" w:color="auto"/>
        <w:left w:val="none" w:sz="0" w:space="0" w:color="auto"/>
        <w:bottom w:val="none" w:sz="0" w:space="0" w:color="auto"/>
        <w:right w:val="none" w:sz="0" w:space="0" w:color="auto"/>
      </w:divBdr>
      <w:divsChild>
        <w:div w:id="2081319412">
          <w:marLeft w:val="0"/>
          <w:marRight w:val="0"/>
          <w:marTop w:val="0"/>
          <w:marBottom w:val="0"/>
          <w:divBdr>
            <w:top w:val="none" w:sz="0" w:space="0" w:color="auto"/>
            <w:left w:val="none" w:sz="0" w:space="0" w:color="auto"/>
            <w:bottom w:val="none" w:sz="0" w:space="0" w:color="auto"/>
            <w:right w:val="none" w:sz="0" w:space="0" w:color="auto"/>
          </w:divBdr>
          <w:divsChild>
            <w:div w:id="277611817">
              <w:marLeft w:val="0"/>
              <w:marRight w:val="0"/>
              <w:marTop w:val="0"/>
              <w:marBottom w:val="0"/>
              <w:divBdr>
                <w:top w:val="none" w:sz="0" w:space="0" w:color="auto"/>
                <w:left w:val="none" w:sz="0" w:space="0" w:color="auto"/>
                <w:bottom w:val="none" w:sz="0" w:space="0" w:color="auto"/>
                <w:right w:val="none" w:sz="0" w:space="0" w:color="auto"/>
              </w:divBdr>
              <w:divsChild>
                <w:div w:id="960647030">
                  <w:marLeft w:val="0"/>
                  <w:marRight w:val="0"/>
                  <w:marTop w:val="0"/>
                  <w:marBottom w:val="0"/>
                  <w:divBdr>
                    <w:top w:val="none" w:sz="0" w:space="0" w:color="auto"/>
                    <w:left w:val="none" w:sz="0" w:space="0" w:color="auto"/>
                    <w:bottom w:val="none" w:sz="0" w:space="0" w:color="auto"/>
                    <w:right w:val="none" w:sz="0" w:space="0" w:color="auto"/>
                  </w:divBdr>
                  <w:divsChild>
                    <w:div w:id="186924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41096654">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38229946">
      <w:bodyDiv w:val="1"/>
      <w:marLeft w:val="0"/>
      <w:marRight w:val="0"/>
      <w:marTop w:val="0"/>
      <w:marBottom w:val="0"/>
      <w:divBdr>
        <w:top w:val="none" w:sz="0" w:space="0" w:color="auto"/>
        <w:left w:val="none" w:sz="0" w:space="0" w:color="auto"/>
        <w:bottom w:val="none" w:sz="0" w:space="0" w:color="auto"/>
        <w:right w:val="none" w:sz="0" w:space="0" w:color="auto"/>
      </w:divBdr>
      <w:divsChild>
        <w:div w:id="1312365749">
          <w:marLeft w:val="0"/>
          <w:marRight w:val="0"/>
          <w:marTop w:val="0"/>
          <w:marBottom w:val="0"/>
          <w:divBdr>
            <w:top w:val="none" w:sz="0" w:space="0" w:color="auto"/>
            <w:left w:val="none" w:sz="0" w:space="0" w:color="auto"/>
            <w:bottom w:val="none" w:sz="0" w:space="0" w:color="auto"/>
            <w:right w:val="none" w:sz="0" w:space="0" w:color="auto"/>
          </w:divBdr>
          <w:divsChild>
            <w:div w:id="1600940545">
              <w:marLeft w:val="0"/>
              <w:marRight w:val="0"/>
              <w:marTop w:val="0"/>
              <w:marBottom w:val="0"/>
              <w:divBdr>
                <w:top w:val="none" w:sz="0" w:space="0" w:color="auto"/>
                <w:left w:val="none" w:sz="0" w:space="0" w:color="auto"/>
                <w:bottom w:val="none" w:sz="0" w:space="0" w:color="auto"/>
                <w:right w:val="none" w:sz="0" w:space="0" w:color="auto"/>
              </w:divBdr>
              <w:divsChild>
                <w:div w:id="1565991424">
                  <w:marLeft w:val="0"/>
                  <w:marRight w:val="0"/>
                  <w:marTop w:val="0"/>
                  <w:marBottom w:val="0"/>
                  <w:divBdr>
                    <w:top w:val="none" w:sz="0" w:space="0" w:color="auto"/>
                    <w:left w:val="none" w:sz="0" w:space="0" w:color="auto"/>
                    <w:bottom w:val="none" w:sz="0" w:space="0" w:color="auto"/>
                    <w:right w:val="none" w:sz="0" w:space="0" w:color="auto"/>
                  </w:divBdr>
                  <w:divsChild>
                    <w:div w:id="117881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861896679">
      <w:bodyDiv w:val="1"/>
      <w:marLeft w:val="0"/>
      <w:marRight w:val="0"/>
      <w:marTop w:val="0"/>
      <w:marBottom w:val="0"/>
      <w:divBdr>
        <w:top w:val="none" w:sz="0" w:space="0" w:color="auto"/>
        <w:left w:val="none" w:sz="0" w:space="0" w:color="auto"/>
        <w:bottom w:val="none" w:sz="0" w:space="0" w:color="auto"/>
        <w:right w:val="none" w:sz="0" w:space="0" w:color="auto"/>
      </w:divBdr>
    </w:div>
    <w:div w:id="1880782226">
      <w:bodyDiv w:val="1"/>
      <w:marLeft w:val="0"/>
      <w:marRight w:val="0"/>
      <w:marTop w:val="0"/>
      <w:marBottom w:val="0"/>
      <w:divBdr>
        <w:top w:val="none" w:sz="0" w:space="0" w:color="auto"/>
        <w:left w:val="none" w:sz="0" w:space="0" w:color="auto"/>
        <w:bottom w:val="none" w:sz="0" w:space="0" w:color="auto"/>
        <w:right w:val="none" w:sz="0" w:space="0" w:color="auto"/>
      </w:divBdr>
      <w:divsChild>
        <w:div w:id="1470050944">
          <w:marLeft w:val="0"/>
          <w:marRight w:val="0"/>
          <w:marTop w:val="0"/>
          <w:marBottom w:val="0"/>
          <w:divBdr>
            <w:top w:val="none" w:sz="0" w:space="0" w:color="auto"/>
            <w:left w:val="none" w:sz="0" w:space="0" w:color="auto"/>
            <w:bottom w:val="none" w:sz="0" w:space="0" w:color="auto"/>
            <w:right w:val="none" w:sz="0" w:space="0" w:color="auto"/>
          </w:divBdr>
          <w:divsChild>
            <w:div w:id="1467159412">
              <w:marLeft w:val="0"/>
              <w:marRight w:val="0"/>
              <w:marTop w:val="0"/>
              <w:marBottom w:val="0"/>
              <w:divBdr>
                <w:top w:val="none" w:sz="0" w:space="0" w:color="auto"/>
                <w:left w:val="none" w:sz="0" w:space="0" w:color="auto"/>
                <w:bottom w:val="none" w:sz="0" w:space="0" w:color="auto"/>
                <w:right w:val="none" w:sz="0" w:space="0" w:color="auto"/>
              </w:divBdr>
              <w:divsChild>
                <w:div w:id="78261570">
                  <w:marLeft w:val="0"/>
                  <w:marRight w:val="0"/>
                  <w:marTop w:val="0"/>
                  <w:marBottom w:val="0"/>
                  <w:divBdr>
                    <w:top w:val="none" w:sz="0" w:space="0" w:color="auto"/>
                    <w:left w:val="none" w:sz="0" w:space="0" w:color="auto"/>
                    <w:bottom w:val="none" w:sz="0" w:space="0" w:color="auto"/>
                    <w:right w:val="none" w:sz="0" w:space="0" w:color="auto"/>
                  </w:divBdr>
                  <w:divsChild>
                    <w:div w:id="6112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911817">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01347574">
      <w:bodyDiv w:val="1"/>
      <w:marLeft w:val="0"/>
      <w:marRight w:val="0"/>
      <w:marTop w:val="0"/>
      <w:marBottom w:val="0"/>
      <w:divBdr>
        <w:top w:val="none" w:sz="0" w:space="0" w:color="auto"/>
        <w:left w:val="none" w:sz="0" w:space="0" w:color="auto"/>
        <w:bottom w:val="none" w:sz="0" w:space="0" w:color="auto"/>
        <w:right w:val="none" w:sz="0" w:space="0" w:color="auto"/>
      </w:divBdr>
    </w:div>
    <w:div w:id="2015957591">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080246020">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2786</TotalTime>
  <Pages>19</Pages>
  <Words>8311</Words>
  <Characters>47377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710</cp:revision>
  <dcterms:created xsi:type="dcterms:W3CDTF">2022-10-12T11:53:00Z</dcterms:created>
  <dcterms:modified xsi:type="dcterms:W3CDTF">2023-03-24T17:00:00Z</dcterms:modified>
</cp:coreProperties>
</file>