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C913"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Conclusion}</w:t>
      </w:r>
    </w:p>
    <w:p w14:paraId="6C15B232" w14:textId="77777777" w:rsidR="00343817" w:rsidRPr="00343817" w:rsidRDefault="00343817" w:rsidP="00343817">
      <w:pPr>
        <w:rPr>
          <w:rFonts w:ascii="Optima" w:eastAsiaTheme="minorEastAsia" w:hAnsi="Optima"/>
        </w:rPr>
      </w:pPr>
    </w:p>
    <w:p w14:paraId="47A94E79" w14:textId="5E1E5D71" w:rsidR="007D78F5" w:rsidRDefault="00343817" w:rsidP="00343817">
      <w:pPr>
        <w:rPr>
          <w:rFonts w:ascii="Optima" w:eastAsiaTheme="minorEastAsia" w:hAnsi="Optima"/>
        </w:rPr>
      </w:pPr>
      <w:r w:rsidRPr="00343817">
        <w:rPr>
          <w:rFonts w:ascii="Optima" w:eastAsiaTheme="minorEastAsia" w:hAnsi="Optima"/>
        </w:rPr>
        <w:t xml:space="preserve">Here, </w:t>
      </w:r>
      <w:r w:rsidR="0080662E">
        <w:rPr>
          <w:rFonts w:ascii="Optima" w:eastAsiaTheme="minorEastAsia" w:hAnsi="Optima"/>
        </w:rPr>
        <w:t>I</w:t>
      </w:r>
      <w:r w:rsidRPr="00343817">
        <w:rPr>
          <w:rFonts w:ascii="Optima" w:eastAsiaTheme="minorEastAsia" w:hAnsi="Optima"/>
        </w:rPr>
        <w:t xml:space="preserve"> </w:t>
      </w:r>
      <w:r w:rsidR="00D30AB6">
        <w:rPr>
          <w:rFonts w:ascii="Optima" w:eastAsiaTheme="minorEastAsia" w:hAnsi="Optima"/>
        </w:rPr>
        <w:t xml:space="preserve">assess whether CCS reads are as accurate as duplex reads and </w:t>
      </w:r>
      <w:r w:rsidRPr="00343817">
        <w:rPr>
          <w:rFonts w:ascii="Optima" w:eastAsiaTheme="minorEastAsia" w:hAnsi="Optima"/>
        </w:rPr>
        <w:t>demonstrate that a subset of CCS</w:t>
      </w:r>
      <w:r w:rsidR="00AE2815">
        <w:rPr>
          <w:rFonts w:ascii="Optima" w:eastAsiaTheme="minorEastAsia" w:hAnsi="Optima"/>
        </w:rPr>
        <w:t xml:space="preserve"> bases</w:t>
      </w:r>
      <w:r w:rsidRPr="00343817">
        <w:rPr>
          <w:rFonts w:ascii="Optima" w:eastAsiaTheme="minorEastAsia" w:hAnsi="Optima"/>
        </w:rPr>
        <w:t xml:space="preserve"> </w:t>
      </w:r>
      <w:r w:rsidR="00CC5694" w:rsidRPr="00343817">
        <w:rPr>
          <w:rFonts w:ascii="Optima" w:eastAsiaTheme="minorEastAsia" w:hAnsi="Optima"/>
        </w:rPr>
        <w:t>ha</w:t>
      </w:r>
      <w:r w:rsidR="00CC5694">
        <w:rPr>
          <w:rFonts w:ascii="Optima" w:eastAsiaTheme="minorEastAsia" w:hAnsi="Optima"/>
        </w:rPr>
        <w:t>s</w:t>
      </w:r>
      <w:r w:rsidRPr="00343817">
        <w:rPr>
          <w:rFonts w:ascii="Optima" w:eastAsiaTheme="minorEastAsia" w:hAnsi="Optima"/>
        </w:rPr>
        <w:t xml:space="preserve"> sufficient base accuracy to enable single molecule somatic </w:t>
      </w:r>
      <w:r w:rsidR="00CC5694">
        <w:rPr>
          <w:rFonts w:ascii="Optima" w:eastAsiaTheme="minorEastAsia" w:hAnsi="Optima"/>
        </w:rPr>
        <w:t>mutation</w:t>
      </w:r>
      <w:r w:rsidRPr="00343817">
        <w:rPr>
          <w:rFonts w:ascii="Optima" w:eastAsiaTheme="minorEastAsia" w:hAnsi="Optima"/>
        </w:rPr>
        <w:t xml:space="preserve"> detection</w:t>
      </w:r>
      <w:r w:rsidR="00D30AB6">
        <w:rPr>
          <w:rFonts w:ascii="Optima" w:eastAsiaTheme="minorEastAsia" w:hAnsi="Optima"/>
        </w:rPr>
        <w:t xml:space="preserve"> using samples with single ongoing somatic mutational process.</w:t>
      </w:r>
      <w:r w:rsidR="007D78F5">
        <w:rPr>
          <w:rFonts w:ascii="Optima" w:eastAsiaTheme="minorEastAsia" w:hAnsi="Optima"/>
        </w:rPr>
        <w:t xml:space="preserve"> </w:t>
      </w:r>
      <w:proofErr w:type="spellStart"/>
      <w:r w:rsidR="007D78F5">
        <w:rPr>
          <w:rFonts w:ascii="Optima" w:eastAsiaTheme="minorEastAsia" w:hAnsi="Optima"/>
        </w:rPr>
        <w:t>Himut</w:t>
      </w:r>
      <w:proofErr w:type="spellEnd"/>
      <w:r w:rsidR="007D78F5">
        <w:rPr>
          <w:rFonts w:ascii="Optima" w:eastAsiaTheme="minorEastAsia" w:hAnsi="Optima"/>
        </w:rPr>
        <w:t xml:space="preserve"> takes as input a sorted BAM file with primary read alignments from bulk normal tissue, leverages CCS read length and base accuracy to distinguish somatic mutations from errors and germline mutations and returns a VCF file with somatic mutations. </w:t>
      </w:r>
      <w:r w:rsidR="00BF46B1">
        <w:rPr>
          <w:rFonts w:ascii="Optima" w:eastAsiaTheme="minorEastAsia" w:hAnsi="Optima"/>
        </w:rPr>
        <w:t xml:space="preserve">Mutational spectrum produced from aggregate of somatic mutations is concordant with the expected mutational signature from each positive control sample, showing that single molecule somatic mutation detection is indeed possible with CCS reads. </w:t>
      </w:r>
    </w:p>
    <w:p w14:paraId="07FF6664" w14:textId="77777777" w:rsidR="007D78F5" w:rsidRDefault="007D78F5" w:rsidP="00343817">
      <w:pPr>
        <w:rPr>
          <w:rFonts w:ascii="Optima" w:eastAsiaTheme="minorEastAsia" w:hAnsi="Optima"/>
        </w:rPr>
      </w:pPr>
    </w:p>
    <w:p w14:paraId="3930347C" w14:textId="77777777" w:rsidR="00DE3B61" w:rsidRDefault="00FB2B1E" w:rsidP="00343817">
      <w:pPr>
        <w:rPr>
          <w:rFonts w:ascii="Optima" w:eastAsiaTheme="minorEastAsia" w:hAnsi="Optima"/>
        </w:rPr>
      </w:pPr>
      <w:r>
        <w:rPr>
          <w:rFonts w:ascii="Optima" w:eastAsiaTheme="minorEastAsia" w:hAnsi="Optima"/>
        </w:rPr>
        <w:t xml:space="preserve">Using a cord blood sample with few somatic mutations, I examined the nature of residual false positive substitutions and associated CCS error profile that is shared across all samples. </w:t>
      </w:r>
      <w:r w:rsidR="00CC5694">
        <w:rPr>
          <w:rFonts w:ascii="Optima" w:eastAsiaTheme="minorEastAsia" w:hAnsi="Optima"/>
        </w:rPr>
        <w:t>I</w:t>
      </w:r>
      <w:r w:rsidR="005A2427">
        <w:rPr>
          <w:rFonts w:ascii="Optima" w:eastAsiaTheme="minorEastAsia" w:hAnsi="Optima"/>
        </w:rPr>
        <w:t xml:space="preserve"> </w:t>
      </w:r>
      <w:r w:rsidR="00CC5694">
        <w:rPr>
          <w:rFonts w:ascii="Optima" w:eastAsiaTheme="minorEastAsia" w:hAnsi="Optima"/>
        </w:rPr>
        <w:t>empirically estimate</w:t>
      </w:r>
      <w:r w:rsidR="00063E95">
        <w:rPr>
          <w:rFonts w:ascii="Optima" w:eastAsiaTheme="minorEastAsia" w:hAnsi="Optima"/>
        </w:rPr>
        <w:t>d</w:t>
      </w:r>
      <w:r w:rsidR="00CC5694">
        <w:rPr>
          <w:rFonts w:ascii="Optima" w:eastAsiaTheme="minorEastAsia" w:hAnsi="Optima"/>
        </w:rPr>
        <w:t xml:space="preserve"> that CCS Q93 base accuracy ranges from Q60 to Q90 depending on the substitution and trinucleotide sequence context</w:t>
      </w:r>
      <w:r w:rsidR="00063E95">
        <w:rPr>
          <w:rFonts w:ascii="Optima" w:eastAsiaTheme="minorEastAsia" w:hAnsi="Optima"/>
        </w:rPr>
        <w:t xml:space="preserve">, </w:t>
      </w:r>
      <w:r w:rsidR="003C1EE9">
        <w:rPr>
          <w:rFonts w:ascii="Optima" w:eastAsiaTheme="minorEastAsia" w:hAnsi="Optima"/>
        </w:rPr>
        <w:t xml:space="preserve">which is </w:t>
      </w:r>
      <w:r w:rsidR="001124F5">
        <w:rPr>
          <w:rFonts w:ascii="Optima" w:eastAsiaTheme="minorEastAsia" w:hAnsi="Optima"/>
        </w:rPr>
        <w:t>hundred thousand-fold</w:t>
      </w:r>
      <w:r w:rsidR="003C1EE9">
        <w:rPr>
          <w:rFonts w:ascii="Optima" w:eastAsiaTheme="minorEastAsia" w:hAnsi="Optima"/>
        </w:rPr>
        <w:t xml:space="preserve"> to a </w:t>
      </w:r>
      <w:r w:rsidR="001124F5">
        <w:rPr>
          <w:rFonts w:ascii="Optima" w:eastAsiaTheme="minorEastAsia" w:hAnsi="Optima"/>
        </w:rPr>
        <w:t>billion-fold</w:t>
      </w:r>
      <w:r w:rsidR="003C1EE9">
        <w:rPr>
          <w:rFonts w:ascii="Optima" w:eastAsiaTheme="minorEastAsia" w:hAnsi="Optima"/>
        </w:rPr>
        <w:t xml:space="preserve"> more accurate than Illumina base</w:t>
      </w:r>
      <w:r w:rsidR="00BF46B1">
        <w:rPr>
          <w:rFonts w:ascii="Optima" w:eastAsiaTheme="minorEastAsia" w:hAnsi="Optima"/>
        </w:rPr>
        <w:t>s</w:t>
      </w:r>
      <w:r w:rsidR="00063E95">
        <w:rPr>
          <w:rFonts w:ascii="Optima" w:eastAsiaTheme="minorEastAsia" w:hAnsi="Optima"/>
        </w:rPr>
        <w:t xml:space="preserve"> and what enables somatic mutation detection with high confidence</w:t>
      </w:r>
      <w:r w:rsidR="00DE3B61">
        <w:rPr>
          <w:rFonts w:ascii="Optima" w:eastAsiaTheme="minorEastAsia" w:hAnsi="Optima"/>
        </w:rPr>
        <w:t xml:space="preserve">. </w:t>
      </w:r>
    </w:p>
    <w:p w14:paraId="5C778D9B" w14:textId="77777777" w:rsidR="00DE3B61" w:rsidRDefault="00DE3B61" w:rsidP="00343817">
      <w:pPr>
        <w:rPr>
          <w:rFonts w:ascii="Optima" w:eastAsiaTheme="minorEastAsia" w:hAnsi="Optima"/>
        </w:rPr>
      </w:pPr>
    </w:p>
    <w:p w14:paraId="1FA1971D" w14:textId="7270F5FE" w:rsidR="00164708" w:rsidRDefault="00063E95" w:rsidP="00164708">
      <w:pPr>
        <w:rPr>
          <w:rFonts w:ascii="Optima" w:eastAsiaTheme="minorEastAsia" w:hAnsi="Optima"/>
        </w:rPr>
      </w:pPr>
      <w:r>
        <w:rPr>
          <w:rFonts w:ascii="Optima" w:eastAsiaTheme="minorEastAsia" w:hAnsi="Optima"/>
        </w:rPr>
        <w:t>I</w:t>
      </w:r>
      <w:r w:rsidR="001D23EE">
        <w:rPr>
          <w:rFonts w:ascii="Optima" w:eastAsiaTheme="minorEastAsia" w:hAnsi="Optima"/>
        </w:rPr>
        <w:t xml:space="preserve"> </w:t>
      </w:r>
      <w:r w:rsidR="000D5F6B">
        <w:rPr>
          <w:rFonts w:ascii="Optima" w:eastAsiaTheme="minorEastAsia" w:hAnsi="Optima"/>
        </w:rPr>
        <w:t xml:space="preserve">conclude that </w:t>
      </w:r>
      <w:r w:rsidR="001D23EE">
        <w:rPr>
          <w:rFonts w:ascii="Optima" w:eastAsiaTheme="minorEastAsia" w:hAnsi="Optima"/>
        </w:rPr>
        <w:t xml:space="preserve">false positive mutations </w:t>
      </w:r>
      <w:r>
        <w:rPr>
          <w:rFonts w:ascii="Optima" w:eastAsiaTheme="minorEastAsia" w:hAnsi="Optima"/>
        </w:rPr>
        <w:t>are in fact derived</w:t>
      </w:r>
      <w:r w:rsidR="001D23EE">
        <w:rPr>
          <w:rFonts w:ascii="Optima" w:eastAsiaTheme="minorEastAsia" w:hAnsi="Optima"/>
        </w:rPr>
        <w:t xml:space="preserve"> from</w:t>
      </w:r>
      <w:r w:rsidR="00DE3B61">
        <w:rPr>
          <w:rFonts w:ascii="Optima" w:eastAsiaTheme="minorEastAsia" w:hAnsi="Optima"/>
        </w:rPr>
        <w:t xml:space="preserve"> a combination of software errors. I show </w:t>
      </w:r>
      <w:r w:rsidR="008C0D53">
        <w:rPr>
          <w:rFonts w:ascii="Optima" w:eastAsiaTheme="minorEastAsia" w:hAnsi="Optima"/>
        </w:rPr>
        <w:t xml:space="preserve">the persistence of </w:t>
      </w:r>
      <w:r w:rsidR="00DE3B61">
        <w:rPr>
          <w:rFonts w:ascii="Optima" w:eastAsiaTheme="minorEastAsia" w:hAnsi="Optima"/>
        </w:rPr>
        <w:t>inaccurate BQ score estimat</w:t>
      </w:r>
      <w:r w:rsidR="008C0D53">
        <w:rPr>
          <w:rFonts w:ascii="Optima" w:eastAsiaTheme="minorEastAsia" w:hAnsi="Optima"/>
        </w:rPr>
        <w:t>es</w:t>
      </w:r>
      <w:r w:rsidR="00DE3B61">
        <w:rPr>
          <w:rFonts w:ascii="Optima" w:eastAsiaTheme="minorEastAsia" w:hAnsi="Optima"/>
        </w:rPr>
        <w:t xml:space="preserve"> using a </w:t>
      </w:r>
      <w:r w:rsidR="001D23EE">
        <w:rPr>
          <w:rFonts w:ascii="Optima" w:eastAsiaTheme="minorEastAsia" w:hAnsi="Optima"/>
        </w:rPr>
        <w:t xml:space="preserve">modified </w:t>
      </w:r>
      <w:proofErr w:type="spellStart"/>
      <w:r w:rsidR="001D23EE">
        <w:rPr>
          <w:rFonts w:ascii="Optima" w:eastAsiaTheme="minorEastAsia" w:hAnsi="Optima"/>
        </w:rPr>
        <w:t>pbccs</w:t>
      </w:r>
      <w:proofErr w:type="spellEnd"/>
      <w:r w:rsidR="001D23EE">
        <w:rPr>
          <w:rFonts w:ascii="Optima" w:eastAsiaTheme="minorEastAsia" w:hAnsi="Optima"/>
        </w:rPr>
        <w:t xml:space="preserve"> that returns uncapped base quality scores, </w:t>
      </w:r>
      <w:proofErr w:type="spellStart"/>
      <w:r w:rsidR="001D23EE">
        <w:rPr>
          <w:rFonts w:ascii="Optima" w:eastAsiaTheme="minorEastAsia" w:hAnsi="Optima"/>
        </w:rPr>
        <w:t>deepConsensus</w:t>
      </w:r>
      <w:proofErr w:type="spellEnd"/>
      <w:r w:rsidR="001D23EE">
        <w:rPr>
          <w:rFonts w:ascii="Optima" w:eastAsiaTheme="minorEastAsia" w:hAnsi="Optima"/>
        </w:rPr>
        <w:t xml:space="preserve"> polished CCS reads and </w:t>
      </w:r>
      <w:r w:rsidR="00DE3B61">
        <w:rPr>
          <w:rFonts w:ascii="Optima" w:eastAsiaTheme="minorEastAsia" w:hAnsi="Optima"/>
        </w:rPr>
        <w:t>BQ</w:t>
      </w:r>
      <w:r w:rsidR="001D23EE">
        <w:rPr>
          <w:rFonts w:ascii="Optima" w:eastAsiaTheme="minorEastAsia" w:hAnsi="Optima"/>
        </w:rPr>
        <w:t xml:space="preserve"> score recalibration from partial order alignment between subreads and CCS reads from the same </w:t>
      </w:r>
      <w:r w:rsidR="00DE3B61">
        <w:rPr>
          <w:rFonts w:ascii="Optima" w:eastAsiaTheme="minorEastAsia" w:hAnsi="Optima"/>
        </w:rPr>
        <w:t>ZMW</w:t>
      </w:r>
      <w:r w:rsidR="00164708">
        <w:rPr>
          <w:rFonts w:ascii="Optima" w:eastAsiaTheme="minorEastAsia" w:hAnsi="Optima"/>
        </w:rPr>
        <w:t xml:space="preserve">. </w:t>
      </w:r>
      <w:r w:rsidR="00DE3B61">
        <w:rPr>
          <w:rFonts w:ascii="Optima" w:eastAsiaTheme="minorEastAsia" w:hAnsi="Optima"/>
        </w:rPr>
        <w:t>I</w:t>
      </w:r>
      <w:r w:rsidR="004300EA">
        <w:rPr>
          <w:rFonts w:ascii="Optima" w:eastAsiaTheme="minorEastAsia" w:hAnsi="Optima"/>
        </w:rPr>
        <w:t xml:space="preserve"> </w:t>
      </w:r>
      <w:r w:rsidR="005B312C">
        <w:rPr>
          <w:rFonts w:ascii="Optima" w:eastAsiaTheme="minorEastAsia" w:hAnsi="Optima"/>
        </w:rPr>
        <w:t>unexpectedly f</w:t>
      </w:r>
      <w:r w:rsidR="00591146">
        <w:rPr>
          <w:rFonts w:ascii="Optima" w:eastAsiaTheme="minorEastAsia" w:hAnsi="Optima"/>
        </w:rPr>
        <w:t xml:space="preserve">ound </w:t>
      </w:r>
      <w:r w:rsidR="005B312C">
        <w:rPr>
          <w:rFonts w:ascii="Optima" w:eastAsiaTheme="minorEastAsia" w:hAnsi="Optima"/>
        </w:rPr>
        <w:t xml:space="preserve">that BQ score estimate </w:t>
      </w:r>
      <w:r w:rsidR="008C0D53">
        <w:rPr>
          <w:rFonts w:ascii="Optima" w:eastAsiaTheme="minorEastAsia" w:hAnsi="Optima"/>
        </w:rPr>
        <w:t>becomes more</w:t>
      </w:r>
      <w:r w:rsidR="005B312C">
        <w:rPr>
          <w:rFonts w:ascii="Optima" w:eastAsiaTheme="minorEastAsia" w:hAnsi="Optima"/>
        </w:rPr>
        <w:t xml:space="preserve"> inaccurate </w:t>
      </w:r>
      <w:r w:rsidR="006D1492">
        <w:rPr>
          <w:rFonts w:ascii="Optima" w:eastAsiaTheme="minorEastAsia" w:hAnsi="Optima"/>
        </w:rPr>
        <w:t>as the number of supporting subreads per CCS reads increases</w:t>
      </w:r>
      <w:r w:rsidR="00DE3B61">
        <w:rPr>
          <w:rFonts w:ascii="Optima" w:eastAsiaTheme="minorEastAsia" w:hAnsi="Optima"/>
        </w:rPr>
        <w:t xml:space="preserve"> in contrast to the expected behaviour of the software</w:t>
      </w:r>
      <w:r w:rsidR="006D1492">
        <w:rPr>
          <w:rFonts w:ascii="Optima" w:eastAsiaTheme="minorEastAsia" w:hAnsi="Optima"/>
        </w:rPr>
        <w:t xml:space="preserve"> (discussed and demonstrated in Chapter 3).</w:t>
      </w:r>
      <w:r w:rsidR="004300EA">
        <w:rPr>
          <w:rFonts w:ascii="Optima" w:eastAsiaTheme="minorEastAsia" w:hAnsi="Optima"/>
        </w:rPr>
        <w:t xml:space="preserve"> In addition, I observe that false positive substitutions are enriched </w:t>
      </w:r>
      <w:r w:rsidR="004300EA">
        <w:rPr>
          <w:rFonts w:ascii="Optima" w:eastAsiaTheme="minorEastAsia" w:hAnsi="Optima"/>
        </w:rPr>
        <w:t>trinucleotide sequence contexts where the 5’ base or the 3’ base is identical to the substitut</w:t>
      </w:r>
      <w:r w:rsidR="004300EA">
        <w:rPr>
          <w:rFonts w:ascii="Optima" w:eastAsiaTheme="minorEastAsia" w:hAnsi="Optima"/>
        </w:rPr>
        <w:t xml:space="preserve">ion error. </w:t>
      </w:r>
      <w:r w:rsidR="006D1492">
        <w:rPr>
          <w:rFonts w:ascii="Optima" w:eastAsiaTheme="minorEastAsia" w:hAnsi="Optima"/>
        </w:rPr>
        <w:t xml:space="preserve">I hypothesize that </w:t>
      </w:r>
      <w:r w:rsidR="00D30AB6">
        <w:rPr>
          <w:rFonts w:ascii="Optima" w:eastAsiaTheme="minorEastAsia" w:hAnsi="Optima"/>
        </w:rPr>
        <w:t>inappropriate sequencing priors and underestimation of somatic mutations as potential sources of error in</w:t>
      </w:r>
      <w:r w:rsidR="00591146">
        <w:rPr>
          <w:rFonts w:ascii="Optima" w:eastAsiaTheme="minorEastAsia" w:hAnsi="Optima"/>
        </w:rPr>
        <w:t xml:space="preserve"> accurate</w:t>
      </w:r>
      <w:r w:rsidR="00D30AB6">
        <w:rPr>
          <w:rFonts w:ascii="Optima" w:eastAsiaTheme="minorEastAsia" w:hAnsi="Optima"/>
        </w:rPr>
        <w:t xml:space="preserve"> BQ score estimation</w:t>
      </w:r>
      <w:r w:rsidR="004300EA">
        <w:rPr>
          <w:rFonts w:ascii="Optima" w:eastAsiaTheme="minorEastAsia" w:hAnsi="Optima"/>
        </w:rPr>
        <w:t xml:space="preserve">, </w:t>
      </w:r>
      <w:r w:rsidR="00D30AB6">
        <w:rPr>
          <w:rFonts w:ascii="Optima" w:eastAsiaTheme="minorEastAsia" w:hAnsi="Optima"/>
        </w:rPr>
        <w:t xml:space="preserve">and </w:t>
      </w:r>
      <w:r w:rsidR="00CC5ADE">
        <w:rPr>
          <w:rFonts w:ascii="Optima" w:eastAsiaTheme="minorEastAsia" w:hAnsi="Optima"/>
        </w:rPr>
        <w:t>the use of</w:t>
      </w:r>
      <w:r w:rsidR="00D30AB6">
        <w:rPr>
          <w:rFonts w:ascii="Optima" w:eastAsiaTheme="minorEastAsia" w:hAnsi="Optima"/>
        </w:rPr>
        <w:t xml:space="preserve"> trinucleotide sequence context HMM </w:t>
      </w:r>
      <w:r w:rsidR="00CC5ADE">
        <w:rPr>
          <w:rFonts w:ascii="Optima" w:eastAsiaTheme="minorEastAsia" w:hAnsi="Optima"/>
        </w:rPr>
        <w:t>instead of</w:t>
      </w:r>
      <w:r w:rsidR="00CC5ADE">
        <w:rPr>
          <w:rFonts w:ascii="Optima" w:eastAsiaTheme="minorEastAsia" w:hAnsi="Optima"/>
        </w:rPr>
        <w:t xml:space="preserve"> dinucleotide sequence context HMM</w:t>
      </w:r>
      <w:r w:rsidR="00CC5ADE">
        <w:rPr>
          <w:rFonts w:ascii="Optima" w:eastAsiaTheme="minorEastAsia" w:hAnsi="Optima"/>
        </w:rPr>
        <w:t xml:space="preserve"> </w:t>
      </w:r>
      <w:r w:rsidR="004300EA">
        <w:rPr>
          <w:rFonts w:ascii="Optima" w:eastAsiaTheme="minorEastAsia" w:hAnsi="Optima"/>
        </w:rPr>
        <w:t xml:space="preserve">might </w:t>
      </w:r>
      <w:r w:rsidR="00FE1099">
        <w:rPr>
          <w:rFonts w:ascii="Optima" w:eastAsiaTheme="minorEastAsia" w:hAnsi="Optima"/>
        </w:rPr>
        <w:t xml:space="preserve">ameliorate </w:t>
      </w:r>
      <w:r w:rsidR="004300EA">
        <w:rPr>
          <w:rFonts w:ascii="Optima" w:eastAsiaTheme="minorEastAsia" w:hAnsi="Optima"/>
        </w:rPr>
        <w:t>some of the issue</w:t>
      </w:r>
      <w:r w:rsidR="00FE1099">
        <w:rPr>
          <w:rFonts w:ascii="Optima" w:eastAsiaTheme="minorEastAsia" w:hAnsi="Optima"/>
        </w:rPr>
        <w:t>s</w:t>
      </w:r>
      <w:r w:rsidR="004300EA">
        <w:rPr>
          <w:rFonts w:ascii="Optima" w:eastAsiaTheme="minorEastAsia" w:hAnsi="Optima"/>
        </w:rPr>
        <w:t>.</w:t>
      </w:r>
      <w:r w:rsidR="00CC5ADE">
        <w:rPr>
          <w:rFonts w:ascii="Optima" w:eastAsiaTheme="minorEastAsia" w:hAnsi="Optima"/>
        </w:rPr>
        <w:t xml:space="preserve"> </w:t>
      </w:r>
      <w:r w:rsidR="00164708">
        <w:rPr>
          <w:rFonts w:ascii="Optima" w:eastAsiaTheme="minorEastAsia" w:hAnsi="Optima"/>
        </w:rPr>
        <w:t xml:space="preserve">I, most importantly, show that subreads have sufficient base accuracy to generate CCS bases with $\sim$Q90 base accuracy at all trinucleotide sequence contexts, if there is enough supporting subreads per CCS read. </w:t>
      </w:r>
    </w:p>
    <w:p w14:paraId="2A965E2E" w14:textId="77777777" w:rsidR="003C1EE9" w:rsidRPr="00343817" w:rsidRDefault="003C1EE9" w:rsidP="00343817">
      <w:pPr>
        <w:rPr>
          <w:rFonts w:ascii="Optima" w:eastAsiaTheme="minorEastAsia" w:hAnsi="Optima"/>
        </w:rPr>
      </w:pPr>
    </w:p>
    <w:p w14:paraId="05E3E5B0" w14:textId="77777777" w:rsidR="00343817" w:rsidRPr="00D97268" w:rsidRDefault="00343817" w:rsidP="00343817">
      <w:pPr>
        <w:rPr>
          <w:rFonts w:ascii="Optima" w:eastAsiaTheme="minorEastAsia" w:hAnsi="Optima"/>
          <w:b/>
          <w:bCs/>
        </w:rPr>
      </w:pPr>
      <w:r w:rsidRPr="00D97268">
        <w:rPr>
          <w:rFonts w:ascii="Optima" w:eastAsiaTheme="minorEastAsia" w:hAnsi="Optima"/>
          <w:b/>
          <w:bCs/>
        </w:rPr>
        <w:t>\</w:t>
      </w:r>
      <w:proofErr w:type="gramStart"/>
      <w:r w:rsidRPr="00D97268">
        <w:rPr>
          <w:rFonts w:ascii="Optima" w:eastAsiaTheme="minorEastAsia" w:hAnsi="Optima"/>
          <w:b/>
          <w:bCs/>
        </w:rPr>
        <w:t>section{</w:t>
      </w:r>
      <w:proofErr w:type="gramEnd"/>
      <w:r w:rsidRPr="00D97268">
        <w:rPr>
          <w:rFonts w:ascii="Optima" w:eastAsiaTheme="minorEastAsia" w:hAnsi="Optima"/>
          <w:b/>
          <w:bCs/>
        </w:rPr>
        <w:t>Discussion}</w:t>
      </w:r>
    </w:p>
    <w:p w14:paraId="007D98F2" w14:textId="03E5BE74" w:rsidR="00CC5ADE" w:rsidRDefault="00CC5ADE" w:rsidP="00343817">
      <w:pPr>
        <w:rPr>
          <w:rFonts w:ascii="Optima" w:eastAsiaTheme="minorEastAsia" w:hAnsi="Optima"/>
        </w:rPr>
      </w:pPr>
    </w:p>
    <w:p w14:paraId="1FC80A89" w14:textId="6BC412F1" w:rsidR="00164708" w:rsidRDefault="00164708" w:rsidP="00343817">
      <w:pPr>
        <w:rPr>
          <w:rFonts w:ascii="Optima" w:eastAsiaTheme="minorEastAsia" w:hAnsi="Optima"/>
        </w:rPr>
      </w:pPr>
      <w:r>
        <w:rPr>
          <w:rFonts w:ascii="Optima" w:eastAsiaTheme="minorEastAsia" w:hAnsi="Optima"/>
        </w:rPr>
        <w:t>I</w:t>
      </w:r>
      <w:r w:rsidR="00F44400">
        <w:rPr>
          <w:rFonts w:ascii="Optima" w:eastAsiaTheme="minorEastAsia" w:hAnsi="Optima"/>
        </w:rPr>
        <w:t xml:space="preserve"> conjecture that issue with CCS BQ score estimation will be properly addressed and </w:t>
      </w:r>
      <w:r w:rsidR="005F715F">
        <w:rPr>
          <w:rFonts w:ascii="Optima" w:eastAsiaTheme="minorEastAsia" w:hAnsi="Optima"/>
        </w:rPr>
        <w:t xml:space="preserve">that </w:t>
      </w:r>
      <w:r w:rsidR="00F44400">
        <w:rPr>
          <w:rFonts w:ascii="Optima" w:eastAsiaTheme="minorEastAsia" w:hAnsi="Optima"/>
        </w:rPr>
        <w:t xml:space="preserve">majority of CCS bases will have $\sim$Q90 </w:t>
      </w:r>
      <w:r w:rsidR="005F715F">
        <w:rPr>
          <w:rFonts w:ascii="Optima" w:eastAsiaTheme="minorEastAsia" w:hAnsi="Optima"/>
        </w:rPr>
        <w:t xml:space="preserve">base </w:t>
      </w:r>
      <w:r w:rsidR="00D4753A">
        <w:rPr>
          <w:rFonts w:ascii="Optima" w:eastAsiaTheme="minorEastAsia" w:hAnsi="Optima"/>
        </w:rPr>
        <w:t xml:space="preserve">accuracy in the imminent future. </w:t>
      </w:r>
      <w:r w:rsidR="005F715F">
        <w:rPr>
          <w:rFonts w:ascii="Optima" w:eastAsiaTheme="minorEastAsia" w:hAnsi="Optima"/>
        </w:rPr>
        <w:t xml:space="preserve">I, here, discuss the ramifications </w:t>
      </w:r>
      <w:r w:rsidR="00341B69">
        <w:rPr>
          <w:rFonts w:ascii="Optima" w:eastAsiaTheme="minorEastAsia" w:hAnsi="Optima"/>
        </w:rPr>
        <w:t>and potential applications following</w:t>
      </w:r>
      <w:r w:rsidR="005F715F">
        <w:rPr>
          <w:rFonts w:ascii="Optima" w:eastAsiaTheme="minorEastAsia" w:hAnsi="Optima"/>
        </w:rPr>
        <w:t xml:space="preserve"> this </w:t>
      </w:r>
      <w:r w:rsidR="00D4753A">
        <w:rPr>
          <w:rFonts w:ascii="Optima" w:eastAsiaTheme="minorEastAsia" w:hAnsi="Optima"/>
        </w:rPr>
        <w:t>development</w:t>
      </w:r>
      <w:r w:rsidR="00341B69">
        <w:rPr>
          <w:rFonts w:ascii="Optima" w:eastAsiaTheme="minorEastAsia" w:hAnsi="Optima"/>
        </w:rPr>
        <w:t>.</w:t>
      </w:r>
    </w:p>
    <w:p w14:paraId="12F7DB3B" w14:textId="77777777" w:rsidR="00164708" w:rsidRDefault="00164708" w:rsidP="00343817">
      <w:pPr>
        <w:rPr>
          <w:rFonts w:ascii="Optima" w:eastAsiaTheme="minorEastAsia" w:hAnsi="Optima"/>
        </w:rPr>
      </w:pPr>
    </w:p>
    <w:p w14:paraId="150A6170" w14:textId="09D3DA56" w:rsidR="003C1EE9" w:rsidRPr="003C1EE9" w:rsidRDefault="003C1EE9" w:rsidP="00343817">
      <w:pPr>
        <w:rPr>
          <w:rFonts w:ascii="Optima" w:eastAsiaTheme="minorEastAsia" w:hAnsi="Optima"/>
          <w:b/>
          <w:bCs/>
        </w:rPr>
      </w:pPr>
      <w:r w:rsidRPr="003C1EE9">
        <w:rPr>
          <w:rFonts w:ascii="Optima" w:eastAsiaTheme="minorEastAsia" w:hAnsi="Optima"/>
          <w:b/>
          <w:bCs/>
        </w:rPr>
        <w:t>\</w:t>
      </w:r>
      <w:proofErr w:type="gramStart"/>
      <w:r w:rsidRPr="003C1EE9">
        <w:rPr>
          <w:rFonts w:ascii="Optima" w:eastAsiaTheme="minorEastAsia" w:hAnsi="Optima"/>
          <w:b/>
          <w:bCs/>
        </w:rPr>
        <w:t>subsection{</w:t>
      </w:r>
      <w:proofErr w:type="gramEnd"/>
      <w:r w:rsidRPr="003C1EE9">
        <w:rPr>
          <w:rFonts w:ascii="Optima" w:eastAsiaTheme="minorEastAsia" w:hAnsi="Optima"/>
          <w:b/>
          <w:bCs/>
        </w:rPr>
        <w:t>Somatic mutation detection}</w:t>
      </w:r>
    </w:p>
    <w:p w14:paraId="4A2BF722" w14:textId="77777777" w:rsidR="003C1EE9" w:rsidRPr="00343817" w:rsidRDefault="003C1EE9" w:rsidP="00343817">
      <w:pPr>
        <w:rPr>
          <w:rFonts w:ascii="Optima" w:eastAsiaTheme="minorEastAsia" w:hAnsi="Optima"/>
        </w:rPr>
      </w:pPr>
    </w:p>
    <w:p w14:paraId="7D7EEAE8" w14:textId="73ACECE6" w:rsidR="00543BB9" w:rsidRPr="00CC4C5E" w:rsidRDefault="00343817" w:rsidP="00543BB9">
      <w:pPr>
        <w:rPr>
          <w:rFonts w:ascii="Optima" w:hAnsi="Optima"/>
        </w:rPr>
      </w:pPr>
      <w:r w:rsidRPr="00343817">
        <w:rPr>
          <w:rFonts w:ascii="Optima" w:eastAsiaTheme="minorEastAsia" w:hAnsi="Optima"/>
        </w:rPr>
        <w:t>To date</w:t>
      </w:r>
      <w:r w:rsidR="00FE1099">
        <w:rPr>
          <w:rFonts w:ascii="Optima" w:eastAsiaTheme="minorEastAsia" w:hAnsi="Optima"/>
        </w:rPr>
        <w:t xml:space="preserve">, </w:t>
      </w:r>
      <w:r w:rsidRPr="00343817">
        <w:rPr>
          <w:rFonts w:ascii="Optima" w:eastAsiaTheme="minorEastAsia" w:hAnsi="Optima"/>
        </w:rPr>
        <w:t>CCS reads have b</w:t>
      </w:r>
      <w:r w:rsidR="00CC5ADE">
        <w:rPr>
          <w:rFonts w:ascii="Optima" w:eastAsiaTheme="minorEastAsia" w:hAnsi="Optima"/>
        </w:rPr>
        <w:t>e</w:t>
      </w:r>
      <w:r w:rsidRPr="00343817">
        <w:rPr>
          <w:rFonts w:ascii="Optima" w:eastAsiaTheme="minorEastAsia" w:hAnsi="Optima"/>
        </w:rPr>
        <w:t>en successfully</w:t>
      </w:r>
      <w:r w:rsidR="00706047">
        <w:rPr>
          <w:rFonts w:ascii="Optima" w:eastAsiaTheme="minorEastAsia" w:hAnsi="Optima"/>
        </w:rPr>
        <w:t xml:space="preserve"> used for construction of chromosome-length scaffolds of microbial and eukaryotic genomes \</w:t>
      </w:r>
      <w:proofErr w:type="gramStart"/>
      <w:r w:rsidR="00706047">
        <w:rPr>
          <w:rFonts w:ascii="Optima" w:eastAsiaTheme="minorEastAsia" w:hAnsi="Optima"/>
        </w:rPr>
        <w:t>cite{</w:t>
      </w:r>
      <w:proofErr w:type="gramEnd"/>
      <w:r w:rsidR="00706047">
        <w:rPr>
          <w:rFonts w:ascii="Optima" w:eastAsiaTheme="minorEastAsia" w:hAnsi="Optima"/>
        </w:rPr>
        <w:t xml:space="preserve">}, </w:t>
      </w:r>
      <w:r w:rsidRPr="00343817">
        <w:rPr>
          <w:rFonts w:ascii="Optima" w:eastAsiaTheme="minorEastAsia" w:hAnsi="Optima"/>
        </w:rPr>
        <w:t>used for germline SNP, indel and structural variation detection</w:t>
      </w:r>
      <w:r w:rsidR="00FE1099">
        <w:rPr>
          <w:rFonts w:ascii="Optima" w:eastAsiaTheme="minorEastAsia" w:hAnsi="Optima"/>
        </w:rPr>
        <w:t xml:space="preserve"> \cite{}, and </w:t>
      </w:r>
      <w:r w:rsidRPr="00343817">
        <w:rPr>
          <w:rFonts w:ascii="Optima" w:eastAsiaTheme="minorEastAsia" w:hAnsi="Optima"/>
        </w:rPr>
        <w:t xml:space="preserve">have improved the genetic diagnosis rate </w:t>
      </w:r>
      <w:r w:rsidR="00FE1099">
        <w:rPr>
          <w:rFonts w:ascii="Optima" w:eastAsiaTheme="minorEastAsia" w:hAnsi="Optima"/>
        </w:rPr>
        <w:t xml:space="preserve">of rare </w:t>
      </w:r>
      <w:r w:rsidRPr="00343817">
        <w:rPr>
          <w:rFonts w:ascii="Optima" w:eastAsiaTheme="minorEastAsia" w:hAnsi="Optima"/>
        </w:rPr>
        <w:t xml:space="preserve">diseases </w:t>
      </w:r>
      <w:r w:rsidR="00FE1099">
        <w:rPr>
          <w:rFonts w:ascii="Optima" w:eastAsiaTheme="minorEastAsia" w:hAnsi="Optima"/>
        </w:rPr>
        <w:t xml:space="preserve">\cite{}. </w:t>
      </w:r>
      <w:r w:rsidRPr="00343817">
        <w:rPr>
          <w:rFonts w:ascii="Optima" w:eastAsiaTheme="minorEastAsia" w:hAnsi="Optima"/>
        </w:rPr>
        <w:t xml:space="preserve">The applications of CCS read for somatic mutation detection, however, have been limited </w:t>
      </w:r>
      <w:r w:rsidR="00397059">
        <w:rPr>
          <w:rFonts w:ascii="Optima" w:eastAsiaTheme="minorEastAsia" w:hAnsi="Optima"/>
        </w:rPr>
        <w:t xml:space="preserve">and </w:t>
      </w:r>
      <w:r w:rsidR="00706047">
        <w:rPr>
          <w:rFonts w:ascii="Optima" w:eastAsiaTheme="minorEastAsia" w:hAnsi="Optima"/>
        </w:rPr>
        <w:t xml:space="preserve">there has </w:t>
      </w:r>
      <w:r w:rsidR="00397059">
        <w:rPr>
          <w:rFonts w:ascii="Optima" w:eastAsiaTheme="minorEastAsia" w:hAnsi="Optima"/>
        </w:rPr>
        <w:t xml:space="preserve">only </w:t>
      </w:r>
      <w:r w:rsidR="00706047">
        <w:rPr>
          <w:rFonts w:ascii="Optima" w:eastAsiaTheme="minorEastAsia" w:hAnsi="Optima"/>
        </w:rPr>
        <w:t xml:space="preserve">been a handful of publications studying </w:t>
      </w:r>
      <w:r w:rsidR="00397059">
        <w:rPr>
          <w:rFonts w:ascii="Optima" w:eastAsiaTheme="minorEastAsia" w:hAnsi="Optima"/>
        </w:rPr>
        <w:t>the complex structural rearrangements in cancers using CCS reads \</w:t>
      </w:r>
      <w:proofErr w:type="gramStart"/>
      <w:r w:rsidR="00397059">
        <w:rPr>
          <w:rFonts w:ascii="Optima" w:eastAsiaTheme="minorEastAsia" w:hAnsi="Optima"/>
        </w:rPr>
        <w:t>cite{</w:t>
      </w:r>
      <w:proofErr w:type="gramEnd"/>
      <w:r w:rsidR="00397059">
        <w:rPr>
          <w:rFonts w:ascii="Optima" w:eastAsiaTheme="minorEastAsia" w:hAnsi="Optima"/>
        </w:rPr>
        <w:t xml:space="preserve">}. Here, I focused on single molecule somatic SBS detection </w:t>
      </w:r>
      <w:r w:rsidR="00164708">
        <w:rPr>
          <w:rFonts w:ascii="Optima" w:eastAsiaTheme="minorEastAsia" w:hAnsi="Optima"/>
        </w:rPr>
        <w:t xml:space="preserve">with the </w:t>
      </w:r>
      <w:r w:rsidR="00164708">
        <w:rPr>
          <w:rFonts w:ascii="Optima" w:eastAsiaTheme="minorEastAsia" w:hAnsi="Optima"/>
        </w:rPr>
        <w:lastRenderedPageBreak/>
        <w:t>intention to identify and analyse somatic mutational processes across the Tree of Life</w:t>
      </w:r>
      <w:r w:rsidR="00CC4C5E">
        <w:rPr>
          <w:rFonts w:ascii="Optima" w:eastAsiaTheme="minorEastAsia" w:hAnsi="Optima"/>
        </w:rPr>
        <w:t xml:space="preserve"> </w:t>
      </w:r>
      <w:r w:rsidR="00CC4C5E" w:rsidRPr="00343817">
        <w:rPr>
          <w:rFonts w:ascii="Optima" w:hAnsi="Optima"/>
        </w:rPr>
        <w:t>(discussed in Chapter 3)</w:t>
      </w:r>
      <w:r w:rsidR="00164708">
        <w:rPr>
          <w:rFonts w:ascii="Optima" w:eastAsiaTheme="minorEastAsia" w:hAnsi="Optima"/>
        </w:rPr>
        <w:t xml:space="preserve"> </w:t>
      </w:r>
      <w:r w:rsidR="00397059">
        <w:rPr>
          <w:rFonts w:ascii="Optima" w:eastAsiaTheme="minorEastAsia" w:hAnsi="Optima"/>
        </w:rPr>
        <w:t>while others focused on improving the sensitivity and specificity of structural variations that could already be detected with Illumina reads \</w:t>
      </w:r>
      <w:proofErr w:type="gramStart"/>
      <w:r w:rsidR="00397059">
        <w:rPr>
          <w:rFonts w:ascii="Optima" w:eastAsiaTheme="minorEastAsia" w:hAnsi="Optima"/>
        </w:rPr>
        <w:t>cite{</w:t>
      </w:r>
      <w:proofErr w:type="gramEnd"/>
      <w:r w:rsidR="00397059">
        <w:rPr>
          <w:rFonts w:ascii="Optima" w:eastAsiaTheme="minorEastAsia" w:hAnsi="Optima"/>
        </w:rPr>
        <w:t xml:space="preserve">}. </w:t>
      </w:r>
      <w:proofErr w:type="spellStart"/>
      <w:r w:rsidR="009555E8">
        <w:rPr>
          <w:rFonts w:ascii="Optima" w:eastAsiaTheme="minorEastAsia" w:hAnsi="Optima"/>
        </w:rPr>
        <w:t>Himut</w:t>
      </w:r>
      <w:proofErr w:type="spellEnd"/>
      <w:r w:rsidR="009555E8">
        <w:rPr>
          <w:rFonts w:ascii="Optima" w:eastAsiaTheme="minorEastAsia" w:hAnsi="Optima"/>
        </w:rPr>
        <w:t xml:space="preserve"> still cannot distinguish whether an individual SBS is an error or a somatic mutation, but posterior probability can be calculated to determine </w:t>
      </w:r>
      <w:r w:rsidR="00083177">
        <w:rPr>
          <w:rFonts w:ascii="Optima" w:eastAsiaTheme="minorEastAsia" w:hAnsi="Optima"/>
        </w:rPr>
        <w:t>the probability that the substitution is derived from a biological process or a non-biological process (\</w:t>
      </w:r>
      <w:proofErr w:type="gramStart"/>
      <w:r w:rsidR="00083177">
        <w:rPr>
          <w:rFonts w:ascii="Optima" w:eastAsiaTheme="minorEastAsia" w:hAnsi="Optima"/>
        </w:rPr>
        <w:t>ref{</w:t>
      </w:r>
      <w:proofErr w:type="gramEnd"/>
      <w:r w:rsidR="00083177">
        <w:rPr>
          <w:rFonts w:ascii="Optima" w:eastAsiaTheme="minorEastAsia" w:hAnsi="Optima"/>
        </w:rPr>
        <w:t xml:space="preserve">}). </w:t>
      </w:r>
    </w:p>
    <w:p w14:paraId="5B815CB0" w14:textId="77777777" w:rsidR="00852C02" w:rsidRDefault="00852C02" w:rsidP="00343817">
      <w:pPr>
        <w:rPr>
          <w:rFonts w:ascii="Optima" w:eastAsiaTheme="minorEastAsia" w:hAnsi="Optima"/>
        </w:rPr>
      </w:pPr>
    </w:p>
    <w:p w14:paraId="78F7E0AF" w14:textId="2F4CB6C7" w:rsidR="00B266D7" w:rsidRPr="00785895" w:rsidRDefault="00083177" w:rsidP="00B266D7">
      <w:pPr>
        <w:rPr>
          <w:rFonts w:ascii="Optima" w:hAnsi="Optima"/>
          <w:lang w:val="en-US"/>
        </w:rPr>
      </w:pPr>
      <w:r>
        <w:rPr>
          <w:rFonts w:ascii="Optima" w:eastAsiaTheme="minorEastAsia" w:hAnsi="Optima"/>
        </w:rPr>
        <w:t xml:space="preserve">This approach previously was used to determine </w:t>
      </w:r>
      <w:r w:rsidR="00527FC9">
        <w:rPr>
          <w:rFonts w:ascii="Optima" w:eastAsiaTheme="minorEastAsia" w:hAnsi="Optima"/>
        </w:rPr>
        <w:t>SBS16 mutational signature, a signature associated with alcohol consumption, as the main source of somatic mutations in CTNNB1 gene in hepatocellular carcinoma \</w:t>
      </w:r>
      <w:proofErr w:type="gramStart"/>
      <w:r w:rsidR="00527FC9">
        <w:rPr>
          <w:rFonts w:ascii="Optima" w:eastAsiaTheme="minorEastAsia" w:hAnsi="Optima"/>
        </w:rPr>
        <w:t>cite{</w:t>
      </w:r>
      <w:proofErr w:type="gramEnd"/>
      <w:r w:rsidR="00527FC9">
        <w:rPr>
          <w:rFonts w:ascii="Optima" w:eastAsiaTheme="minorEastAsia" w:hAnsi="Optima"/>
        </w:rPr>
        <w:t xml:space="preserve">}. </w:t>
      </w:r>
      <w:r w:rsidR="00FA2D68">
        <w:rPr>
          <w:rFonts w:ascii="Optima" w:eastAsiaTheme="minorEastAsia" w:hAnsi="Optima"/>
        </w:rPr>
        <w:t xml:space="preserve">Despite this problem, </w:t>
      </w:r>
      <w:proofErr w:type="spellStart"/>
      <w:r w:rsidR="00FA2D68">
        <w:rPr>
          <w:rFonts w:ascii="Optima" w:eastAsiaTheme="minorEastAsia" w:hAnsi="Optima"/>
        </w:rPr>
        <w:t>himut</w:t>
      </w:r>
      <w:proofErr w:type="spellEnd"/>
      <w:r w:rsidR="00FA2D68">
        <w:rPr>
          <w:rFonts w:ascii="Optima" w:eastAsiaTheme="minorEastAsia" w:hAnsi="Optima"/>
        </w:rPr>
        <w:t xml:space="preserve"> will still enable researchers to </w:t>
      </w:r>
      <w:r w:rsidR="00F75E9B">
        <w:rPr>
          <w:rFonts w:ascii="Optima" w:eastAsiaTheme="minorEastAsia" w:hAnsi="Optima"/>
        </w:rPr>
        <w:t xml:space="preserve">rapidly </w:t>
      </w:r>
      <w:r w:rsidR="00FA2D68">
        <w:rPr>
          <w:rFonts w:ascii="Optima" w:eastAsiaTheme="minorEastAsia" w:hAnsi="Optima"/>
        </w:rPr>
        <w:t xml:space="preserve">screen for mutational signatures from bulk normal tissue without </w:t>
      </w:r>
      <w:r w:rsidR="00F75E9B">
        <w:rPr>
          <w:rFonts w:ascii="Optima" w:eastAsiaTheme="minorEastAsia" w:hAnsi="Optima"/>
        </w:rPr>
        <w:t xml:space="preserve">arduous experiments such as </w:t>
      </w:r>
      <w:r w:rsidR="00FA2D68">
        <w:rPr>
          <w:rFonts w:ascii="Optima" w:eastAsiaTheme="minorEastAsia" w:hAnsi="Optima"/>
        </w:rPr>
        <w:t xml:space="preserve">LCM or single-cell clone expansion </w:t>
      </w:r>
      <w:r w:rsidR="00F75E9B">
        <w:rPr>
          <w:rFonts w:ascii="Optima" w:eastAsiaTheme="minorEastAsia" w:hAnsi="Optima"/>
        </w:rPr>
        <w:t xml:space="preserve">sequencing, identification of environmental mutagenesis </w:t>
      </w:r>
      <w:r w:rsidR="00F75E9B" w:rsidRPr="00F75E9B">
        <w:rPr>
          <w:rFonts w:ascii="Optima" w:eastAsiaTheme="minorEastAsia" w:hAnsi="Optima"/>
        </w:rPr>
        <w:t>such as</w:t>
      </w:r>
      <w:r w:rsidR="00F75E9B">
        <w:rPr>
          <w:rFonts w:ascii="Optima" w:eastAsiaTheme="minorEastAsia" w:hAnsi="Optima"/>
        </w:rPr>
        <w:t xml:space="preserve"> exposure to</w:t>
      </w:r>
      <w:r w:rsidR="00F75E9B" w:rsidRPr="00F75E9B">
        <w:rPr>
          <w:rFonts w:ascii="Optima" w:eastAsiaTheme="minorEastAsia" w:hAnsi="Optima"/>
        </w:rPr>
        <w:t xml:space="preserve"> </w:t>
      </w:r>
      <w:r w:rsidR="00F75E9B">
        <w:rPr>
          <w:rFonts w:ascii="Optima" w:eastAsiaTheme="minorEastAsia" w:hAnsi="Optima"/>
        </w:rPr>
        <w:t>a</w:t>
      </w:r>
      <w:r w:rsidR="00F75E9B" w:rsidRPr="00F75E9B">
        <w:rPr>
          <w:rFonts w:ascii="Optima" w:hAnsi="Optima"/>
        </w:rPr>
        <w:t>ristolochic acids</w:t>
      </w:r>
      <w:r w:rsidR="00F75E9B">
        <w:rPr>
          <w:rFonts w:ascii="Optima" w:hAnsi="Optima"/>
        </w:rPr>
        <w:t>\</w:t>
      </w:r>
      <w:proofErr w:type="gramStart"/>
      <w:r w:rsidR="00F75E9B">
        <w:rPr>
          <w:rFonts w:ascii="Optima" w:hAnsi="Optima"/>
        </w:rPr>
        <w:t>cite{</w:t>
      </w:r>
      <w:proofErr w:type="gramEnd"/>
      <w:r w:rsidR="00F75E9B">
        <w:rPr>
          <w:rFonts w:ascii="Optima" w:hAnsi="Optima"/>
        </w:rPr>
        <w:t xml:space="preserve">} across different locations and populations, lineage trace embryonic and tumour development through accurate detection of mosaic and somatic mutations, respectively. </w:t>
      </w:r>
      <w:r w:rsidR="0092054B">
        <w:rPr>
          <w:rFonts w:ascii="Optima" w:eastAsiaTheme="minorEastAsia" w:hAnsi="Optima"/>
        </w:rPr>
        <w:t>In addition, t</w:t>
      </w:r>
      <w:r w:rsidR="00B266D7">
        <w:rPr>
          <w:rFonts w:ascii="Optima" w:eastAsiaTheme="minorEastAsia" w:hAnsi="Optima"/>
        </w:rPr>
        <w:t xml:space="preserve">he ability to calculate the mutation burden in normal samples and thereby the age of the samples also raises the interesting question with regards to </w:t>
      </w:r>
      <w:r w:rsidR="00785895">
        <w:rPr>
          <w:rFonts w:ascii="Optima" w:eastAsiaTheme="minorEastAsia" w:hAnsi="Optima"/>
        </w:rPr>
        <w:t xml:space="preserve">how to protect </w:t>
      </w:r>
      <w:r w:rsidR="00B266D7">
        <w:rPr>
          <w:rFonts w:ascii="Optima" w:eastAsiaTheme="minorEastAsia" w:hAnsi="Optima"/>
        </w:rPr>
        <w:t>individual’s privacy</w:t>
      </w:r>
      <w:r w:rsidR="00785895">
        <w:rPr>
          <w:rFonts w:ascii="Optima" w:eastAsiaTheme="minorEastAsia" w:hAnsi="Optima"/>
        </w:rPr>
        <w:t xml:space="preserve"> when SMRT platform becomes the primary sequencing method. </w:t>
      </w:r>
    </w:p>
    <w:p w14:paraId="5E7815DA" w14:textId="77777777" w:rsidR="00B266D7" w:rsidRDefault="00B266D7" w:rsidP="00343817">
      <w:pPr>
        <w:rPr>
          <w:rFonts w:ascii="Optima" w:eastAsiaTheme="minorEastAsia" w:hAnsi="Optima"/>
        </w:rPr>
      </w:pPr>
    </w:p>
    <w:p w14:paraId="78152A41" w14:textId="2A86E740" w:rsidR="00B266D7" w:rsidRPr="00795884" w:rsidRDefault="00543BB9" w:rsidP="00343817">
      <w:pPr>
        <w:rPr>
          <w:rFonts w:ascii="Optima" w:eastAsiaTheme="minorEastAsia" w:hAnsi="Optima"/>
        </w:rPr>
      </w:pPr>
      <w:proofErr w:type="spellStart"/>
      <w:r>
        <w:rPr>
          <w:rFonts w:ascii="Optima" w:eastAsiaTheme="minorEastAsia" w:hAnsi="Optima"/>
        </w:rPr>
        <w:t>Himut</w:t>
      </w:r>
      <w:proofErr w:type="spellEnd"/>
      <w:r>
        <w:rPr>
          <w:rFonts w:ascii="Optima" w:eastAsiaTheme="minorEastAsia" w:hAnsi="Optima"/>
        </w:rPr>
        <w:t xml:space="preserve"> currently does not consider matched tumour-normal sequencing for somatic mutation detection, but this would be the natural next step as the number of </w:t>
      </w:r>
      <w:r>
        <w:rPr>
          <w:rFonts w:ascii="Optima" w:eastAsiaTheme="minorEastAsia" w:hAnsi="Optima"/>
        </w:rPr>
        <w:t xml:space="preserve">matched </w:t>
      </w:r>
      <w:r>
        <w:rPr>
          <w:rFonts w:ascii="Optima" w:eastAsiaTheme="minorEastAsia" w:hAnsi="Optima"/>
        </w:rPr>
        <w:t>tumou</w:t>
      </w:r>
      <w:r>
        <w:rPr>
          <w:rFonts w:ascii="Optima" w:eastAsiaTheme="minorEastAsia" w:hAnsi="Optima"/>
        </w:rPr>
        <w:t>r-normal</w:t>
      </w:r>
      <w:r>
        <w:rPr>
          <w:rFonts w:ascii="Optima" w:eastAsiaTheme="minorEastAsia" w:hAnsi="Optima"/>
        </w:rPr>
        <w:t xml:space="preserve"> samples sequenced with the SMRT platform is expected to increase with the introduction of the </w:t>
      </w:r>
      <w:proofErr w:type="spellStart"/>
      <w:r>
        <w:rPr>
          <w:rFonts w:ascii="Optima" w:eastAsiaTheme="minorEastAsia" w:hAnsi="Optima"/>
        </w:rPr>
        <w:t>Revio</w:t>
      </w:r>
      <w:proofErr w:type="spellEnd"/>
      <w:r>
        <w:rPr>
          <w:rFonts w:ascii="Optima" w:eastAsiaTheme="minorEastAsia" w:hAnsi="Optima"/>
        </w:rPr>
        <w:t xml:space="preserve"> instrument.</w:t>
      </w:r>
      <w:r w:rsidR="001B2E9D">
        <w:rPr>
          <w:rFonts w:ascii="Optima" w:eastAsiaTheme="minorEastAsia" w:hAnsi="Optima"/>
        </w:rPr>
        <w:t xml:space="preserve"> In the future, </w:t>
      </w:r>
      <w:r w:rsidR="00397059">
        <w:rPr>
          <w:rFonts w:ascii="Optima" w:eastAsiaTheme="minorEastAsia" w:hAnsi="Optima"/>
        </w:rPr>
        <w:t xml:space="preserve">I believe that </w:t>
      </w:r>
      <w:r w:rsidR="009555E8">
        <w:rPr>
          <w:rFonts w:ascii="Optima" w:eastAsiaTheme="minorEastAsia" w:hAnsi="Optima"/>
        </w:rPr>
        <w:t>a wider range of somatic mutation</w:t>
      </w:r>
      <w:r w:rsidR="008663C2">
        <w:rPr>
          <w:rFonts w:ascii="Optima" w:eastAsiaTheme="minorEastAsia" w:hAnsi="Optima"/>
        </w:rPr>
        <w:t xml:space="preserve"> detection will be possible with the benchmarking approach</w:t>
      </w:r>
      <w:r w:rsidR="007A08AA">
        <w:rPr>
          <w:rFonts w:ascii="Optima" w:eastAsiaTheme="minorEastAsia" w:hAnsi="Optima"/>
        </w:rPr>
        <w:t xml:space="preserve"> I have established</w:t>
      </w:r>
      <w:r w:rsidR="008663C2">
        <w:rPr>
          <w:rFonts w:ascii="Optima" w:eastAsiaTheme="minorEastAsia" w:hAnsi="Optima"/>
        </w:rPr>
        <w:t xml:space="preserve"> where a sample with a </w:t>
      </w:r>
      <w:r w:rsidR="00FA2D68">
        <w:rPr>
          <w:rFonts w:ascii="Optima" w:eastAsiaTheme="minorEastAsia" w:hAnsi="Optima"/>
        </w:rPr>
        <w:t>known double base substitution</w:t>
      </w:r>
      <w:r w:rsidR="00FA2D68">
        <w:rPr>
          <w:rFonts w:ascii="Optima" w:eastAsiaTheme="minorEastAsia" w:hAnsi="Optima"/>
        </w:rPr>
        <w:t xml:space="preserve"> and indel</w:t>
      </w:r>
      <w:r w:rsidR="00FA2D68">
        <w:rPr>
          <w:rFonts w:ascii="Optima" w:eastAsiaTheme="minorEastAsia" w:hAnsi="Optima"/>
        </w:rPr>
        <w:t xml:space="preserve"> </w:t>
      </w:r>
      <w:r w:rsidR="008663C2">
        <w:rPr>
          <w:rFonts w:ascii="Optima" w:eastAsiaTheme="minorEastAsia" w:hAnsi="Optima"/>
        </w:rPr>
        <w:t>somatic mutational</w:t>
      </w:r>
      <w:r w:rsidR="00402D6B">
        <w:rPr>
          <w:rFonts w:ascii="Optima" w:eastAsiaTheme="minorEastAsia" w:hAnsi="Optima"/>
        </w:rPr>
        <w:t xml:space="preserve"> process</w:t>
      </w:r>
      <w:r w:rsidR="008663C2">
        <w:rPr>
          <w:rFonts w:ascii="Optima" w:eastAsiaTheme="minorEastAsia" w:hAnsi="Optima"/>
        </w:rPr>
        <w:t xml:space="preserve"> is sequenced and used to fine-tune </w:t>
      </w:r>
      <w:r w:rsidR="005B5B27">
        <w:rPr>
          <w:rFonts w:ascii="Optima" w:eastAsiaTheme="minorEastAsia" w:hAnsi="Optima"/>
        </w:rPr>
        <w:t xml:space="preserve">the </w:t>
      </w:r>
      <w:proofErr w:type="spellStart"/>
      <w:r w:rsidR="005B5B27">
        <w:rPr>
          <w:rFonts w:ascii="Optima" w:eastAsiaTheme="minorEastAsia" w:hAnsi="Optima"/>
        </w:rPr>
        <w:t>pbccs</w:t>
      </w:r>
      <w:proofErr w:type="spellEnd"/>
      <w:r w:rsidR="008663C2">
        <w:rPr>
          <w:rFonts w:ascii="Optima" w:eastAsiaTheme="minorEastAsia" w:hAnsi="Optima"/>
        </w:rPr>
        <w:t xml:space="preserve"> algorithm and improve </w:t>
      </w:r>
      <w:proofErr w:type="spellStart"/>
      <w:r w:rsidR="008663C2">
        <w:rPr>
          <w:rFonts w:ascii="Optima" w:eastAsiaTheme="minorEastAsia" w:hAnsi="Optima"/>
        </w:rPr>
        <w:t>himut</w:t>
      </w:r>
      <w:proofErr w:type="spellEnd"/>
      <w:r w:rsidR="008663C2">
        <w:rPr>
          <w:rFonts w:ascii="Optima" w:eastAsiaTheme="minorEastAsia" w:hAnsi="Optima"/>
        </w:rPr>
        <w:t xml:space="preserve"> sensitivity and specificity. </w:t>
      </w:r>
      <w:r w:rsidR="002743A1">
        <w:rPr>
          <w:rFonts w:ascii="Optima" w:eastAsiaTheme="minorEastAsia" w:hAnsi="Optima"/>
        </w:rPr>
        <w:t xml:space="preserve">UV light, for example, induces the photoexcitation and dimerisation of adjacent pyrimidines into </w:t>
      </w:r>
      <w:proofErr w:type="spellStart"/>
      <w:r w:rsidR="002743A1">
        <w:rPr>
          <w:rFonts w:ascii="Optima" w:eastAsiaTheme="minorEastAsia" w:hAnsi="Optima"/>
        </w:rPr>
        <w:t>cyclobutane</w:t>
      </w:r>
      <w:proofErr w:type="spellEnd"/>
      <w:r w:rsidR="002743A1">
        <w:rPr>
          <w:rFonts w:ascii="Optima" w:eastAsiaTheme="minorEastAsia" w:hAnsi="Optima"/>
        </w:rPr>
        <w:t xml:space="preserve"> pyrimidine dimer (CPD) and 6-4 photoproduct.</w:t>
      </w:r>
      <w:r w:rsidR="00795884">
        <w:rPr>
          <w:rFonts w:ascii="Optima" w:eastAsiaTheme="minorEastAsia" w:hAnsi="Optima"/>
        </w:rPr>
        <w:t xml:space="preserve"> Although the</w:t>
      </w:r>
      <w:r w:rsidR="002743A1">
        <w:rPr>
          <w:rFonts w:ascii="Optima" w:eastAsiaTheme="minorEastAsia" w:hAnsi="Optima"/>
        </w:rPr>
        <w:t xml:space="preserve"> exact mechanism </w:t>
      </w:r>
      <w:r w:rsidR="00BE0929">
        <w:rPr>
          <w:rFonts w:ascii="Optima" w:eastAsiaTheme="minorEastAsia" w:hAnsi="Optima"/>
        </w:rPr>
        <w:t xml:space="preserve">that converts DNA damage to DNA mutation </w:t>
      </w:r>
      <w:r w:rsidR="002743A1">
        <w:rPr>
          <w:rFonts w:ascii="Optima" w:eastAsiaTheme="minorEastAsia" w:hAnsi="Optima"/>
        </w:rPr>
        <w:t xml:space="preserve">is unknown, CPD deamination </w:t>
      </w:r>
      <w:r w:rsidR="00795884">
        <w:rPr>
          <w:rFonts w:ascii="Optima" w:eastAsiaTheme="minorEastAsia" w:hAnsi="Optima"/>
        </w:rPr>
        <w:t xml:space="preserve">has been </w:t>
      </w:r>
      <w:r w:rsidR="002743A1">
        <w:rPr>
          <w:rFonts w:ascii="Optima" w:eastAsiaTheme="minorEastAsia" w:hAnsi="Optima"/>
        </w:rPr>
        <w:t xml:space="preserve">suggested as one of the mechanisms generating C&gt;T mutations (SBS7abc) </w:t>
      </w:r>
      <w:r w:rsidR="000420B3">
        <w:rPr>
          <w:rFonts w:ascii="Optima" w:eastAsiaTheme="minorEastAsia" w:hAnsi="Optima"/>
        </w:rPr>
        <w:t xml:space="preserve">and </w:t>
      </w:r>
      <w:r w:rsidR="002743A1">
        <w:rPr>
          <w:rFonts w:ascii="Optima" w:eastAsiaTheme="minorEastAsia" w:hAnsi="Optima"/>
        </w:rPr>
        <w:t xml:space="preserve">CC&gt;TT mutations </w:t>
      </w:r>
      <w:r w:rsidR="000420B3">
        <w:rPr>
          <w:rFonts w:ascii="Optima" w:eastAsiaTheme="minorEastAsia" w:hAnsi="Optima"/>
        </w:rPr>
        <w:t xml:space="preserve">(DBS1) </w:t>
      </w:r>
      <w:r w:rsidR="00795884">
        <w:rPr>
          <w:rFonts w:ascii="Optima" w:eastAsiaTheme="minorEastAsia" w:hAnsi="Optima"/>
        </w:rPr>
        <w:t>\</w:t>
      </w:r>
      <w:proofErr w:type="gramStart"/>
      <w:r w:rsidR="00795884">
        <w:rPr>
          <w:rFonts w:ascii="Optima" w:eastAsiaTheme="minorEastAsia" w:hAnsi="Optima"/>
        </w:rPr>
        <w:t>cite{</w:t>
      </w:r>
      <w:proofErr w:type="gramEnd"/>
      <w:r w:rsidR="00795884">
        <w:rPr>
          <w:rFonts w:ascii="Optima" w:eastAsiaTheme="minorEastAsia" w:hAnsi="Optima"/>
        </w:rPr>
        <w:t>}</w:t>
      </w:r>
      <w:r w:rsidR="00097EDD">
        <w:rPr>
          <w:rFonts w:ascii="Optima" w:eastAsiaTheme="minorEastAsia" w:hAnsi="Optima"/>
        </w:rPr>
        <w:t xml:space="preserve">. </w:t>
      </w:r>
    </w:p>
    <w:p w14:paraId="448F4DE0" w14:textId="32C914F5" w:rsidR="00B266D7" w:rsidRDefault="00B266D7" w:rsidP="00343817">
      <w:pPr>
        <w:rPr>
          <w:rFonts w:ascii="Optima" w:eastAsiaTheme="minorEastAsia" w:hAnsi="Optima"/>
          <w:lang w:val="en-US"/>
        </w:rPr>
      </w:pPr>
    </w:p>
    <w:p w14:paraId="1DB45007" w14:textId="77777777" w:rsidR="00097EDD" w:rsidRPr="00097EDD" w:rsidRDefault="00097EDD" w:rsidP="00097EDD">
      <w:r w:rsidRPr="00097EDD">
        <w:rPr>
          <w:rFonts w:ascii="Helvetica" w:hAnsi="Helvetica"/>
          <w:color w:val="505050"/>
          <w:sz w:val="27"/>
          <w:szCs w:val="27"/>
          <w:shd w:val="clear" w:color="auto" w:fill="FFFFFF"/>
        </w:rPr>
        <w:t>We examined mutational signatures in 324 WGS human-induced pluripotent stem cells exposed to 79 known or suspected environmental carcinogens.</w:t>
      </w:r>
    </w:p>
    <w:p w14:paraId="6735C70E" w14:textId="77777777" w:rsidR="00097EDD" w:rsidRPr="00097EDD" w:rsidRDefault="00097EDD" w:rsidP="00343817">
      <w:pPr>
        <w:rPr>
          <w:rFonts w:ascii="Optima" w:eastAsiaTheme="minorEastAsia" w:hAnsi="Optima"/>
        </w:rPr>
      </w:pPr>
    </w:p>
    <w:p w14:paraId="474E77BB" w14:textId="42147A4F" w:rsidR="00097EDD" w:rsidRDefault="00097EDD" w:rsidP="00097EDD">
      <w:r>
        <w:rPr>
          <w:rFonts w:ascii="Helvetica" w:hAnsi="Helvetica"/>
          <w:color w:val="505050"/>
          <w:sz w:val="27"/>
          <w:szCs w:val="27"/>
          <w:shd w:val="clear" w:color="auto" w:fill="FFFFFF"/>
        </w:rPr>
        <w:t xml:space="preserve">1,2-DMH had a unique preponderance for C deletions flanked by T nucleotides. </w:t>
      </w:r>
    </w:p>
    <w:p w14:paraId="3A97E42B" w14:textId="77777777" w:rsidR="00097EDD" w:rsidRDefault="00097EDD" w:rsidP="00097EDD">
      <w:r>
        <w:t xml:space="preserve">Cisplatin produced a mutational signature characterized by T insertions at single T or long tracts of repetitive Ts. These T insertions were just downstream of </w:t>
      </w:r>
      <w:proofErr w:type="spellStart"/>
      <w:r>
        <w:t>GpG</w:t>
      </w:r>
      <w:proofErr w:type="spellEnd"/>
      <w:r>
        <w:t xml:space="preserve"> dinucleotides (</w:t>
      </w:r>
      <w:hyperlink r:id="rId5" w:anchor="gr5" w:history="1">
        <w:r>
          <w:rPr>
            <w:rStyle w:val="Hyperlink"/>
            <w:color w:val="005789"/>
          </w:rPr>
          <w:t>Figure 5</w:t>
        </w:r>
      </w:hyperlink>
      <w:r>
        <w:t>C). This is in keeping with a previous report (</w:t>
      </w:r>
    </w:p>
    <w:p w14:paraId="70191544" w14:textId="77777777" w:rsidR="00097EDD" w:rsidRDefault="00097EDD" w:rsidP="00097EDD">
      <w:hyperlink r:id="rId6" w:anchor="bib50" w:history="1">
        <w:proofErr w:type="spellStart"/>
        <w:r>
          <w:rPr>
            <w:rStyle w:val="Hyperlink"/>
            <w:color w:val="005789"/>
          </w:rPr>
          <w:t>Szikriszt</w:t>
        </w:r>
        <w:proofErr w:type="spellEnd"/>
        <w:r>
          <w:rPr>
            <w:rStyle w:val="Hyperlink"/>
            <w:color w:val="005789"/>
          </w:rPr>
          <w:t xml:space="preserve"> et al</w:t>
        </w:r>
        <w:r>
          <w:rPr>
            <w:rStyle w:val="Hyperlink"/>
            <w:color w:val="005789"/>
          </w:rPr>
          <w:t>.</w:t>
        </w:r>
        <w:r>
          <w:rPr>
            <w:rStyle w:val="Hyperlink"/>
            <w:color w:val="005789"/>
          </w:rPr>
          <w:t>, 2016</w:t>
        </w:r>
      </w:hyperlink>
      <w:r>
        <w:t xml:space="preserve">) and is highly interesting because </w:t>
      </w:r>
      <w:proofErr w:type="spellStart"/>
      <w:r>
        <w:t>GpG</w:t>
      </w:r>
      <w:proofErr w:type="spellEnd"/>
      <w:r>
        <w:t xml:space="preserve"> dinucleotides are the targets of </w:t>
      </w:r>
      <w:proofErr w:type="spellStart"/>
      <w:r>
        <w:t>intrastrand</w:t>
      </w:r>
      <w:proofErr w:type="spellEnd"/>
      <w:r>
        <w:t xml:space="preserve"> crosslinks of platinum compounds.</w:t>
      </w:r>
    </w:p>
    <w:p w14:paraId="49D75C00" w14:textId="05124E40" w:rsidR="00457CDB" w:rsidRPr="00097EDD" w:rsidRDefault="00457CDB" w:rsidP="00343817">
      <w:pPr>
        <w:rPr>
          <w:rFonts w:ascii="Optima" w:eastAsiaTheme="minorEastAsia" w:hAnsi="Optima"/>
        </w:rPr>
      </w:pPr>
    </w:p>
    <w:p w14:paraId="33C8429F" w14:textId="77777777" w:rsidR="00A16B34" w:rsidRDefault="00A16B34" w:rsidP="00A16B34">
      <w:r>
        <w:rPr>
          <w:rFonts w:ascii="Georgia" w:hAnsi="Georgia"/>
          <w:color w:val="333333"/>
          <w:sz w:val="27"/>
          <w:szCs w:val="27"/>
          <w:shd w:val="clear" w:color="auto" w:fill="FFFFFF"/>
        </w:rPr>
        <w:t>Cisplatin treatment also induced a remarkable number of short insertion and deletion mutations, totalling 132</w:t>
      </w:r>
      <w:r>
        <w:rPr>
          <w:color w:val="333333"/>
          <w:sz w:val="27"/>
          <w:szCs w:val="27"/>
          <w:shd w:val="clear" w:color="auto" w:fill="FFFFFF"/>
        </w:rPr>
        <w:t> </w:t>
      </w:r>
      <w:r>
        <w:rPr>
          <w:rFonts w:ascii="Georgia" w:hAnsi="Georgia"/>
          <w:color w:val="333333"/>
          <w:sz w:val="27"/>
          <w:szCs w:val="27"/>
          <w:shd w:val="clear" w:color="auto" w:fill="FFFFFF"/>
        </w:rPr>
        <w:t>±</w:t>
      </w:r>
      <w:r>
        <w:rPr>
          <w:color w:val="333333"/>
          <w:sz w:val="27"/>
          <w:szCs w:val="27"/>
          <w:shd w:val="clear" w:color="auto" w:fill="FFFFFF"/>
        </w:rPr>
        <w:t> </w:t>
      </w:r>
      <w:r>
        <w:rPr>
          <w:rFonts w:ascii="Georgia" w:hAnsi="Georgia"/>
          <w:color w:val="333333"/>
          <w:sz w:val="27"/>
          <w:szCs w:val="27"/>
          <w:shd w:val="clear" w:color="auto" w:fill="FFFFFF"/>
        </w:rPr>
        <w:t>34 per sample (Fig. </w:t>
      </w:r>
      <w:hyperlink r:id="rId7" w:anchor="Fig4" w:history="1">
        <w:r>
          <w:rPr>
            <w:rStyle w:val="Hyperlink"/>
            <w:rFonts w:ascii="Georgia" w:hAnsi="Georgia"/>
            <w:color w:val="8E2555"/>
            <w:sz w:val="27"/>
            <w:szCs w:val="27"/>
          </w:rPr>
          <w:t>4a</w:t>
        </w:r>
      </w:hyperlink>
      <w:r>
        <w:rPr>
          <w:rFonts w:ascii="Georgia" w:hAnsi="Georgia"/>
          <w:color w:val="333333"/>
          <w:sz w:val="27"/>
          <w:szCs w:val="27"/>
          <w:shd w:val="clear" w:color="auto" w:fill="FFFFFF"/>
        </w:rPr>
        <w:t>, Table </w:t>
      </w:r>
      <w:hyperlink r:id="rId8" w:anchor="Tab2" w:history="1">
        <w:r>
          <w:rPr>
            <w:rStyle w:val="Hyperlink"/>
            <w:rFonts w:ascii="Georgia" w:hAnsi="Georgia"/>
            <w:color w:val="8E2555"/>
            <w:sz w:val="27"/>
            <w:szCs w:val="27"/>
          </w:rPr>
          <w:t>2</w:t>
        </w:r>
      </w:hyperlink>
      <w:r>
        <w:rPr>
          <w:rFonts w:ascii="Georgia" w:hAnsi="Georgia"/>
          <w:color w:val="333333"/>
          <w:sz w:val="27"/>
          <w:szCs w:val="27"/>
          <w:shd w:val="clear" w:color="auto" w:fill="FFFFFF"/>
        </w:rPr>
        <w:t>, Additional file</w:t>
      </w:r>
      <w:r>
        <w:rPr>
          <w:rStyle w:val="apple-converted-space"/>
          <w:rFonts w:ascii="Georgia" w:hAnsi="Georgia"/>
          <w:color w:val="333333"/>
          <w:sz w:val="27"/>
          <w:szCs w:val="27"/>
          <w:shd w:val="clear" w:color="auto" w:fill="FFFFFF"/>
        </w:rPr>
        <w:t> </w:t>
      </w:r>
      <w:hyperlink r:id="rId9" w:anchor="MOESM1" w:history="1">
        <w:r>
          <w:rPr>
            <w:rStyle w:val="Hyperlink"/>
            <w:rFonts w:ascii="Georgia" w:hAnsi="Georgia"/>
            <w:color w:val="8E2555"/>
            <w:sz w:val="27"/>
            <w:szCs w:val="27"/>
          </w:rPr>
          <w:t>1</w:t>
        </w:r>
      </w:hyperlink>
      <w:r>
        <w:rPr>
          <w:rFonts w:ascii="Georgia" w:hAnsi="Georgia"/>
          <w:color w:val="333333"/>
          <w:sz w:val="27"/>
          <w:szCs w:val="27"/>
          <w:shd w:val="clear" w:color="auto" w:fill="FFFFFF"/>
        </w:rPr>
        <w:t xml:space="preserve">: Table S1). The insertions were almost exclusively one base </w:t>
      </w:r>
      <w:r>
        <w:rPr>
          <w:rFonts w:ascii="Georgia" w:hAnsi="Georgia"/>
          <w:color w:val="333333"/>
          <w:sz w:val="27"/>
          <w:szCs w:val="27"/>
          <w:shd w:val="clear" w:color="auto" w:fill="FFFFFF"/>
        </w:rPr>
        <w:lastRenderedPageBreak/>
        <w:t>long (95 % of all insertions, Fig. </w:t>
      </w:r>
      <w:hyperlink r:id="rId10" w:anchor="Fig4" w:history="1">
        <w:r>
          <w:rPr>
            <w:rStyle w:val="Hyperlink"/>
            <w:rFonts w:ascii="Georgia" w:hAnsi="Georgia"/>
            <w:color w:val="8E2555"/>
            <w:sz w:val="27"/>
            <w:szCs w:val="27"/>
          </w:rPr>
          <w:t>4b</w:t>
        </w:r>
      </w:hyperlink>
      <w:r>
        <w:rPr>
          <w:rFonts w:ascii="Georgia" w:hAnsi="Georgia"/>
          <w:color w:val="333333"/>
          <w:sz w:val="27"/>
          <w:szCs w:val="27"/>
          <w:shd w:val="clear" w:color="auto" w:fill="FFFFFF"/>
        </w:rPr>
        <w:t>). We classified one-base insertions based on their sequence context (Fig. </w:t>
      </w:r>
      <w:hyperlink r:id="rId11" w:anchor="Fig4" w:history="1">
        <w:r>
          <w:rPr>
            <w:rStyle w:val="Hyperlink"/>
            <w:rFonts w:ascii="Georgia" w:hAnsi="Georgia"/>
            <w:color w:val="8E2555"/>
            <w:sz w:val="27"/>
            <w:szCs w:val="27"/>
          </w:rPr>
          <w:t>4c</w:t>
        </w:r>
      </w:hyperlink>
      <w:r>
        <w:rPr>
          <w:rFonts w:ascii="Georgia" w:hAnsi="Georgia"/>
          <w:color w:val="333333"/>
          <w:sz w:val="27"/>
          <w:szCs w:val="27"/>
          <w:shd w:val="clear" w:color="auto" w:fill="FFFFFF"/>
        </w:rPr>
        <w:t>, Additional file</w:t>
      </w:r>
      <w:r>
        <w:rPr>
          <w:rStyle w:val="apple-converted-space"/>
          <w:rFonts w:ascii="Georgia" w:hAnsi="Georgia"/>
          <w:color w:val="333333"/>
          <w:sz w:val="27"/>
          <w:szCs w:val="27"/>
          <w:shd w:val="clear" w:color="auto" w:fill="FFFFFF"/>
        </w:rPr>
        <w:t> </w:t>
      </w:r>
      <w:hyperlink r:id="rId12" w:anchor="MOESM1" w:history="1">
        <w:r>
          <w:rPr>
            <w:rStyle w:val="Hyperlink"/>
            <w:rFonts w:ascii="Georgia" w:hAnsi="Georgia"/>
            <w:color w:val="8E2555"/>
            <w:sz w:val="27"/>
            <w:szCs w:val="27"/>
          </w:rPr>
          <w:t>1</w:t>
        </w:r>
      </w:hyperlink>
      <w:r>
        <w:rPr>
          <w:rFonts w:ascii="Georgia" w:hAnsi="Georgia"/>
          <w:color w:val="333333"/>
          <w:sz w:val="27"/>
          <w:szCs w:val="27"/>
          <w:shd w:val="clear" w:color="auto" w:fill="FFFFFF"/>
        </w:rPr>
        <w:t xml:space="preserve">: Table S4). Ninety-four percent of one-base insertions were A/T base pairs. On the strand with the thymidine insertion, the preceding two bases were GG in 81 % of cases, presumably representing the site of an </w:t>
      </w:r>
      <w:proofErr w:type="spellStart"/>
      <w:r>
        <w:rPr>
          <w:rFonts w:ascii="Georgia" w:hAnsi="Georgia"/>
          <w:color w:val="333333"/>
          <w:sz w:val="27"/>
          <w:szCs w:val="27"/>
          <w:shd w:val="clear" w:color="auto" w:fill="FFFFFF"/>
        </w:rPr>
        <w:t>intrastrand</w:t>
      </w:r>
      <w:proofErr w:type="spellEnd"/>
      <w:r>
        <w:rPr>
          <w:rFonts w:ascii="Georgia" w:hAnsi="Georgia"/>
          <w:color w:val="333333"/>
          <w:sz w:val="27"/>
          <w:szCs w:val="27"/>
          <w:shd w:val="clear" w:color="auto" w:fill="FFFFFF"/>
        </w:rPr>
        <w:t xml:space="preserve"> crosslink Surprisingly, the bases following the insertion site also showed strong sequence preference. The first base following a thymidine insertion was 84 % T, while the first two bases together were 51 % TT. If the mutagenic process is DNA synthesis using the damaged strand as template, we can conclude that it preferentially inserts an extra adenosine when the bases 3’ to the template GG crosslink are </w:t>
      </w:r>
      <w:proofErr w:type="spellStart"/>
      <w:r>
        <w:rPr>
          <w:rFonts w:ascii="Georgia" w:hAnsi="Georgia"/>
          <w:color w:val="333333"/>
          <w:sz w:val="27"/>
          <w:szCs w:val="27"/>
          <w:shd w:val="clear" w:color="auto" w:fill="FFFFFF"/>
        </w:rPr>
        <w:t>thymines</w:t>
      </w:r>
      <w:proofErr w:type="spellEnd"/>
      <w:r>
        <w:rPr>
          <w:rFonts w:ascii="Georgia" w:hAnsi="Georgia"/>
          <w:color w:val="333333"/>
          <w:sz w:val="27"/>
          <w:szCs w:val="27"/>
          <w:shd w:val="clear" w:color="auto" w:fill="FFFFFF"/>
        </w:rPr>
        <w:t xml:space="preserve"> (see Fig. </w:t>
      </w:r>
      <w:hyperlink r:id="rId13" w:anchor="Fig4" w:history="1">
        <w:r>
          <w:rPr>
            <w:rStyle w:val="Hyperlink"/>
            <w:rFonts w:ascii="Georgia" w:hAnsi="Georgia"/>
            <w:color w:val="8E2555"/>
            <w:sz w:val="27"/>
            <w:szCs w:val="27"/>
          </w:rPr>
          <w:t>4e</w:t>
        </w:r>
      </w:hyperlink>
      <w:r>
        <w:rPr>
          <w:rStyle w:val="apple-converted-space"/>
          <w:rFonts w:ascii="Georgia" w:hAnsi="Georgia"/>
          <w:color w:val="333333"/>
          <w:sz w:val="27"/>
          <w:szCs w:val="27"/>
          <w:shd w:val="clear" w:color="auto" w:fill="FFFFFF"/>
        </w:rPr>
        <w:t> </w:t>
      </w:r>
      <w:r>
        <w:rPr>
          <w:rFonts w:ascii="Georgia" w:hAnsi="Georgia"/>
          <w:color w:val="333333"/>
          <w:sz w:val="27"/>
          <w:szCs w:val="27"/>
          <w:shd w:val="clear" w:color="auto" w:fill="FFFFFF"/>
        </w:rPr>
        <w:t>for a model). Six of the eight observed C/G base pair insertions occurred at CC/GG sites (Fig. </w:t>
      </w:r>
      <w:hyperlink r:id="rId14" w:anchor="Fig4" w:history="1">
        <w:r>
          <w:rPr>
            <w:rStyle w:val="Hyperlink"/>
            <w:rFonts w:ascii="Georgia" w:hAnsi="Georgia"/>
            <w:color w:val="8E2555"/>
            <w:sz w:val="27"/>
            <w:szCs w:val="27"/>
          </w:rPr>
          <w:t>4c</w:t>
        </w:r>
      </w:hyperlink>
      <w:r>
        <w:rPr>
          <w:rFonts w:ascii="Georgia" w:hAnsi="Georgia"/>
          <w:color w:val="333333"/>
          <w:sz w:val="27"/>
          <w:szCs w:val="27"/>
          <w:shd w:val="clear" w:color="auto" w:fill="FFFFFF"/>
        </w:rPr>
        <w:t xml:space="preserve">), also likely sites of </w:t>
      </w:r>
      <w:proofErr w:type="spellStart"/>
      <w:r>
        <w:rPr>
          <w:rFonts w:ascii="Georgia" w:hAnsi="Georgia"/>
          <w:color w:val="333333"/>
          <w:sz w:val="27"/>
          <w:szCs w:val="27"/>
          <w:shd w:val="clear" w:color="auto" w:fill="FFFFFF"/>
        </w:rPr>
        <w:t>intrastrand</w:t>
      </w:r>
      <w:proofErr w:type="spellEnd"/>
      <w:r>
        <w:rPr>
          <w:rFonts w:ascii="Georgia" w:hAnsi="Georgia"/>
          <w:color w:val="333333"/>
          <w:sz w:val="27"/>
          <w:szCs w:val="27"/>
          <w:shd w:val="clear" w:color="auto" w:fill="FFFFFF"/>
        </w:rPr>
        <w:t xml:space="preserve"> crosslinks.</w:t>
      </w:r>
    </w:p>
    <w:p w14:paraId="5DC01A48" w14:textId="315B820D" w:rsidR="00AC48CF" w:rsidRPr="00E9493E" w:rsidRDefault="00AC48CF" w:rsidP="00343817">
      <w:pPr>
        <w:rPr>
          <w:rFonts w:ascii="Optima" w:eastAsiaTheme="minorEastAsia" w:hAnsi="Optima"/>
          <w:lang w:val="en-US"/>
        </w:rPr>
      </w:pPr>
    </w:p>
    <w:p w14:paraId="1E990C55" w14:textId="77777777" w:rsidR="00AC48CF" w:rsidRDefault="00AC48CF" w:rsidP="00343817">
      <w:pPr>
        <w:rPr>
          <w:rFonts w:ascii="Optima" w:eastAsiaTheme="minorEastAsia" w:hAnsi="Optima"/>
        </w:rPr>
      </w:pPr>
    </w:p>
    <w:p w14:paraId="25BFFD32" w14:textId="473E855E" w:rsidR="00292F09" w:rsidRDefault="008663C2" w:rsidP="00343817">
      <w:pPr>
        <w:rPr>
          <w:rFonts w:ascii="Optima" w:eastAsiaTheme="minorEastAsia" w:hAnsi="Optima"/>
        </w:rPr>
      </w:pPr>
      <w:r>
        <w:rPr>
          <w:rFonts w:ascii="Optima" w:eastAsiaTheme="minorEastAsia" w:hAnsi="Optima"/>
        </w:rPr>
        <w:t xml:space="preserve">In addition, </w:t>
      </w:r>
      <w:r w:rsidR="005B5B27">
        <w:rPr>
          <w:rFonts w:ascii="Optima" w:eastAsiaTheme="minorEastAsia" w:hAnsi="Optima"/>
        </w:rPr>
        <w:t xml:space="preserve">when error-free native DNA CCS library preparation is </w:t>
      </w:r>
      <w:r w:rsidR="00292F09">
        <w:rPr>
          <w:rFonts w:ascii="Optima" w:eastAsiaTheme="minorEastAsia" w:hAnsi="Optima"/>
        </w:rPr>
        <w:t>possible</w:t>
      </w:r>
      <w:r w:rsidR="005B5B27">
        <w:rPr>
          <w:rFonts w:ascii="Optima" w:eastAsiaTheme="minorEastAsia" w:hAnsi="Optima"/>
        </w:rPr>
        <w:t xml:space="preserve"> and when CCS BQ scores are correctly calibrated, HMW DNA extraction</w:t>
      </w:r>
      <w:r w:rsidR="00BD4350">
        <w:rPr>
          <w:rFonts w:ascii="Optima" w:eastAsiaTheme="minorEastAsia" w:hAnsi="Optima"/>
        </w:rPr>
        <w:t xml:space="preserve">, </w:t>
      </w:r>
      <w:r w:rsidR="005B5B27">
        <w:rPr>
          <w:rFonts w:ascii="Optima" w:eastAsiaTheme="minorEastAsia" w:hAnsi="Optima"/>
        </w:rPr>
        <w:t xml:space="preserve">input requirements for CCS library preparation </w:t>
      </w:r>
      <w:r w:rsidR="00BD4350">
        <w:rPr>
          <w:rFonts w:ascii="Optima" w:eastAsiaTheme="minorEastAsia" w:hAnsi="Optima"/>
        </w:rPr>
        <w:t xml:space="preserve">and sequence coverage of the sample </w:t>
      </w:r>
      <w:r w:rsidR="005B5B27">
        <w:rPr>
          <w:rFonts w:ascii="Optima" w:eastAsiaTheme="minorEastAsia" w:hAnsi="Optima"/>
        </w:rPr>
        <w:t xml:space="preserve">becomes the limiting factor to identifying and studying somatic mutagenesis across all tissues and all species. </w:t>
      </w:r>
    </w:p>
    <w:p w14:paraId="64ED474F" w14:textId="16E86843" w:rsidR="00343817" w:rsidRPr="00FE1099" w:rsidRDefault="00343817" w:rsidP="00343817">
      <w:pPr>
        <w:rPr>
          <w:rFonts w:ascii="Optima" w:eastAsiaTheme="minorEastAsia" w:hAnsi="Optima"/>
          <w:b/>
          <w:bCs/>
        </w:rPr>
      </w:pPr>
    </w:p>
    <w:p w14:paraId="6CF48703" w14:textId="43CEF471" w:rsidR="003C1EE9" w:rsidRPr="00FE1099" w:rsidRDefault="00FE1099" w:rsidP="00343817">
      <w:pPr>
        <w:rPr>
          <w:rFonts w:ascii="Optima" w:eastAsiaTheme="minorEastAsia" w:hAnsi="Optima"/>
          <w:b/>
          <w:bCs/>
        </w:rPr>
      </w:pPr>
      <w:r w:rsidRPr="00FE1099">
        <w:rPr>
          <w:rFonts w:ascii="Optima" w:eastAsiaTheme="minorEastAsia" w:hAnsi="Optima"/>
          <w:b/>
          <w:bCs/>
        </w:rPr>
        <w:t>\</w:t>
      </w:r>
      <w:proofErr w:type="gramStart"/>
      <w:r w:rsidRPr="00FE1099">
        <w:rPr>
          <w:rFonts w:ascii="Optima" w:eastAsiaTheme="minorEastAsia" w:hAnsi="Optima"/>
          <w:b/>
          <w:bCs/>
        </w:rPr>
        <w:t>subsection{</w:t>
      </w:r>
      <w:proofErr w:type="gramEnd"/>
      <w:r w:rsidR="0048088A">
        <w:rPr>
          <w:rFonts w:ascii="Optima" w:eastAsiaTheme="minorEastAsia" w:hAnsi="Optima"/>
          <w:b/>
          <w:bCs/>
        </w:rPr>
        <w:t>S</w:t>
      </w:r>
      <w:r w:rsidR="00BF0121">
        <w:rPr>
          <w:rFonts w:ascii="Optima" w:eastAsiaTheme="minorEastAsia" w:hAnsi="Optima"/>
          <w:b/>
          <w:bCs/>
        </w:rPr>
        <w:t>trand-specific</w:t>
      </w:r>
      <w:r w:rsidR="0048088A">
        <w:rPr>
          <w:rFonts w:ascii="Optima" w:eastAsiaTheme="minorEastAsia" w:hAnsi="Optima"/>
          <w:b/>
          <w:bCs/>
        </w:rPr>
        <w:t xml:space="preserve"> somatic mutation detection</w:t>
      </w:r>
      <w:r w:rsidRPr="00FE1099">
        <w:rPr>
          <w:rFonts w:ascii="Optima" w:eastAsiaTheme="minorEastAsia" w:hAnsi="Optima"/>
          <w:b/>
          <w:bCs/>
        </w:rPr>
        <w:t>}</w:t>
      </w:r>
    </w:p>
    <w:p w14:paraId="691EACD6" w14:textId="3D5AD5AC" w:rsidR="003C1EE9" w:rsidRDefault="003C1EE9" w:rsidP="00343817">
      <w:pPr>
        <w:rPr>
          <w:rFonts w:ascii="Optima" w:eastAsiaTheme="minorEastAsia" w:hAnsi="Optima"/>
        </w:rPr>
      </w:pPr>
    </w:p>
    <w:p w14:paraId="403B588C" w14:textId="77777777" w:rsidR="00E6585A" w:rsidRDefault="00E6585A" w:rsidP="00343817">
      <w:pPr>
        <w:rPr>
          <w:rFonts w:ascii="Optima" w:eastAsiaTheme="minorEastAsia" w:hAnsi="Optima"/>
        </w:rPr>
      </w:pPr>
      <w:r>
        <w:rPr>
          <w:rFonts w:ascii="Optima" w:eastAsiaTheme="minorEastAsia" w:hAnsi="Optima"/>
        </w:rPr>
        <w:t>T&gt;G</w:t>
      </w:r>
    </w:p>
    <w:p w14:paraId="60C40CF0" w14:textId="59EEFBB6" w:rsidR="00E6585A" w:rsidRDefault="00E6585A" w:rsidP="00343817">
      <w:pPr>
        <w:rPr>
          <w:rFonts w:ascii="Optima" w:eastAsiaTheme="minorEastAsia" w:hAnsi="Optima"/>
        </w:rPr>
      </w:pPr>
      <w:r>
        <w:rPr>
          <w:rFonts w:ascii="Optima" w:eastAsiaTheme="minorEastAsia" w:hAnsi="Optima"/>
        </w:rPr>
        <w:t xml:space="preserve"> </w:t>
      </w:r>
    </w:p>
    <w:p w14:paraId="4D0E5B23" w14:textId="77777777" w:rsidR="00CC4C5E" w:rsidRPr="00343817" w:rsidRDefault="00CC4C5E" w:rsidP="00343817">
      <w:pPr>
        <w:rPr>
          <w:rFonts w:ascii="Optima" w:eastAsiaTheme="minorEastAsia" w:hAnsi="Optima"/>
        </w:rPr>
      </w:pPr>
    </w:p>
    <w:p w14:paraId="46184BED" w14:textId="77777777" w:rsidR="00CC4C5E" w:rsidRPr="00343817" w:rsidRDefault="00CC4C5E" w:rsidP="00CC4C5E">
      <w:pPr>
        <w:rPr>
          <w:rFonts w:ascii="Optima" w:eastAsiaTheme="minorEastAsia" w:hAnsi="Optima"/>
        </w:rPr>
      </w:pPr>
      <w:r w:rsidRPr="00343817">
        <w:rPr>
          <w:rFonts w:ascii="Optima" w:eastAsiaTheme="minorEastAsi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proofErr w:type="spellStart"/>
      <w:r w:rsidRPr="00343817">
        <w:rPr>
          <w:rFonts w:ascii="Optima" w:eastAsiaTheme="minorEastAsia" w:hAnsi="Optima"/>
        </w:rPr>
        <w:t>ctDNA</w:t>
      </w:r>
      <w:proofErr w:type="spellEnd"/>
      <w:r w:rsidRPr="00343817">
        <w:rPr>
          <w:rFonts w:ascii="Optima" w:eastAsiaTheme="minorEastAsia" w:hAnsi="Optima"/>
        </w:rPr>
        <w:t xml:space="preserve"> and NIPT DNA CCS reads to detect 5mC from single molecules and to successfully use them as diagnostic markers \</w:t>
      </w:r>
      <w:proofErr w:type="gramStart"/>
      <w:r w:rsidRPr="00343817">
        <w:rPr>
          <w:rFonts w:ascii="Optima" w:eastAsiaTheme="minorEastAsia" w:hAnsi="Optima"/>
        </w:rPr>
        <w:t>cite{</w:t>
      </w:r>
      <w:proofErr w:type="gramEnd"/>
      <w:r w:rsidRPr="00343817">
        <w:rPr>
          <w:rFonts w:ascii="Optima" w:eastAsiaTheme="minorEastAsia" w:hAnsi="Optima"/>
        </w:rPr>
        <w:t xml:space="preserve">Vong2019-bi, Tse2021-or}. Single molecule somatic mutation and 5mC together should provide greater sensitive with which tumours are classified, monitor their evolution and their potential trajectory under selection pressure. </w:t>
      </w:r>
    </w:p>
    <w:p w14:paraId="1990E792" w14:textId="77777777" w:rsidR="003C1EE9" w:rsidRPr="00343817" w:rsidRDefault="003C1EE9" w:rsidP="00343817">
      <w:pPr>
        <w:rPr>
          <w:rFonts w:ascii="Optima" w:eastAsiaTheme="minorEastAsia" w:hAnsi="Optima"/>
        </w:rPr>
      </w:pPr>
    </w:p>
    <w:p w14:paraId="5B83CD46" w14:textId="77777777" w:rsidR="00CC4C5E" w:rsidRPr="00343817" w:rsidRDefault="00CC4C5E" w:rsidP="00CC4C5E">
      <w:pPr>
        <w:rPr>
          <w:rFonts w:ascii="Optima" w:eastAsiaTheme="minorEastAsia" w:hAnsi="Optima"/>
        </w:rPr>
      </w:pPr>
    </w:p>
    <w:p w14:paraId="6A66E94B" w14:textId="77777777" w:rsidR="00CC4C5E" w:rsidRDefault="00CC4C5E" w:rsidP="00CC4C5E">
      <w:pPr>
        <w:rPr>
          <w:rFonts w:ascii="Optima" w:eastAsiaTheme="minorEastAsia" w:hAnsi="Optima"/>
        </w:rPr>
      </w:pPr>
      <w:r w:rsidRPr="00343817">
        <w:rPr>
          <w:rFonts w:ascii="Optima" w:eastAsiaTheme="minorEastAsia" w:hAnsi="Optima"/>
        </w:rPr>
        <w:t xml:space="preserve">HMW DNA input requirements for PacBio CCS reads limit the use of CCS sequencing for NIPT and </w:t>
      </w:r>
      <w:proofErr w:type="spellStart"/>
      <w:r w:rsidRPr="00343817">
        <w:rPr>
          <w:rFonts w:ascii="Optima" w:eastAsiaTheme="minorEastAsia" w:hAnsi="Optima"/>
        </w:rPr>
        <w:t>ctDNA</w:t>
      </w:r>
      <w:proofErr w:type="spellEnd"/>
      <w:r w:rsidRPr="00343817">
        <w:rPr>
          <w:rFonts w:ascii="Optima" w:eastAsiaTheme="minorEastAsia" w:hAnsi="Optima"/>
        </w:rPr>
        <w:t xml:space="preserve"> based genetic diagnosis (discussed in Chapter 5). HMW DNA input requirements are, however, expected to decrease with library preparation optimisation and like how DNA input requirements for Illumina sequencing has decreased. </w:t>
      </w:r>
    </w:p>
    <w:p w14:paraId="0910CD8C" w14:textId="77777777" w:rsidR="00CC4C5E" w:rsidRDefault="00CC4C5E" w:rsidP="00CC4C5E">
      <w:pPr>
        <w:rPr>
          <w:rFonts w:ascii="Optima" w:eastAsiaTheme="minorEastAsia" w:hAnsi="Optima"/>
        </w:rPr>
      </w:pPr>
    </w:p>
    <w:p w14:paraId="4E746426" w14:textId="77777777" w:rsidR="00CC4C5E" w:rsidRPr="00343817" w:rsidRDefault="00CC4C5E" w:rsidP="00CC4C5E">
      <w:pPr>
        <w:rPr>
          <w:rFonts w:ascii="Optima" w:eastAsiaTheme="minorEastAsia" w:hAnsi="Optima"/>
        </w:rPr>
      </w:pPr>
    </w:p>
    <w:p w14:paraId="6232D9A6" w14:textId="77777777" w:rsidR="00CC4C5E" w:rsidRPr="00343817" w:rsidRDefault="00CC4C5E" w:rsidP="00CC4C5E">
      <w:pPr>
        <w:rPr>
          <w:rFonts w:ascii="Optima" w:eastAsiaTheme="minorEastAsia" w:hAnsi="Optima"/>
        </w:rPr>
      </w:pPr>
    </w:p>
    <w:p w14:paraId="495AC2AD" w14:textId="77777777" w:rsidR="00CC4C5E" w:rsidRPr="00343817" w:rsidRDefault="00CC4C5E" w:rsidP="00CC4C5E">
      <w:pPr>
        <w:rPr>
          <w:rFonts w:ascii="Optima" w:eastAsiaTheme="minorEastAsia" w:hAnsi="Optima"/>
        </w:rPr>
      </w:pPr>
      <w:r w:rsidRPr="00343817">
        <w:rPr>
          <w:rFonts w:ascii="Optima" w:eastAsiaTheme="minorEastAsia" w:hAnsi="Optima"/>
        </w:rPr>
        <w:t xml:space="preserve">Three Matrix = Mutational signature probability </w:t>
      </w:r>
    </w:p>
    <w:p w14:paraId="53D498F5" w14:textId="77777777" w:rsidR="00CC4C5E" w:rsidRPr="00343817" w:rsidRDefault="00CC4C5E" w:rsidP="00CC4C5E">
      <w:pPr>
        <w:rPr>
          <w:rFonts w:ascii="Optima" w:eastAsiaTheme="minorEastAsia" w:hAnsi="Optima"/>
        </w:rPr>
      </w:pPr>
    </w:p>
    <w:p w14:paraId="3CAB8F4F" w14:textId="77777777" w:rsidR="00CC4C5E" w:rsidRPr="00343817" w:rsidRDefault="00CC4C5E" w:rsidP="00CC4C5E">
      <w:pPr>
        <w:rPr>
          <w:rFonts w:ascii="Optima" w:eastAsiaTheme="minorEastAsia" w:hAnsi="Optima"/>
        </w:rPr>
      </w:pPr>
    </w:p>
    <w:p w14:paraId="1CA5A57D" w14:textId="77777777" w:rsidR="00CC4C5E" w:rsidRPr="00343817" w:rsidRDefault="00CC4C5E" w:rsidP="00CC4C5E">
      <w:pPr>
        <w:rPr>
          <w:rFonts w:ascii="Optima" w:eastAsiaTheme="minorEastAsia" w:hAnsi="Optima"/>
        </w:rPr>
      </w:pPr>
      <w:r w:rsidRPr="00343817">
        <w:rPr>
          <w:rFonts w:ascii="Optima" w:eastAsiaTheme="minorEastAsia" w:hAnsi="Optima"/>
        </w:rPr>
        <w:t xml:space="preserve">Mutational signature is itself an abstraction of the three steps of somatic mutation: DNA damage, incorrect DNA repair and fixation. The accuracy of the </w:t>
      </w:r>
      <w:proofErr w:type="spellStart"/>
      <w:r w:rsidRPr="00343817">
        <w:rPr>
          <w:rFonts w:ascii="Optima" w:eastAsiaTheme="minorEastAsia" w:hAnsi="Optima"/>
        </w:rPr>
        <w:t>PacBIo</w:t>
      </w:r>
      <w:proofErr w:type="spellEnd"/>
      <w:r w:rsidRPr="00343817">
        <w:rPr>
          <w:rFonts w:ascii="Optima" w:eastAsiaTheme="minorEastAsia" w:hAnsi="Optima"/>
        </w:rPr>
        <w:t xml:space="preserve"> CCS bases and the ability to detect 5mC might enable us to dissect/</w:t>
      </w:r>
      <w:proofErr w:type="spellStart"/>
      <w:r w:rsidRPr="00343817">
        <w:rPr>
          <w:rFonts w:ascii="Optima" w:eastAsiaTheme="minorEastAsia" w:hAnsi="Optima"/>
        </w:rPr>
        <w:t>deabstract</w:t>
      </w:r>
      <w:proofErr w:type="spellEnd"/>
      <w:r w:rsidRPr="00343817">
        <w:rPr>
          <w:rFonts w:ascii="Optima" w:eastAsiaTheme="minorEastAsia" w:hAnsi="Optima"/>
        </w:rPr>
        <w:t xml:space="preserve"> the SBS1 mutational </w:t>
      </w:r>
      <w:r w:rsidRPr="00343817">
        <w:rPr>
          <w:rFonts w:ascii="Optima" w:eastAsiaTheme="minorEastAsia" w:hAnsi="Optima"/>
        </w:rPr>
        <w:lastRenderedPageBreak/>
        <w:t xml:space="preserve">signature. The spontaneous deamination of 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and the rate at which the C&gt;T substitution is repaired and unrepaired by the mismatch repair (MMR) machinery. Using the base accuracy and the ability to detect 5mC base modification, we should be able to determine the rates of in vivo 5mC, success probability of the MMR machinery and the rate at which the C&gt;T substitutions are fixed in the genome. 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We can use similar approaches in the future to examine the probability of mutagen to generate DNA damage, DNA repair fidelity and DNA fixation probabilities. </w:t>
      </w:r>
    </w:p>
    <w:p w14:paraId="4A99B7DB" w14:textId="77777777" w:rsidR="00343817" w:rsidRPr="00343817" w:rsidRDefault="00343817" w:rsidP="00343817">
      <w:pPr>
        <w:rPr>
          <w:rFonts w:ascii="Optima" w:eastAsiaTheme="minorEastAsia" w:hAnsi="Optima"/>
        </w:rPr>
      </w:pPr>
    </w:p>
    <w:p w14:paraId="4E09C3F6" w14:textId="4A3F4FD2" w:rsidR="00343817" w:rsidRDefault="00343817" w:rsidP="00343817">
      <w:pPr>
        <w:rPr>
          <w:rFonts w:ascii="Optima" w:eastAsiaTheme="minorEastAsia" w:hAnsi="Optima"/>
        </w:rPr>
      </w:pPr>
    </w:p>
    <w:p w14:paraId="79E60AD2" w14:textId="002A15B5" w:rsidR="003C1EE9" w:rsidRPr="0003155C" w:rsidRDefault="003C1EE9" w:rsidP="00343817">
      <w:pPr>
        <w:rPr>
          <w:rFonts w:ascii="Optima" w:eastAsiaTheme="minorEastAsia" w:hAnsi="Optima"/>
          <w:b/>
          <w:bCs/>
        </w:rPr>
      </w:pPr>
      <w:r w:rsidRPr="0003155C">
        <w:rPr>
          <w:rFonts w:ascii="Optima" w:eastAsiaTheme="minorEastAsia" w:hAnsi="Optima"/>
          <w:b/>
          <w:bCs/>
        </w:rPr>
        <w:t>\</w:t>
      </w:r>
      <w:proofErr w:type="gramStart"/>
      <w:r w:rsidRPr="0003155C">
        <w:rPr>
          <w:rFonts w:ascii="Optima" w:eastAsiaTheme="minorEastAsia" w:hAnsi="Optima"/>
          <w:b/>
          <w:bCs/>
        </w:rPr>
        <w:t>subsection</w:t>
      </w:r>
      <w:r w:rsidR="0003155C" w:rsidRPr="0003155C">
        <w:rPr>
          <w:rFonts w:ascii="Optima" w:eastAsiaTheme="minorEastAsia" w:hAnsi="Optima"/>
          <w:b/>
          <w:bCs/>
        </w:rPr>
        <w:t>{</w:t>
      </w:r>
      <w:proofErr w:type="gramEnd"/>
      <w:r w:rsidR="0003155C" w:rsidRPr="0003155C">
        <w:rPr>
          <w:rFonts w:ascii="Optima" w:eastAsiaTheme="minorEastAsia" w:hAnsi="Optima"/>
          <w:b/>
          <w:bCs/>
        </w:rPr>
        <w:t>Gene conversion and crossover detection}</w:t>
      </w:r>
    </w:p>
    <w:p w14:paraId="5441247A" w14:textId="6FF9165C" w:rsidR="003C1EE9" w:rsidRDefault="003C1EE9" w:rsidP="00343817">
      <w:pPr>
        <w:rPr>
          <w:rFonts w:ascii="Optima" w:eastAsiaTheme="minorEastAsia" w:hAnsi="Optima"/>
        </w:rPr>
      </w:pPr>
    </w:p>
    <w:p w14:paraId="6CE576B7" w14:textId="77777777" w:rsidR="006B5BE2" w:rsidRPr="006B5BE2" w:rsidRDefault="006B5BE2" w:rsidP="006B5BE2">
      <w:pPr>
        <w:rPr>
          <w:rFonts w:ascii="Optima" w:eastAsiaTheme="minorEastAsia" w:hAnsi="Optima"/>
          <w:lang w:val="en-US"/>
        </w:rPr>
      </w:pPr>
    </w:p>
    <w:p w14:paraId="3A084789" w14:textId="77777777" w:rsidR="006B5BE2" w:rsidRPr="00343817" w:rsidRDefault="006B5BE2" w:rsidP="006B5BE2">
      <w:pPr>
        <w:rPr>
          <w:rFonts w:ascii="Optima" w:eastAsiaTheme="minorEastAsia" w:hAnsi="Optima"/>
        </w:rPr>
      </w:pPr>
      <w:r w:rsidRPr="00343817">
        <w:rPr>
          <w:rFonts w:ascii="Optima" w:eastAsiaTheme="minorEastAsia" w:hAnsi="Optima"/>
        </w:rPr>
        <w:t>We take advantage of the CCS base accuracy to detect gene conversions and crossovers in sperm samples and granulocytes from Bloom syndrome patients (discussed in Chapter 4). In addition,</w:t>
      </w:r>
    </w:p>
    <w:p w14:paraId="41DBAADA" w14:textId="03AF06B8" w:rsidR="006B5BE2" w:rsidRDefault="006B5BE2" w:rsidP="00343817">
      <w:pPr>
        <w:rPr>
          <w:rFonts w:ascii="Optima" w:eastAsiaTheme="minorEastAsia" w:hAnsi="Optima"/>
        </w:rPr>
      </w:pPr>
    </w:p>
    <w:p w14:paraId="42E57AD1" w14:textId="77777777" w:rsidR="00343817" w:rsidRPr="00343817" w:rsidRDefault="00343817" w:rsidP="00343817">
      <w:pPr>
        <w:rPr>
          <w:rFonts w:ascii="Optima" w:eastAsiaTheme="minorEastAsia" w:hAnsi="Optima"/>
        </w:rPr>
      </w:pPr>
    </w:p>
    <w:p w14:paraId="78A57BF7"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The application for our method abounds as our method can act as a replacement for many of the laborious processes that provide single-cell resolution somatic mutation calls. Our method cannot provide single-cell resolution somatic mutation calls, but we can provide through time-series sequencing of the same sample, the monitoring of the same somatic mutation to study the population dynamics of the sample. In addition, our method can be used to screen for ongoing mutational processes in the sample cheaply without needed to perform laborious single-cell clone expansion and sequencing. </w:t>
      </w:r>
    </w:p>
    <w:p w14:paraId="7F919CFA" w14:textId="77777777" w:rsidR="00343817" w:rsidRPr="00343817" w:rsidRDefault="00343817" w:rsidP="00343817">
      <w:pPr>
        <w:rPr>
          <w:rFonts w:ascii="Optima" w:eastAsiaTheme="minorEastAsia" w:hAnsi="Optima"/>
        </w:rPr>
      </w:pPr>
      <w:r w:rsidRPr="00343817">
        <w:rPr>
          <w:rFonts w:ascii="Optima" w:eastAsiaTheme="minorEastAsia" w:hAnsi="Optima"/>
        </w:rPr>
        <w:t xml:space="preserve"> </w:t>
      </w:r>
    </w:p>
    <w:p w14:paraId="772A6A81" w14:textId="77777777" w:rsidR="00CC4C5E" w:rsidRDefault="00CC4C5E" w:rsidP="00343817">
      <w:pPr>
        <w:rPr>
          <w:rFonts w:ascii="Optima" w:hAnsi="Optima"/>
        </w:rPr>
      </w:pPr>
    </w:p>
    <w:p w14:paraId="476F6A0D" w14:textId="43F8C58E" w:rsidR="00963938" w:rsidRPr="00343817" w:rsidRDefault="00963938" w:rsidP="00343817">
      <w:pPr>
        <w:rPr>
          <w:rFonts w:ascii="Optima" w:hAnsi="Optima"/>
        </w:rPr>
      </w:pPr>
      <w:r w:rsidRPr="00343817">
        <w:rPr>
          <w:rFonts w:ascii="Optima" w:hAnsi="Optima"/>
        </w:rPr>
        <w:t xml:space="preserve">Based on our understanding of unique characteristics of CCS reads, we also sequenced and analysed granulocytes from Bloom syndrome patients and sperm samples of different ages to detect and analyse non-crossover and crossover resulting from mitotic and meiotic recombination at scale and across the whole genome (discussed in Chapter 4). </w:t>
      </w:r>
    </w:p>
    <w:p w14:paraId="18444413" w14:textId="77777777" w:rsidR="00963938" w:rsidRPr="00343817" w:rsidRDefault="00963938" w:rsidP="00343817">
      <w:pPr>
        <w:rPr>
          <w:rFonts w:ascii="Optima" w:hAnsi="Optima"/>
        </w:rPr>
      </w:pPr>
    </w:p>
    <w:p w14:paraId="23309247" w14:textId="77777777" w:rsidR="00963938" w:rsidRPr="00343817" w:rsidRDefault="00963938" w:rsidP="00343817">
      <w:pPr>
        <w:rPr>
          <w:rFonts w:ascii="Optima" w:hAnsi="Optima"/>
        </w:rPr>
      </w:pPr>
    </w:p>
    <w:sectPr w:rsidR="00963938" w:rsidRPr="0034381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155C"/>
    <w:rsid w:val="00032497"/>
    <w:rsid w:val="000337C3"/>
    <w:rsid w:val="000357F2"/>
    <w:rsid w:val="000368DA"/>
    <w:rsid w:val="000402EE"/>
    <w:rsid w:val="000420B3"/>
    <w:rsid w:val="00042A3E"/>
    <w:rsid w:val="000455BA"/>
    <w:rsid w:val="00045731"/>
    <w:rsid w:val="00047716"/>
    <w:rsid w:val="000536BD"/>
    <w:rsid w:val="000540AC"/>
    <w:rsid w:val="00054CA6"/>
    <w:rsid w:val="00055449"/>
    <w:rsid w:val="00056A3F"/>
    <w:rsid w:val="00060DC4"/>
    <w:rsid w:val="00063E95"/>
    <w:rsid w:val="000653B3"/>
    <w:rsid w:val="00070456"/>
    <w:rsid w:val="000747DB"/>
    <w:rsid w:val="00074B12"/>
    <w:rsid w:val="0007675C"/>
    <w:rsid w:val="00083177"/>
    <w:rsid w:val="000836B8"/>
    <w:rsid w:val="00083999"/>
    <w:rsid w:val="00083CE9"/>
    <w:rsid w:val="00092052"/>
    <w:rsid w:val="0009217E"/>
    <w:rsid w:val="00097EDD"/>
    <w:rsid w:val="000A0E11"/>
    <w:rsid w:val="000A4CC7"/>
    <w:rsid w:val="000B732F"/>
    <w:rsid w:val="000C26B7"/>
    <w:rsid w:val="000C5EAC"/>
    <w:rsid w:val="000D5F6B"/>
    <w:rsid w:val="000D6B2F"/>
    <w:rsid w:val="000E7005"/>
    <w:rsid w:val="000E78CD"/>
    <w:rsid w:val="000F4BE9"/>
    <w:rsid w:val="00102904"/>
    <w:rsid w:val="00102AD4"/>
    <w:rsid w:val="00102D7B"/>
    <w:rsid w:val="001079EE"/>
    <w:rsid w:val="001113CA"/>
    <w:rsid w:val="001124F5"/>
    <w:rsid w:val="00114D52"/>
    <w:rsid w:val="00115AD9"/>
    <w:rsid w:val="00120145"/>
    <w:rsid w:val="001245E1"/>
    <w:rsid w:val="00140ABE"/>
    <w:rsid w:val="001421CF"/>
    <w:rsid w:val="0014345B"/>
    <w:rsid w:val="001442B6"/>
    <w:rsid w:val="0015603B"/>
    <w:rsid w:val="0016068E"/>
    <w:rsid w:val="00163911"/>
    <w:rsid w:val="00163F53"/>
    <w:rsid w:val="00164708"/>
    <w:rsid w:val="00165828"/>
    <w:rsid w:val="00167333"/>
    <w:rsid w:val="0016756B"/>
    <w:rsid w:val="001712CB"/>
    <w:rsid w:val="00172413"/>
    <w:rsid w:val="00174569"/>
    <w:rsid w:val="00176663"/>
    <w:rsid w:val="00177D33"/>
    <w:rsid w:val="00184546"/>
    <w:rsid w:val="001907DD"/>
    <w:rsid w:val="001A6930"/>
    <w:rsid w:val="001B0A0A"/>
    <w:rsid w:val="001B2E9D"/>
    <w:rsid w:val="001B44BA"/>
    <w:rsid w:val="001B603C"/>
    <w:rsid w:val="001C0DC4"/>
    <w:rsid w:val="001C4EBB"/>
    <w:rsid w:val="001D23EE"/>
    <w:rsid w:val="001D2FA1"/>
    <w:rsid w:val="001D70AF"/>
    <w:rsid w:val="001D7F0B"/>
    <w:rsid w:val="001E4E22"/>
    <w:rsid w:val="001E6103"/>
    <w:rsid w:val="001F4739"/>
    <w:rsid w:val="001F6B41"/>
    <w:rsid w:val="001F6C5F"/>
    <w:rsid w:val="00203634"/>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43A1"/>
    <w:rsid w:val="0027643E"/>
    <w:rsid w:val="0027763B"/>
    <w:rsid w:val="00290702"/>
    <w:rsid w:val="00292F09"/>
    <w:rsid w:val="002930C2"/>
    <w:rsid w:val="00295A11"/>
    <w:rsid w:val="002A121B"/>
    <w:rsid w:val="002A2280"/>
    <w:rsid w:val="002A494C"/>
    <w:rsid w:val="002A648A"/>
    <w:rsid w:val="002B616B"/>
    <w:rsid w:val="002C0FC1"/>
    <w:rsid w:val="002D27A8"/>
    <w:rsid w:val="002E15A7"/>
    <w:rsid w:val="002E4FAF"/>
    <w:rsid w:val="002E7C7C"/>
    <w:rsid w:val="002F0220"/>
    <w:rsid w:val="002F1CEF"/>
    <w:rsid w:val="002F6BFF"/>
    <w:rsid w:val="00300A0B"/>
    <w:rsid w:val="0030481B"/>
    <w:rsid w:val="00306AC8"/>
    <w:rsid w:val="00310C43"/>
    <w:rsid w:val="003115F7"/>
    <w:rsid w:val="003126DD"/>
    <w:rsid w:val="00312906"/>
    <w:rsid w:val="003134D3"/>
    <w:rsid w:val="00315F99"/>
    <w:rsid w:val="00320DBA"/>
    <w:rsid w:val="00325CE1"/>
    <w:rsid w:val="00334EF3"/>
    <w:rsid w:val="00335709"/>
    <w:rsid w:val="00335877"/>
    <w:rsid w:val="00341B69"/>
    <w:rsid w:val="00343817"/>
    <w:rsid w:val="003711DB"/>
    <w:rsid w:val="00374453"/>
    <w:rsid w:val="00380BE2"/>
    <w:rsid w:val="00387CD1"/>
    <w:rsid w:val="0039047A"/>
    <w:rsid w:val="00392B7F"/>
    <w:rsid w:val="00393EEA"/>
    <w:rsid w:val="00397059"/>
    <w:rsid w:val="003A09FD"/>
    <w:rsid w:val="003A2894"/>
    <w:rsid w:val="003A7144"/>
    <w:rsid w:val="003B7BAE"/>
    <w:rsid w:val="003C0AD9"/>
    <w:rsid w:val="003C0ADA"/>
    <w:rsid w:val="003C1EE9"/>
    <w:rsid w:val="003D1760"/>
    <w:rsid w:val="003D2673"/>
    <w:rsid w:val="003D49D1"/>
    <w:rsid w:val="003E4DE5"/>
    <w:rsid w:val="003E5633"/>
    <w:rsid w:val="003F1358"/>
    <w:rsid w:val="003F52A8"/>
    <w:rsid w:val="00400E0F"/>
    <w:rsid w:val="00402D6B"/>
    <w:rsid w:val="00411E57"/>
    <w:rsid w:val="004262B2"/>
    <w:rsid w:val="004300EA"/>
    <w:rsid w:val="00440FE4"/>
    <w:rsid w:val="00447274"/>
    <w:rsid w:val="004513D9"/>
    <w:rsid w:val="004548DB"/>
    <w:rsid w:val="00455806"/>
    <w:rsid w:val="00457CDB"/>
    <w:rsid w:val="00471481"/>
    <w:rsid w:val="004732EC"/>
    <w:rsid w:val="0048088A"/>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27FC9"/>
    <w:rsid w:val="005314B1"/>
    <w:rsid w:val="00531522"/>
    <w:rsid w:val="005350A3"/>
    <w:rsid w:val="00536D1B"/>
    <w:rsid w:val="00542D5E"/>
    <w:rsid w:val="005436F3"/>
    <w:rsid w:val="00543BB9"/>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146"/>
    <w:rsid w:val="00591477"/>
    <w:rsid w:val="00591D94"/>
    <w:rsid w:val="005A2427"/>
    <w:rsid w:val="005A4484"/>
    <w:rsid w:val="005A4729"/>
    <w:rsid w:val="005A646D"/>
    <w:rsid w:val="005A7824"/>
    <w:rsid w:val="005B312C"/>
    <w:rsid w:val="005B5B27"/>
    <w:rsid w:val="005B5F8C"/>
    <w:rsid w:val="005C4075"/>
    <w:rsid w:val="005D06BF"/>
    <w:rsid w:val="005D0B32"/>
    <w:rsid w:val="005D6C3C"/>
    <w:rsid w:val="005D70E5"/>
    <w:rsid w:val="005E0466"/>
    <w:rsid w:val="005E133B"/>
    <w:rsid w:val="005E3174"/>
    <w:rsid w:val="005E7758"/>
    <w:rsid w:val="005F2D62"/>
    <w:rsid w:val="005F715F"/>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283"/>
    <w:rsid w:val="00640A23"/>
    <w:rsid w:val="00640C5E"/>
    <w:rsid w:val="006427F3"/>
    <w:rsid w:val="00645503"/>
    <w:rsid w:val="006458D2"/>
    <w:rsid w:val="006502ED"/>
    <w:rsid w:val="006512A5"/>
    <w:rsid w:val="0065288F"/>
    <w:rsid w:val="00654DD0"/>
    <w:rsid w:val="00655888"/>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B5BE2"/>
    <w:rsid w:val="006C6DD2"/>
    <w:rsid w:val="006D0542"/>
    <w:rsid w:val="006D1492"/>
    <w:rsid w:val="006D251D"/>
    <w:rsid w:val="006D7B99"/>
    <w:rsid w:val="006E03EB"/>
    <w:rsid w:val="006E106B"/>
    <w:rsid w:val="006E15C3"/>
    <w:rsid w:val="006E19C3"/>
    <w:rsid w:val="006E1D2B"/>
    <w:rsid w:val="006E26DB"/>
    <w:rsid w:val="006F0632"/>
    <w:rsid w:val="006F404E"/>
    <w:rsid w:val="006F505D"/>
    <w:rsid w:val="00700134"/>
    <w:rsid w:val="00706047"/>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85895"/>
    <w:rsid w:val="00790A98"/>
    <w:rsid w:val="007910FB"/>
    <w:rsid w:val="007911C9"/>
    <w:rsid w:val="00795884"/>
    <w:rsid w:val="007A08AA"/>
    <w:rsid w:val="007A1422"/>
    <w:rsid w:val="007A4950"/>
    <w:rsid w:val="007A4E6F"/>
    <w:rsid w:val="007B2C03"/>
    <w:rsid w:val="007B43FE"/>
    <w:rsid w:val="007C0501"/>
    <w:rsid w:val="007C650D"/>
    <w:rsid w:val="007C7028"/>
    <w:rsid w:val="007D2544"/>
    <w:rsid w:val="007D4260"/>
    <w:rsid w:val="007D78F5"/>
    <w:rsid w:val="007E352E"/>
    <w:rsid w:val="007E51F4"/>
    <w:rsid w:val="007E7F07"/>
    <w:rsid w:val="007F3AE9"/>
    <w:rsid w:val="007F3C54"/>
    <w:rsid w:val="007F785B"/>
    <w:rsid w:val="00803D60"/>
    <w:rsid w:val="00804624"/>
    <w:rsid w:val="0080662E"/>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52C02"/>
    <w:rsid w:val="008610D5"/>
    <w:rsid w:val="00863DD1"/>
    <w:rsid w:val="008663C2"/>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0D5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4206"/>
    <w:rsid w:val="00907005"/>
    <w:rsid w:val="00907EED"/>
    <w:rsid w:val="00910DEC"/>
    <w:rsid w:val="00911885"/>
    <w:rsid w:val="00911BE1"/>
    <w:rsid w:val="00913BDC"/>
    <w:rsid w:val="00920177"/>
    <w:rsid w:val="0092054B"/>
    <w:rsid w:val="00920BC2"/>
    <w:rsid w:val="00931199"/>
    <w:rsid w:val="009318B6"/>
    <w:rsid w:val="009373E0"/>
    <w:rsid w:val="009428D8"/>
    <w:rsid w:val="009441E0"/>
    <w:rsid w:val="009469D5"/>
    <w:rsid w:val="00947CEE"/>
    <w:rsid w:val="00952BCE"/>
    <w:rsid w:val="00952C65"/>
    <w:rsid w:val="009555E8"/>
    <w:rsid w:val="009561C7"/>
    <w:rsid w:val="00963938"/>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16B34"/>
    <w:rsid w:val="00A215DC"/>
    <w:rsid w:val="00A23244"/>
    <w:rsid w:val="00A245B9"/>
    <w:rsid w:val="00A24E88"/>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8CF"/>
    <w:rsid w:val="00AC4C7D"/>
    <w:rsid w:val="00AD017E"/>
    <w:rsid w:val="00AD5072"/>
    <w:rsid w:val="00AD583E"/>
    <w:rsid w:val="00AD72B4"/>
    <w:rsid w:val="00AE2815"/>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66D7"/>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4350"/>
    <w:rsid w:val="00BD5115"/>
    <w:rsid w:val="00BE0929"/>
    <w:rsid w:val="00BF0121"/>
    <w:rsid w:val="00BF46B1"/>
    <w:rsid w:val="00BF4864"/>
    <w:rsid w:val="00BF7386"/>
    <w:rsid w:val="00C03D38"/>
    <w:rsid w:val="00C10411"/>
    <w:rsid w:val="00C148BC"/>
    <w:rsid w:val="00C20F03"/>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1487"/>
    <w:rsid w:val="00CC2948"/>
    <w:rsid w:val="00CC49A9"/>
    <w:rsid w:val="00CC4C5E"/>
    <w:rsid w:val="00CC4DA6"/>
    <w:rsid w:val="00CC5694"/>
    <w:rsid w:val="00CC5ADE"/>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0AB6"/>
    <w:rsid w:val="00D358F8"/>
    <w:rsid w:val="00D35CC7"/>
    <w:rsid w:val="00D403FE"/>
    <w:rsid w:val="00D4715F"/>
    <w:rsid w:val="00D4753A"/>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867E7"/>
    <w:rsid w:val="00D86A3C"/>
    <w:rsid w:val="00D95F08"/>
    <w:rsid w:val="00D97268"/>
    <w:rsid w:val="00D9770E"/>
    <w:rsid w:val="00DA08A5"/>
    <w:rsid w:val="00DA0D4F"/>
    <w:rsid w:val="00DA2735"/>
    <w:rsid w:val="00DB11C1"/>
    <w:rsid w:val="00DB302B"/>
    <w:rsid w:val="00DB6067"/>
    <w:rsid w:val="00DC2269"/>
    <w:rsid w:val="00DC4661"/>
    <w:rsid w:val="00DC627C"/>
    <w:rsid w:val="00DD3916"/>
    <w:rsid w:val="00DD4FE6"/>
    <w:rsid w:val="00DE3B61"/>
    <w:rsid w:val="00DE3DC4"/>
    <w:rsid w:val="00DF08BA"/>
    <w:rsid w:val="00DF3F35"/>
    <w:rsid w:val="00DF40CF"/>
    <w:rsid w:val="00E0203C"/>
    <w:rsid w:val="00E10031"/>
    <w:rsid w:val="00E10CF1"/>
    <w:rsid w:val="00E26597"/>
    <w:rsid w:val="00E341B2"/>
    <w:rsid w:val="00E4609A"/>
    <w:rsid w:val="00E51443"/>
    <w:rsid w:val="00E54490"/>
    <w:rsid w:val="00E56C33"/>
    <w:rsid w:val="00E57739"/>
    <w:rsid w:val="00E61D3D"/>
    <w:rsid w:val="00E62B3D"/>
    <w:rsid w:val="00E64313"/>
    <w:rsid w:val="00E6585A"/>
    <w:rsid w:val="00E660F4"/>
    <w:rsid w:val="00E66F5B"/>
    <w:rsid w:val="00E70596"/>
    <w:rsid w:val="00E72667"/>
    <w:rsid w:val="00E732EC"/>
    <w:rsid w:val="00E748C5"/>
    <w:rsid w:val="00E7739D"/>
    <w:rsid w:val="00E8117B"/>
    <w:rsid w:val="00E829D4"/>
    <w:rsid w:val="00E85B0C"/>
    <w:rsid w:val="00E9114C"/>
    <w:rsid w:val="00E91C59"/>
    <w:rsid w:val="00E92294"/>
    <w:rsid w:val="00E92789"/>
    <w:rsid w:val="00E9493E"/>
    <w:rsid w:val="00E94FD9"/>
    <w:rsid w:val="00EB5352"/>
    <w:rsid w:val="00EB6156"/>
    <w:rsid w:val="00EB62C7"/>
    <w:rsid w:val="00EC2AD8"/>
    <w:rsid w:val="00EC51CA"/>
    <w:rsid w:val="00EC72DE"/>
    <w:rsid w:val="00ED4EDE"/>
    <w:rsid w:val="00EE4942"/>
    <w:rsid w:val="00EE5FE1"/>
    <w:rsid w:val="00EF26B2"/>
    <w:rsid w:val="00EF3D70"/>
    <w:rsid w:val="00EF7889"/>
    <w:rsid w:val="00F11EFD"/>
    <w:rsid w:val="00F12E7F"/>
    <w:rsid w:val="00F143A1"/>
    <w:rsid w:val="00F14C51"/>
    <w:rsid w:val="00F16BEB"/>
    <w:rsid w:val="00F22F55"/>
    <w:rsid w:val="00F2772F"/>
    <w:rsid w:val="00F44400"/>
    <w:rsid w:val="00F47094"/>
    <w:rsid w:val="00F51E0F"/>
    <w:rsid w:val="00F57FE3"/>
    <w:rsid w:val="00F65483"/>
    <w:rsid w:val="00F75E9B"/>
    <w:rsid w:val="00F8337D"/>
    <w:rsid w:val="00F846F0"/>
    <w:rsid w:val="00F864FC"/>
    <w:rsid w:val="00F86917"/>
    <w:rsid w:val="00F90280"/>
    <w:rsid w:val="00F918D4"/>
    <w:rsid w:val="00F93A80"/>
    <w:rsid w:val="00FA03B9"/>
    <w:rsid w:val="00FA0B19"/>
    <w:rsid w:val="00FA1C34"/>
    <w:rsid w:val="00FA2D68"/>
    <w:rsid w:val="00FB01D7"/>
    <w:rsid w:val="00FB0D10"/>
    <w:rsid w:val="00FB18F3"/>
    <w:rsid w:val="00FB1ACB"/>
    <w:rsid w:val="00FB2B1E"/>
    <w:rsid w:val="00FB3146"/>
    <w:rsid w:val="00FB3C5F"/>
    <w:rsid w:val="00FC25ED"/>
    <w:rsid w:val="00FC2EA0"/>
    <w:rsid w:val="00FC2FF9"/>
    <w:rsid w:val="00FC4C09"/>
    <w:rsid w:val="00FE109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0134">
      <w:bodyDiv w:val="1"/>
      <w:marLeft w:val="0"/>
      <w:marRight w:val="0"/>
      <w:marTop w:val="0"/>
      <w:marBottom w:val="0"/>
      <w:divBdr>
        <w:top w:val="none" w:sz="0" w:space="0" w:color="auto"/>
        <w:left w:val="none" w:sz="0" w:space="0" w:color="auto"/>
        <w:bottom w:val="none" w:sz="0" w:space="0" w:color="auto"/>
        <w:right w:val="none" w:sz="0" w:space="0" w:color="auto"/>
      </w:divBdr>
    </w:div>
    <w:div w:id="7813700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70879862">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9737835">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88864875">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71648828">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15081128">
      <w:bodyDiv w:val="1"/>
      <w:marLeft w:val="0"/>
      <w:marRight w:val="0"/>
      <w:marTop w:val="0"/>
      <w:marBottom w:val="0"/>
      <w:divBdr>
        <w:top w:val="none" w:sz="0" w:space="0" w:color="auto"/>
        <w:left w:val="none" w:sz="0" w:space="0" w:color="auto"/>
        <w:bottom w:val="none" w:sz="0" w:space="0" w:color="auto"/>
        <w:right w:val="none" w:sz="0" w:space="0" w:color="auto"/>
      </w:divBdr>
      <w:divsChild>
        <w:div w:id="235356834">
          <w:marLeft w:val="0"/>
          <w:marRight w:val="0"/>
          <w:marTop w:val="0"/>
          <w:marBottom w:val="0"/>
          <w:divBdr>
            <w:top w:val="none" w:sz="0" w:space="0" w:color="auto"/>
            <w:left w:val="none" w:sz="0" w:space="0" w:color="auto"/>
            <w:bottom w:val="none" w:sz="0" w:space="0" w:color="auto"/>
            <w:right w:val="none" w:sz="0" w:space="0" w:color="auto"/>
          </w:divBdr>
        </w:div>
      </w:divsChild>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12211141">
      <w:bodyDiv w:val="1"/>
      <w:marLeft w:val="0"/>
      <w:marRight w:val="0"/>
      <w:marTop w:val="0"/>
      <w:marBottom w:val="0"/>
      <w:divBdr>
        <w:top w:val="none" w:sz="0" w:space="0" w:color="auto"/>
        <w:left w:val="none" w:sz="0" w:space="0" w:color="auto"/>
        <w:bottom w:val="none" w:sz="0" w:space="0" w:color="auto"/>
        <w:right w:val="none" w:sz="0" w:space="0" w:color="auto"/>
      </w:divBdr>
      <w:divsChild>
        <w:div w:id="1469592305">
          <w:marLeft w:val="0"/>
          <w:marRight w:val="0"/>
          <w:marTop w:val="0"/>
          <w:marBottom w:val="0"/>
          <w:divBdr>
            <w:top w:val="none" w:sz="0" w:space="0" w:color="auto"/>
            <w:left w:val="none" w:sz="0" w:space="0" w:color="auto"/>
            <w:bottom w:val="none" w:sz="0" w:space="0" w:color="auto"/>
            <w:right w:val="none" w:sz="0" w:space="0" w:color="auto"/>
          </w:divBdr>
          <w:divsChild>
            <w:div w:id="523439918">
              <w:marLeft w:val="0"/>
              <w:marRight w:val="0"/>
              <w:marTop w:val="0"/>
              <w:marBottom w:val="0"/>
              <w:divBdr>
                <w:top w:val="none" w:sz="0" w:space="0" w:color="auto"/>
                <w:left w:val="none" w:sz="0" w:space="0" w:color="auto"/>
                <w:bottom w:val="none" w:sz="0" w:space="0" w:color="auto"/>
                <w:right w:val="none" w:sz="0" w:space="0" w:color="auto"/>
              </w:divBdr>
              <w:divsChild>
                <w:div w:id="21231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5304">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79121281">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79353577">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biology.biomedcentral.com/articles/10.1186/s13059-016-0963-7" TargetMode="External"/><Relationship Id="rId13" Type="http://schemas.openxmlformats.org/officeDocument/2006/relationships/hyperlink" Target="https://genomebiology.biomedcentral.com/articles/10.1186/s13059-016-0963-7" TargetMode="External"/><Relationship Id="rId3" Type="http://schemas.openxmlformats.org/officeDocument/2006/relationships/settings" Target="settings.xml"/><Relationship Id="rId7" Type="http://schemas.openxmlformats.org/officeDocument/2006/relationships/hyperlink" Target="https://genomebiology.biomedcentral.com/articles/10.1186/s13059-016-0963-7" TargetMode="External"/><Relationship Id="rId12" Type="http://schemas.openxmlformats.org/officeDocument/2006/relationships/hyperlink" Target="https://genomebiology.biomedcentral.com/articles/10.1186/s13059-016-0963-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ll.com/cell/fulltext/S0092-8674(19)30263-6?_returnURL=https%3A%2F%2Flinkinghub.elsevier.com%2Fretrieve%2Fpii%2FS0092867419302636%3Fshowall%3Dtrue" TargetMode="External"/><Relationship Id="rId11" Type="http://schemas.openxmlformats.org/officeDocument/2006/relationships/hyperlink" Target="https://genomebiology.biomedcentral.com/articles/10.1186/s13059-016-0963-7" TargetMode="External"/><Relationship Id="rId5" Type="http://schemas.openxmlformats.org/officeDocument/2006/relationships/hyperlink" Target="https://www.cell.com/cell/fulltext/S0092-8674(19)30263-6?_returnURL=https%3A%2F%2Flinkinghub.elsevier.com%2Fretrieve%2Fpii%2FS0092867419302636%3Fshowall%3Dtrue" TargetMode="External"/><Relationship Id="rId15" Type="http://schemas.openxmlformats.org/officeDocument/2006/relationships/fontTable" Target="fontTable.xml"/><Relationship Id="rId10" Type="http://schemas.openxmlformats.org/officeDocument/2006/relationships/hyperlink" Target="https://genomebiology.biomedcentral.com/articles/10.1186/s13059-016-0963-7" TargetMode="External"/><Relationship Id="rId4" Type="http://schemas.openxmlformats.org/officeDocument/2006/relationships/webSettings" Target="webSettings.xml"/><Relationship Id="rId9" Type="http://schemas.openxmlformats.org/officeDocument/2006/relationships/hyperlink" Target="https://genomebiology.biomedcentral.com/articles/10.1186/s13059-016-0963-7" TargetMode="External"/><Relationship Id="rId14" Type="http://schemas.openxmlformats.org/officeDocument/2006/relationships/hyperlink" Target="https://genomebiology.biomedcentral.com/articles/10.1186/s13059-016-09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4</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479</cp:revision>
  <dcterms:created xsi:type="dcterms:W3CDTF">2022-10-12T11:53:00Z</dcterms:created>
  <dcterms:modified xsi:type="dcterms:W3CDTF">2023-03-21T22:13:00Z</dcterms:modified>
</cp:coreProperties>
</file>