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0B1E" w14:textId="6858CDC1" w:rsidR="007C3917" w:rsidRPr="0012277C" w:rsidRDefault="00D21543" w:rsidP="0012277C">
      <w:pPr>
        <w:jc w:val="center"/>
        <w:rPr>
          <w:b/>
          <w:bCs/>
          <w:sz w:val="28"/>
          <w:szCs w:val="28"/>
        </w:rPr>
      </w:pPr>
      <w:r w:rsidRPr="0012277C">
        <w:rPr>
          <w:b/>
          <w:bCs/>
          <w:sz w:val="28"/>
          <w:szCs w:val="28"/>
        </w:rPr>
        <w:t>CES Variable Harmonization Summary</w:t>
      </w:r>
    </w:p>
    <w:p w14:paraId="10C100C0" w14:textId="0DBEF80A" w:rsidR="00AE580B" w:rsidRPr="00AE580B" w:rsidRDefault="00AE580B" w:rsidP="00AE580B">
      <w:pPr>
        <w:rPr>
          <w:b/>
          <w:bCs/>
          <w:sz w:val="24"/>
          <w:szCs w:val="24"/>
        </w:rPr>
      </w:pPr>
      <w:r w:rsidRPr="00AE580B">
        <w:rPr>
          <w:b/>
          <w:bCs/>
          <w:sz w:val="24"/>
          <w:szCs w:val="24"/>
        </w:rPr>
        <w:t>1980</w:t>
      </w:r>
      <w:r w:rsidR="0012277C" w:rsidRPr="00AE580B">
        <w:rPr>
          <w:b/>
          <w:bCs/>
          <w:sz w:val="24"/>
          <w:szCs w:val="24"/>
        </w:rPr>
        <w:t xml:space="preserve"> </w:t>
      </w:r>
      <w:r w:rsidR="0012277C" w:rsidRPr="00AE580B">
        <w:rPr>
          <w:sz w:val="24"/>
          <w:szCs w:val="24"/>
        </w:rPr>
        <w:t>is problematic as only the below 5 variables are available</w:t>
      </w:r>
      <w:r>
        <w:rPr>
          <w:sz w:val="24"/>
          <w:szCs w:val="24"/>
        </w:rPr>
        <w:t xml:space="preserve"> for that year</w:t>
      </w:r>
      <w:r w:rsidR="0012277C" w:rsidRPr="00AE580B">
        <w:rPr>
          <w:sz w:val="24"/>
          <w:szCs w:val="24"/>
        </w:rPr>
        <w:t>:</w:t>
      </w:r>
    </w:p>
    <w:p w14:paraId="6D003000" w14:textId="4EFEB544" w:rsidR="001A5833" w:rsidRPr="001A5833" w:rsidRDefault="001A5833" w:rsidP="001A58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E580B">
        <w:rPr>
          <w:b/>
          <w:bCs/>
          <w:sz w:val="24"/>
          <w:szCs w:val="24"/>
        </w:rPr>
        <w:t>Age</w:t>
      </w:r>
      <w:r w:rsidRPr="00AE580B">
        <w:rPr>
          <w:sz w:val="24"/>
          <w:szCs w:val="24"/>
        </w:rPr>
        <w:t xml:space="preserve"> – in years available every year except only by categories 1-11 in 1972</w:t>
      </w:r>
      <w:r>
        <w:rPr>
          <w:sz w:val="24"/>
          <w:szCs w:val="24"/>
        </w:rPr>
        <w:t>.</w:t>
      </w:r>
    </w:p>
    <w:p w14:paraId="2EECF94B" w14:textId="1C7CC793" w:rsidR="00AE580B" w:rsidRPr="00AE580B" w:rsidRDefault="00D21543" w:rsidP="00AE580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E580B">
        <w:rPr>
          <w:b/>
          <w:bCs/>
          <w:sz w:val="24"/>
          <w:szCs w:val="24"/>
        </w:rPr>
        <w:t xml:space="preserve">Party ID </w:t>
      </w:r>
      <w:r w:rsidRPr="00AE580B">
        <w:rPr>
          <w:sz w:val="24"/>
          <w:szCs w:val="24"/>
        </w:rPr>
        <w:t>– Big 3 parties available every year. Other and well performing small parties also available</w:t>
      </w:r>
      <w:r w:rsidR="001A5833">
        <w:rPr>
          <w:sz w:val="24"/>
          <w:szCs w:val="24"/>
        </w:rPr>
        <w:t>.</w:t>
      </w:r>
    </w:p>
    <w:p w14:paraId="7B9585A1" w14:textId="7A010C05" w:rsidR="00AE580B" w:rsidRPr="001A5833" w:rsidRDefault="00D21543" w:rsidP="00AE580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E580B">
        <w:rPr>
          <w:b/>
          <w:bCs/>
          <w:sz w:val="24"/>
          <w:szCs w:val="24"/>
        </w:rPr>
        <w:t>Province</w:t>
      </w:r>
      <w:r w:rsidRPr="00AE580B">
        <w:rPr>
          <w:sz w:val="24"/>
          <w:szCs w:val="24"/>
        </w:rPr>
        <w:t xml:space="preserve"> – available every year except only by region in 1972</w:t>
      </w:r>
      <w:r w:rsidR="001A5833">
        <w:rPr>
          <w:sz w:val="24"/>
          <w:szCs w:val="24"/>
        </w:rPr>
        <w:t>.</w:t>
      </w:r>
    </w:p>
    <w:p w14:paraId="650D2485" w14:textId="15370FCF" w:rsidR="001A5833" w:rsidRPr="001A5833" w:rsidRDefault="001A5833" w:rsidP="001A58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E580B">
        <w:rPr>
          <w:b/>
          <w:bCs/>
          <w:sz w:val="24"/>
          <w:szCs w:val="24"/>
        </w:rPr>
        <w:t>Reported Vote</w:t>
      </w:r>
      <w:r w:rsidRPr="00AE580B">
        <w:rPr>
          <w:sz w:val="24"/>
          <w:szCs w:val="24"/>
        </w:rPr>
        <w:t xml:space="preserve"> – Big 3 parties available every year. Other and well performing small parties also available</w:t>
      </w:r>
      <w:r>
        <w:rPr>
          <w:sz w:val="24"/>
          <w:szCs w:val="24"/>
        </w:rPr>
        <w:t>.</w:t>
      </w:r>
    </w:p>
    <w:p w14:paraId="2CEC8FFE" w14:textId="7C663291" w:rsidR="001A5833" w:rsidRPr="001A5833" w:rsidRDefault="001A5833" w:rsidP="001A583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E580B">
        <w:rPr>
          <w:b/>
          <w:bCs/>
          <w:sz w:val="24"/>
          <w:szCs w:val="24"/>
        </w:rPr>
        <w:t>Sex</w:t>
      </w:r>
      <w:r w:rsidRPr="00AE580B">
        <w:rPr>
          <w:sz w:val="24"/>
          <w:szCs w:val="24"/>
        </w:rPr>
        <w:t xml:space="preserve"> – Binary available every year</w:t>
      </w:r>
      <w:r>
        <w:rPr>
          <w:sz w:val="24"/>
          <w:szCs w:val="24"/>
        </w:rPr>
        <w:t>.</w:t>
      </w:r>
    </w:p>
    <w:p w14:paraId="4870822A" w14:textId="34813A90" w:rsidR="001A5833" w:rsidRDefault="0012277C" w:rsidP="001A5833">
      <w:pPr>
        <w:rPr>
          <w:sz w:val="24"/>
          <w:szCs w:val="24"/>
        </w:rPr>
      </w:pPr>
      <w:r w:rsidRPr="00AE580B">
        <w:rPr>
          <w:sz w:val="24"/>
          <w:szCs w:val="24"/>
        </w:rPr>
        <w:br/>
      </w:r>
      <w:r w:rsidR="001A5833" w:rsidRPr="00B96FF8">
        <w:rPr>
          <w:b/>
          <w:bCs/>
          <w:sz w:val="24"/>
          <w:szCs w:val="24"/>
        </w:rPr>
        <w:t xml:space="preserve">Class </w:t>
      </w:r>
      <w:r w:rsidR="001A5833">
        <w:rPr>
          <w:sz w:val="24"/>
          <w:szCs w:val="24"/>
        </w:rPr>
        <w:t xml:space="preserve">– available 1965, 1968, 1974, 1979 and 1984 as 5 categories (lower class to upper class scale). Also available based on </w:t>
      </w:r>
      <w:proofErr w:type="spellStart"/>
      <w:r w:rsidR="001A5833" w:rsidRPr="00B96FF8">
        <w:rPr>
          <w:sz w:val="24"/>
          <w:szCs w:val="24"/>
        </w:rPr>
        <w:t>Blishen</w:t>
      </w:r>
      <w:proofErr w:type="spellEnd"/>
      <w:r w:rsidR="001A5833" w:rsidRPr="00B96FF8">
        <w:rPr>
          <w:sz w:val="24"/>
          <w:szCs w:val="24"/>
        </w:rPr>
        <w:t xml:space="preserve"> 1981 Socio-Economic Index</w:t>
      </w:r>
      <w:r w:rsidR="001A5833">
        <w:rPr>
          <w:sz w:val="24"/>
          <w:szCs w:val="24"/>
        </w:rPr>
        <w:t xml:space="preserve"> that runs roughly from 20 to 100 for the years 1984, 1988 and 1993. Not available for remaining years.</w:t>
      </w:r>
    </w:p>
    <w:p w14:paraId="5CB067E0" w14:textId="3A00F1EC" w:rsidR="001A5833" w:rsidRDefault="001A5833" w:rsidP="001A5833">
      <w:pPr>
        <w:rPr>
          <w:sz w:val="24"/>
          <w:szCs w:val="24"/>
        </w:rPr>
      </w:pPr>
      <w:r w:rsidRPr="008520B0">
        <w:rPr>
          <w:b/>
          <w:bCs/>
          <w:sz w:val="24"/>
          <w:szCs w:val="24"/>
        </w:rPr>
        <w:t>Education</w:t>
      </w:r>
      <w:r>
        <w:rPr>
          <w:sz w:val="24"/>
          <w:szCs w:val="24"/>
        </w:rPr>
        <w:t xml:space="preserve"> – available every year except 1980. </w:t>
      </w:r>
      <w:proofErr w:type="spellStart"/>
      <w:r>
        <w:rPr>
          <w:sz w:val="24"/>
          <w:szCs w:val="24"/>
        </w:rPr>
        <w:t>Standarized</w:t>
      </w:r>
      <w:proofErr w:type="spellEnd"/>
      <w:r>
        <w:rPr>
          <w:sz w:val="24"/>
          <w:szCs w:val="24"/>
        </w:rPr>
        <w:t xml:space="preserve"> 1-11 scale 1988 onwards. In 1965 only number of years is available (0-30). Varies 1968 to 1984 so probably best to categorize based on degree (high school and post-secondary) (0-2)? and estimate how many years equivalent that would be for 1965.</w:t>
      </w:r>
    </w:p>
    <w:p w14:paraId="49E3F522" w14:textId="0FF7D420" w:rsidR="001A5833" w:rsidRDefault="001A5833" w:rsidP="001A5833">
      <w:pPr>
        <w:rPr>
          <w:sz w:val="24"/>
          <w:szCs w:val="24"/>
        </w:rPr>
      </w:pPr>
      <w:r w:rsidRPr="001A5833">
        <w:rPr>
          <w:b/>
          <w:bCs/>
          <w:sz w:val="24"/>
          <w:szCs w:val="24"/>
        </w:rPr>
        <w:t>Employment Status</w:t>
      </w:r>
      <w:r>
        <w:rPr>
          <w:sz w:val="24"/>
          <w:szCs w:val="24"/>
        </w:rPr>
        <w:t xml:space="preserve"> – unavailable in 1980 and in 1965 only as yes/no to whether respondent was unemployed in the past year. Otherwise available with slightly changing category options ranging from 6 to 13 1984 onwards that include (unemployed, student, retired, housewife etc.</w:t>
      </w:r>
      <w:r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ould possibly </w:t>
      </w:r>
      <w:r>
        <w:rPr>
          <w:sz w:val="24"/>
          <w:szCs w:val="24"/>
        </w:rPr>
        <w:t xml:space="preserve">also </w:t>
      </w:r>
      <w:r>
        <w:rPr>
          <w:sz w:val="24"/>
          <w:szCs w:val="24"/>
        </w:rPr>
        <w:t>be constructed from the occupation variable for the remaining election 1968 to 1979 where unemployed is one of the categories.</w:t>
      </w:r>
    </w:p>
    <w:p w14:paraId="734219C8" w14:textId="07E7C78E" w:rsidR="001A5833" w:rsidRPr="00D21543" w:rsidRDefault="001A5833" w:rsidP="001A5833">
      <w:pPr>
        <w:rPr>
          <w:sz w:val="24"/>
          <w:szCs w:val="24"/>
        </w:rPr>
      </w:pPr>
      <w:r w:rsidRPr="002B0B07">
        <w:rPr>
          <w:b/>
          <w:bCs/>
          <w:sz w:val="24"/>
          <w:szCs w:val="24"/>
        </w:rPr>
        <w:t>Income</w:t>
      </w:r>
      <w:r>
        <w:rPr>
          <w:sz w:val="24"/>
          <w:szCs w:val="24"/>
        </w:rPr>
        <w:t xml:space="preserve"> – see separate spreadsheet tab for detailed breakdown each year. Available every year except 1980. Only available in categories for most years. Some overlap for respondents in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categorical and total amount categories when both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available. Best to </w:t>
      </w:r>
      <w:r>
        <w:rPr>
          <w:sz w:val="24"/>
          <w:szCs w:val="24"/>
        </w:rPr>
        <w:t xml:space="preserve">probably </w:t>
      </w:r>
      <w:r>
        <w:rPr>
          <w:sz w:val="24"/>
          <w:szCs w:val="24"/>
        </w:rPr>
        <w:t xml:space="preserve">collapse based on quintiles that could be matched to the actual census data as per </w:t>
      </w:r>
      <w:proofErr w:type="spellStart"/>
      <w:r>
        <w:rPr>
          <w:sz w:val="24"/>
          <w:szCs w:val="24"/>
        </w:rPr>
        <w:t>Perrella</w:t>
      </w:r>
      <w:proofErr w:type="spellEnd"/>
      <w:r>
        <w:rPr>
          <w:sz w:val="24"/>
          <w:szCs w:val="24"/>
        </w:rPr>
        <w:t xml:space="preserve"> et al. (2016)</w:t>
      </w:r>
      <w:r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 xml:space="preserve"> or 5 roughly equal categories. However, his paper only went back to 1993.</w:t>
      </w:r>
    </w:p>
    <w:p w14:paraId="6162994A" w14:textId="63DDCC97" w:rsidR="0012277C" w:rsidRDefault="00AE580B" w:rsidP="00AE58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Language </w:t>
      </w:r>
      <w:r w:rsidRPr="00AE580B">
        <w:rPr>
          <w:sz w:val="24"/>
          <w:szCs w:val="24"/>
        </w:rPr>
        <w:t>– available every year except 1980 but consistently only as English or French. Bilingual option missing</w:t>
      </w:r>
      <w:r>
        <w:rPr>
          <w:b/>
          <w:bCs/>
          <w:sz w:val="24"/>
          <w:szCs w:val="24"/>
        </w:rPr>
        <w:t xml:space="preserve"> </w:t>
      </w:r>
      <w:r w:rsidRPr="00AE580B">
        <w:rPr>
          <w:sz w:val="24"/>
          <w:szCs w:val="24"/>
        </w:rPr>
        <w:t xml:space="preserve">in </w:t>
      </w:r>
      <w:r w:rsidR="00B96FF8">
        <w:rPr>
          <w:sz w:val="24"/>
          <w:szCs w:val="24"/>
        </w:rPr>
        <w:t>19</w:t>
      </w:r>
      <w:r w:rsidRPr="00AE580B">
        <w:rPr>
          <w:sz w:val="24"/>
          <w:szCs w:val="24"/>
        </w:rPr>
        <w:t xml:space="preserve">72, </w:t>
      </w:r>
      <w:r w:rsidR="00B96FF8">
        <w:rPr>
          <w:sz w:val="24"/>
          <w:szCs w:val="24"/>
        </w:rPr>
        <w:t>19</w:t>
      </w:r>
      <w:r w:rsidRPr="00AE580B">
        <w:rPr>
          <w:sz w:val="24"/>
          <w:szCs w:val="24"/>
        </w:rPr>
        <w:t xml:space="preserve">88, </w:t>
      </w:r>
      <w:r w:rsidR="00B96FF8">
        <w:rPr>
          <w:sz w:val="24"/>
          <w:szCs w:val="24"/>
        </w:rPr>
        <w:t>19</w:t>
      </w:r>
      <w:r w:rsidRPr="00AE580B">
        <w:rPr>
          <w:sz w:val="24"/>
          <w:szCs w:val="24"/>
        </w:rPr>
        <w:t>93, 2000, 2011, 2015</w:t>
      </w:r>
      <w:r w:rsidR="001A5833">
        <w:rPr>
          <w:sz w:val="24"/>
          <w:szCs w:val="24"/>
        </w:rPr>
        <w:t>.</w:t>
      </w:r>
    </w:p>
    <w:p w14:paraId="05A1EC87" w14:textId="4BC85CD2" w:rsidR="001A5833" w:rsidRDefault="001A5833" w:rsidP="00AE580B">
      <w:pPr>
        <w:rPr>
          <w:sz w:val="24"/>
          <w:szCs w:val="24"/>
        </w:rPr>
      </w:pPr>
      <w:r w:rsidRPr="001A5833">
        <w:rPr>
          <w:b/>
          <w:bCs/>
          <w:sz w:val="24"/>
          <w:szCs w:val="24"/>
        </w:rPr>
        <w:t>Occupation</w:t>
      </w:r>
      <w:r>
        <w:rPr>
          <w:sz w:val="24"/>
          <w:szCs w:val="24"/>
        </w:rPr>
        <w:t xml:space="preserve"> – </w:t>
      </w:r>
      <w:r w:rsidR="00EA79A7">
        <w:rPr>
          <w:sz w:val="24"/>
          <w:szCs w:val="24"/>
        </w:rPr>
        <w:t xml:space="preserve">available every year except 1980. Available based on StatsCan codes (numerous categories) from 1988 onwards. </w:t>
      </w:r>
      <w:r w:rsidR="00CE5BDE">
        <w:rPr>
          <w:sz w:val="24"/>
          <w:szCs w:val="24"/>
        </w:rPr>
        <w:t>Based on common occupations ranging from 9 to 16 categories (professional, clerical, sal</w:t>
      </w:r>
      <w:bookmarkStart w:id="0" w:name="_GoBack"/>
      <w:bookmarkEnd w:id="0"/>
      <w:r w:rsidR="00CE5BDE">
        <w:rPr>
          <w:sz w:val="24"/>
          <w:szCs w:val="24"/>
        </w:rPr>
        <w:t>es, farmer etc.) 1965 to 1979.</w:t>
      </w:r>
      <w:r w:rsidR="002C2B86">
        <w:rPr>
          <w:sz w:val="24"/>
          <w:szCs w:val="24"/>
        </w:rPr>
        <w:t xml:space="preserve"> Also available in the years 1988, 1993, 1997 and 2004 based on the </w:t>
      </w:r>
      <w:proofErr w:type="spellStart"/>
      <w:r w:rsidR="002C2B86" w:rsidRPr="002C2B86">
        <w:rPr>
          <w:sz w:val="24"/>
          <w:szCs w:val="24"/>
        </w:rPr>
        <w:t>Pineo</w:t>
      </w:r>
      <w:proofErr w:type="spellEnd"/>
      <w:r w:rsidR="002C2B86" w:rsidRPr="002C2B86">
        <w:rPr>
          <w:sz w:val="24"/>
          <w:szCs w:val="24"/>
        </w:rPr>
        <w:t>-Porter</w:t>
      </w:r>
      <w:r w:rsidR="002C2B86">
        <w:rPr>
          <w:sz w:val="24"/>
          <w:szCs w:val="24"/>
        </w:rPr>
        <w:t xml:space="preserve"> classification ranging 1-20.</w:t>
      </w:r>
    </w:p>
    <w:p w14:paraId="6E62DA13" w14:textId="6154D073" w:rsidR="00960155" w:rsidRDefault="00960155" w:rsidP="00AE580B">
      <w:pPr>
        <w:rPr>
          <w:sz w:val="24"/>
          <w:szCs w:val="24"/>
        </w:rPr>
      </w:pPr>
      <w:r w:rsidRPr="00960155">
        <w:rPr>
          <w:b/>
          <w:bCs/>
          <w:sz w:val="24"/>
          <w:szCs w:val="24"/>
        </w:rPr>
        <w:t>Sector</w:t>
      </w:r>
      <w:r>
        <w:rPr>
          <w:sz w:val="24"/>
          <w:szCs w:val="24"/>
        </w:rPr>
        <w:t xml:space="preserve"> – provides the type of industry and is only available in the years: 1968, 1974, 1979 and 1984.</w:t>
      </w:r>
    </w:p>
    <w:p w14:paraId="0DCDAB8A" w14:textId="2E2DE94B" w:rsidR="001A5833" w:rsidRDefault="001A5833" w:rsidP="00AE580B">
      <w:pPr>
        <w:rPr>
          <w:sz w:val="24"/>
          <w:szCs w:val="24"/>
        </w:rPr>
      </w:pPr>
      <w:r w:rsidRPr="00960155">
        <w:rPr>
          <w:b/>
          <w:bCs/>
          <w:sz w:val="24"/>
          <w:szCs w:val="24"/>
        </w:rPr>
        <w:t>Sector of the Economy</w:t>
      </w:r>
      <w:r>
        <w:rPr>
          <w:sz w:val="24"/>
          <w:szCs w:val="24"/>
        </w:rPr>
        <w:t xml:space="preserve"> (public, private, non-profit) – Only public vs private is available and only from 1988. In 1974 and 1979 it could also possible be constructed based on the </w:t>
      </w:r>
      <w:r>
        <w:rPr>
          <w:sz w:val="24"/>
          <w:szCs w:val="24"/>
        </w:rPr>
        <w:lastRenderedPageBreak/>
        <w:t>variable normally used for sector (industry) as one of the 13 categories includes government.</w:t>
      </w:r>
    </w:p>
    <w:p w14:paraId="721818DC" w14:textId="5909988D" w:rsidR="001A5833" w:rsidRDefault="001A5833" w:rsidP="001A5833">
      <w:pPr>
        <w:rPr>
          <w:sz w:val="24"/>
          <w:szCs w:val="24"/>
        </w:rPr>
      </w:pPr>
      <w:r w:rsidRPr="003708DE">
        <w:rPr>
          <w:b/>
          <w:bCs/>
          <w:sz w:val="24"/>
          <w:szCs w:val="24"/>
        </w:rPr>
        <w:t>Union Status</w:t>
      </w:r>
      <w:r>
        <w:rPr>
          <w:sz w:val="24"/>
          <w:szCs w:val="24"/>
        </w:rPr>
        <w:t xml:space="preserve"> – available every year except 1965, 1968 and 1980. Is also missing based on household </w:t>
      </w:r>
      <w:r w:rsidR="00667F6D">
        <w:rPr>
          <w:sz w:val="24"/>
          <w:szCs w:val="24"/>
        </w:rPr>
        <w:t xml:space="preserve">status </w:t>
      </w:r>
      <w:r>
        <w:rPr>
          <w:sz w:val="24"/>
          <w:szCs w:val="24"/>
        </w:rPr>
        <w:t xml:space="preserve">for 1988 and </w:t>
      </w:r>
      <w:r w:rsidR="00667F6D">
        <w:rPr>
          <w:sz w:val="24"/>
          <w:szCs w:val="24"/>
        </w:rPr>
        <w:t>asks if respondent or household members’ status</w:t>
      </w:r>
      <w:r>
        <w:rPr>
          <w:sz w:val="24"/>
          <w:szCs w:val="24"/>
        </w:rPr>
        <w:t xml:space="preserve"> in 1993, 1997 and 2000.</w:t>
      </w:r>
    </w:p>
    <w:p w14:paraId="1631084C" w14:textId="77777777" w:rsidR="001A5833" w:rsidRDefault="001A5833" w:rsidP="00AE580B">
      <w:pPr>
        <w:rPr>
          <w:sz w:val="24"/>
          <w:szCs w:val="24"/>
        </w:rPr>
      </w:pPr>
    </w:p>
    <w:sectPr w:rsidR="001A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00E2D" w14:textId="77777777" w:rsidR="00CE4339" w:rsidRDefault="00CE4339" w:rsidP="002B0B07">
      <w:pPr>
        <w:spacing w:after="0" w:line="240" w:lineRule="auto"/>
      </w:pPr>
      <w:r>
        <w:separator/>
      </w:r>
    </w:p>
  </w:endnote>
  <w:endnote w:type="continuationSeparator" w:id="0">
    <w:p w14:paraId="62B99AA9" w14:textId="77777777" w:rsidR="00CE4339" w:rsidRDefault="00CE4339" w:rsidP="002B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87A9D" w14:textId="77777777" w:rsidR="00CE4339" w:rsidRDefault="00CE4339" w:rsidP="002B0B07">
      <w:pPr>
        <w:spacing w:after="0" w:line="240" w:lineRule="auto"/>
      </w:pPr>
      <w:r>
        <w:separator/>
      </w:r>
    </w:p>
  </w:footnote>
  <w:footnote w:type="continuationSeparator" w:id="0">
    <w:p w14:paraId="1D9228FC" w14:textId="77777777" w:rsidR="00CE4339" w:rsidRDefault="00CE4339" w:rsidP="002B0B07">
      <w:pPr>
        <w:spacing w:after="0" w:line="240" w:lineRule="auto"/>
      </w:pPr>
      <w:r>
        <w:continuationSeparator/>
      </w:r>
    </w:p>
  </w:footnote>
  <w:footnote w:id="1">
    <w:p w14:paraId="01A428A5" w14:textId="61DF4383" w:rsidR="001A5833" w:rsidRPr="002B0B07" w:rsidRDefault="001A5833" w:rsidP="001A5833">
      <w:pPr>
        <w:pStyle w:val="FootnoteText"/>
        <w:rPr>
          <w:rFonts w:cstheme="minorHAnsi"/>
        </w:rPr>
      </w:pPr>
      <w:r w:rsidRPr="002B0B07">
        <w:rPr>
          <w:rStyle w:val="FootnoteReference"/>
          <w:rFonts w:cstheme="minorHAnsi"/>
        </w:rPr>
        <w:footnoteRef/>
      </w:r>
      <w:r w:rsidRPr="002B0B07">
        <w:rPr>
          <w:rFonts w:cstheme="minorHAnsi"/>
        </w:rPr>
        <w:t xml:space="preserve"> Does a Growing Income Gap Affect Political Attitudes? </w:t>
      </w:r>
      <w:hyperlink r:id="rId1" w:history="1">
        <w:r w:rsidRPr="002B0B07">
          <w:rPr>
            <w:rStyle w:val="Hyperlink"/>
            <w:rFonts w:cstheme="minorHAnsi"/>
            <w:shd w:val="clear" w:color="auto" w:fill="FFFFFF"/>
          </w:rPr>
          <w:t>https://www.jstor.org/stable/24883697</w:t>
        </w:r>
      </w:hyperlink>
      <w:r>
        <w:rPr>
          <w:rFonts w:cstheme="minorHAnsi"/>
          <w:color w:val="333333"/>
          <w:shd w:val="clear" w:color="auto" w:fill="FFFFFF"/>
        </w:rPr>
        <w:t>.</w:t>
      </w:r>
      <w:r w:rsidRPr="002B0B07">
        <w:rPr>
          <w:rFonts w:cstheme="minorHAnsi"/>
          <w:color w:val="333333"/>
          <w:shd w:val="clear" w:color="auto" w:fill="FFFFFF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3D13"/>
    <w:multiLevelType w:val="hybridMultilevel"/>
    <w:tmpl w:val="19923C20"/>
    <w:lvl w:ilvl="0" w:tplc="31E69726">
      <w:start w:val="198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22294"/>
    <w:multiLevelType w:val="hybridMultilevel"/>
    <w:tmpl w:val="8B0E1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44BAF"/>
    <w:multiLevelType w:val="hybridMultilevel"/>
    <w:tmpl w:val="641E4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0012E"/>
    <w:multiLevelType w:val="hybridMultilevel"/>
    <w:tmpl w:val="D3F84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C2B89"/>
    <w:multiLevelType w:val="hybridMultilevel"/>
    <w:tmpl w:val="C186C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B49EC"/>
    <w:multiLevelType w:val="hybridMultilevel"/>
    <w:tmpl w:val="2550E310"/>
    <w:lvl w:ilvl="0" w:tplc="60EEDEA6">
      <w:start w:val="198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43"/>
    <w:rsid w:val="0012277C"/>
    <w:rsid w:val="001A5833"/>
    <w:rsid w:val="002B0B07"/>
    <w:rsid w:val="002B2433"/>
    <w:rsid w:val="002C2B86"/>
    <w:rsid w:val="003708DE"/>
    <w:rsid w:val="00667F6D"/>
    <w:rsid w:val="007C3917"/>
    <w:rsid w:val="008520B0"/>
    <w:rsid w:val="00960155"/>
    <w:rsid w:val="00AE580B"/>
    <w:rsid w:val="00B96FF8"/>
    <w:rsid w:val="00CE4339"/>
    <w:rsid w:val="00CE5BDE"/>
    <w:rsid w:val="00D21543"/>
    <w:rsid w:val="00D76E61"/>
    <w:rsid w:val="00EA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2B4A"/>
  <w15:chartTrackingRefBased/>
  <w15:docId w15:val="{55A45F7C-9AC5-4685-B61B-3A8F2D19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77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0B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0B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0B0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B0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stor.org/stable/24883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4289C-F328-460D-BDC4-0BF722D9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Polacko</dc:creator>
  <cp:keywords/>
  <dc:description/>
  <cp:lastModifiedBy>M. Polacko</cp:lastModifiedBy>
  <cp:revision>8</cp:revision>
  <dcterms:created xsi:type="dcterms:W3CDTF">2020-02-06T19:24:00Z</dcterms:created>
  <dcterms:modified xsi:type="dcterms:W3CDTF">2020-02-07T17:45:00Z</dcterms:modified>
</cp:coreProperties>
</file>