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426D" w:rsidRDefault="00A661EE">
      <w:pPr>
        <w:adjustRightInd w:val="0"/>
        <w:snapToGrid w:val="0"/>
        <w:spacing w:before="240" w:line="380" w:lineRule="exact"/>
        <w:rPr>
          <w:rFonts w:eastAsia="隶书"/>
          <w:spacing w:val="80"/>
          <w:sz w:val="48"/>
          <w:szCs w:val="48"/>
        </w:rPr>
      </w:pPr>
      <w:r>
        <w:sym w:font="Wingdings 2" w:char="0052"/>
      </w:r>
      <w:r>
        <w:rPr>
          <w:rFonts w:hAnsi="宋体" w:hint="eastAsia"/>
        </w:rPr>
        <w:t>毕业论文</w:t>
      </w:r>
      <w:r>
        <w:rPr>
          <w:rFonts w:hint="eastAsia"/>
        </w:rPr>
        <w:t xml:space="preserve">  </w:t>
      </w:r>
      <w:r>
        <w:rPr>
          <w:rFonts w:hint="eastAsia"/>
        </w:rPr>
        <w:sym w:font="Wingdings 2" w:char="00A3"/>
      </w:r>
      <w:r>
        <w:rPr>
          <w:rFonts w:hAnsi="宋体" w:hint="eastAsia"/>
        </w:rPr>
        <w:t>毕业设计</w:t>
      </w:r>
    </w:p>
    <w:p w:rsidR="0021426D" w:rsidRDefault="0021426D">
      <w:pPr>
        <w:spacing w:before="240"/>
        <w:jc w:val="center"/>
        <w:rPr>
          <w:b/>
          <w:sz w:val="44"/>
          <w:szCs w:val="44"/>
        </w:rPr>
      </w:pPr>
    </w:p>
    <w:p w:rsidR="0021426D" w:rsidRDefault="00A661EE">
      <w:pPr>
        <w:adjustRightInd w:val="0"/>
        <w:snapToGrid w:val="0"/>
        <w:spacing w:line="288" w:lineRule="auto"/>
        <w:jc w:val="center"/>
        <w:rPr>
          <w:rFonts w:eastAsia="华文新魏"/>
          <w:b/>
          <w:spacing w:val="20"/>
          <w:w w:val="90"/>
          <w:sz w:val="72"/>
          <w:szCs w:val="72"/>
        </w:rPr>
      </w:pPr>
      <w:r>
        <w:rPr>
          <w:rFonts w:eastAsia="华文新魏" w:hint="eastAsia"/>
          <w:b/>
          <w:spacing w:val="20"/>
          <w:w w:val="90"/>
          <w:sz w:val="72"/>
          <w:szCs w:val="72"/>
        </w:rPr>
        <w:t>哈尔滨工业大学深圳校区</w:t>
      </w:r>
    </w:p>
    <w:p w:rsidR="0021426D" w:rsidRDefault="00A661EE">
      <w:pPr>
        <w:adjustRightInd w:val="0"/>
        <w:snapToGrid w:val="0"/>
        <w:spacing w:line="288" w:lineRule="auto"/>
        <w:jc w:val="center"/>
        <w:rPr>
          <w:rFonts w:eastAsia="华文新魏"/>
          <w:b/>
          <w:spacing w:val="20"/>
          <w:w w:val="90"/>
          <w:sz w:val="72"/>
          <w:szCs w:val="72"/>
        </w:rPr>
      </w:pPr>
      <w:r>
        <w:rPr>
          <w:rFonts w:eastAsia="华文新魏" w:hint="eastAsia"/>
          <w:b/>
          <w:spacing w:val="20"/>
          <w:w w:val="90"/>
          <w:sz w:val="72"/>
          <w:szCs w:val="72"/>
        </w:rPr>
        <w:t>毕业论文（设计）</w:t>
      </w:r>
      <w:r>
        <w:rPr>
          <w:rFonts w:eastAsia="华文新魏"/>
          <w:b/>
          <w:spacing w:val="20"/>
          <w:w w:val="90"/>
          <w:sz w:val="72"/>
          <w:szCs w:val="72"/>
        </w:rPr>
        <w:t>开题报告</w:t>
      </w:r>
    </w:p>
    <w:tbl>
      <w:tblPr>
        <w:tblpPr w:leftFromText="180" w:rightFromText="180" w:vertAnchor="text" w:horzAnchor="page" w:tblpXSpec="center" w:tblpY="995"/>
        <w:tblOverlap w:val="never"/>
        <w:tblW w:w="0" w:type="auto"/>
        <w:jc w:val="center"/>
        <w:tblLook w:val="04A0" w:firstRow="1" w:lastRow="0" w:firstColumn="1" w:lastColumn="0" w:noHBand="0" w:noVBand="1"/>
      </w:tblPr>
      <w:tblGrid>
        <w:gridCol w:w="2250"/>
        <w:gridCol w:w="3691"/>
      </w:tblGrid>
      <w:tr w:rsidR="0021426D">
        <w:trPr>
          <w:trHeight w:val="2251"/>
          <w:jc w:val="center"/>
        </w:trPr>
        <w:tc>
          <w:tcPr>
            <w:tcW w:w="2250" w:type="dxa"/>
          </w:tcPr>
          <w:p w:rsidR="0021426D" w:rsidRDefault="00A661EE">
            <w:pPr>
              <w:spacing w:before="240" w:line="360" w:lineRule="auto"/>
              <w:rPr>
                <w:rFonts w:eastAsia="黑体"/>
                <w:sz w:val="36"/>
                <w:szCs w:val="36"/>
              </w:rPr>
            </w:pPr>
            <w:r>
              <w:rPr>
                <w:rFonts w:eastAsia="黑体"/>
                <w:sz w:val="36"/>
                <w:szCs w:val="36"/>
              </w:rPr>
              <w:t>题</w:t>
            </w:r>
            <w:r>
              <w:rPr>
                <w:rFonts w:eastAsia="黑体"/>
                <w:sz w:val="30"/>
                <w:szCs w:val="30"/>
              </w:rPr>
              <w:t xml:space="preserve">       </w:t>
            </w:r>
            <w:r>
              <w:rPr>
                <w:rFonts w:eastAsia="黑体"/>
                <w:sz w:val="36"/>
                <w:szCs w:val="36"/>
              </w:rPr>
              <w:t>目</w:t>
            </w:r>
            <w:r>
              <w:rPr>
                <w:rFonts w:eastAsia="黑体" w:hint="eastAsia"/>
                <w:sz w:val="36"/>
                <w:szCs w:val="36"/>
              </w:rPr>
              <w:t>：</w:t>
            </w:r>
          </w:p>
        </w:tc>
        <w:tc>
          <w:tcPr>
            <w:tcW w:w="3691" w:type="dxa"/>
          </w:tcPr>
          <w:p w:rsidR="0021426D" w:rsidRDefault="00A661EE">
            <w:pPr>
              <w:tabs>
                <w:tab w:val="left" w:pos="490"/>
              </w:tabs>
              <w:spacing w:before="240" w:line="360" w:lineRule="auto"/>
              <w:jc w:val="left"/>
              <w:rPr>
                <w:rFonts w:eastAsia="黑体"/>
                <w:sz w:val="36"/>
                <w:szCs w:val="36"/>
                <w:u w:val="single"/>
              </w:rPr>
            </w:pPr>
            <w:r>
              <w:rPr>
                <w:rFonts w:eastAsia="黑体" w:hint="eastAsia"/>
                <w:sz w:val="36"/>
                <w:szCs w:val="36"/>
                <w:u w:val="single"/>
              </w:rPr>
              <w:t>深圳市老旧住宅区和城中村拆除重建项目对周边既有住宅价格的动态影响</w:t>
            </w:r>
            <w:r>
              <w:rPr>
                <w:rFonts w:eastAsia="黑体"/>
                <w:sz w:val="36"/>
                <w:szCs w:val="36"/>
                <w:u w:val="single"/>
              </w:rPr>
              <w:t xml:space="preserve">                                          </w:t>
            </w:r>
          </w:p>
        </w:tc>
      </w:tr>
      <w:tr w:rsidR="0021426D">
        <w:trPr>
          <w:jc w:val="center"/>
        </w:trPr>
        <w:tc>
          <w:tcPr>
            <w:tcW w:w="2250" w:type="dxa"/>
          </w:tcPr>
          <w:p w:rsidR="0021426D" w:rsidRDefault="00A661EE">
            <w:pPr>
              <w:spacing w:before="240" w:line="360" w:lineRule="auto"/>
              <w:jc w:val="left"/>
              <w:rPr>
                <w:rFonts w:eastAsia="黑体"/>
                <w:sz w:val="30"/>
                <w:szCs w:val="30"/>
              </w:rPr>
            </w:pPr>
            <w:r>
              <w:rPr>
                <w:rFonts w:eastAsia="黑体"/>
                <w:sz w:val="30"/>
                <w:szCs w:val="30"/>
              </w:rPr>
              <w:t>姓</w:t>
            </w:r>
            <w:r>
              <w:rPr>
                <w:rFonts w:eastAsia="黑体"/>
                <w:sz w:val="30"/>
                <w:szCs w:val="30"/>
              </w:rPr>
              <w:t xml:space="preserve">       </w:t>
            </w:r>
            <w:r>
              <w:rPr>
                <w:rFonts w:eastAsia="黑体"/>
                <w:sz w:val="30"/>
                <w:szCs w:val="30"/>
              </w:rPr>
              <w:t>名</w:t>
            </w:r>
            <w:r>
              <w:rPr>
                <w:rFonts w:eastAsia="黑体" w:hint="eastAsia"/>
                <w:sz w:val="30"/>
                <w:szCs w:val="30"/>
              </w:rPr>
              <w:t>：</w:t>
            </w:r>
          </w:p>
        </w:tc>
        <w:tc>
          <w:tcPr>
            <w:tcW w:w="3691" w:type="dxa"/>
          </w:tcPr>
          <w:p w:rsidR="0021426D" w:rsidRDefault="00A661EE">
            <w:pPr>
              <w:spacing w:before="240" w:line="360" w:lineRule="auto"/>
              <w:rPr>
                <w:sz w:val="30"/>
                <w:szCs w:val="30"/>
                <w:u w:val="single"/>
              </w:rPr>
            </w:pPr>
            <w:r>
              <w:rPr>
                <w:sz w:val="30"/>
                <w:szCs w:val="30"/>
                <w:u w:val="single"/>
              </w:rPr>
              <w:t xml:space="preserve">     </w:t>
            </w:r>
            <w:r>
              <w:rPr>
                <w:rFonts w:hint="eastAsia"/>
                <w:sz w:val="30"/>
                <w:szCs w:val="30"/>
                <w:u w:val="single"/>
              </w:rPr>
              <w:t xml:space="preserve"> </w:t>
            </w:r>
            <w:r>
              <w:rPr>
                <w:rFonts w:hint="eastAsia"/>
                <w:sz w:val="30"/>
                <w:szCs w:val="30"/>
                <w:u w:val="single"/>
              </w:rPr>
              <w:t>宋阳霆</w:t>
            </w:r>
            <w:r>
              <w:rPr>
                <w:sz w:val="30"/>
                <w:szCs w:val="30"/>
                <w:u w:val="single"/>
              </w:rPr>
              <w:t xml:space="preserve">                   </w:t>
            </w:r>
          </w:p>
        </w:tc>
      </w:tr>
      <w:tr w:rsidR="0021426D">
        <w:trPr>
          <w:jc w:val="center"/>
        </w:trPr>
        <w:tc>
          <w:tcPr>
            <w:tcW w:w="2250" w:type="dxa"/>
          </w:tcPr>
          <w:p w:rsidR="0021426D" w:rsidRDefault="00A661EE">
            <w:pPr>
              <w:spacing w:before="240" w:line="360" w:lineRule="auto"/>
              <w:jc w:val="left"/>
              <w:rPr>
                <w:rFonts w:eastAsia="黑体"/>
                <w:sz w:val="30"/>
                <w:szCs w:val="30"/>
              </w:rPr>
            </w:pPr>
            <w:r>
              <w:rPr>
                <w:rFonts w:eastAsia="黑体"/>
                <w:sz w:val="30"/>
                <w:szCs w:val="30"/>
              </w:rPr>
              <w:t>学</w:t>
            </w:r>
            <w:r>
              <w:rPr>
                <w:rFonts w:eastAsia="黑体"/>
                <w:sz w:val="30"/>
                <w:szCs w:val="30"/>
              </w:rPr>
              <w:t xml:space="preserve">       </w:t>
            </w:r>
            <w:r>
              <w:rPr>
                <w:rFonts w:eastAsia="黑体"/>
                <w:sz w:val="30"/>
                <w:szCs w:val="30"/>
              </w:rPr>
              <w:t>号</w:t>
            </w:r>
            <w:r>
              <w:rPr>
                <w:rFonts w:eastAsia="黑体" w:hint="eastAsia"/>
                <w:sz w:val="30"/>
                <w:szCs w:val="30"/>
              </w:rPr>
              <w:t>：</w:t>
            </w:r>
          </w:p>
        </w:tc>
        <w:tc>
          <w:tcPr>
            <w:tcW w:w="3691" w:type="dxa"/>
          </w:tcPr>
          <w:p w:rsidR="0021426D" w:rsidRDefault="00A661EE">
            <w:pPr>
              <w:spacing w:before="240" w:line="360" w:lineRule="auto"/>
              <w:jc w:val="left"/>
              <w:rPr>
                <w:sz w:val="30"/>
                <w:szCs w:val="30"/>
                <w:u w:val="single"/>
              </w:rPr>
            </w:pPr>
            <w:r>
              <w:rPr>
                <w:sz w:val="30"/>
                <w:szCs w:val="30"/>
                <w:u w:val="single"/>
              </w:rPr>
              <w:t xml:space="preserve">     </w:t>
            </w:r>
            <w:r>
              <w:rPr>
                <w:rFonts w:hint="eastAsia"/>
                <w:sz w:val="30"/>
                <w:szCs w:val="30"/>
                <w:u w:val="single"/>
              </w:rPr>
              <w:t>2023315113</w:t>
            </w:r>
            <w:r>
              <w:rPr>
                <w:sz w:val="30"/>
                <w:szCs w:val="30"/>
                <w:u w:val="single"/>
              </w:rPr>
              <w:t xml:space="preserve">                   </w:t>
            </w:r>
          </w:p>
        </w:tc>
      </w:tr>
      <w:tr w:rsidR="0021426D">
        <w:trPr>
          <w:jc w:val="center"/>
        </w:trPr>
        <w:tc>
          <w:tcPr>
            <w:tcW w:w="2250" w:type="dxa"/>
          </w:tcPr>
          <w:p w:rsidR="0021426D" w:rsidRDefault="00A661EE">
            <w:pPr>
              <w:spacing w:before="240" w:line="360" w:lineRule="auto"/>
              <w:jc w:val="left"/>
              <w:rPr>
                <w:rFonts w:eastAsia="黑体"/>
                <w:sz w:val="30"/>
                <w:szCs w:val="30"/>
              </w:rPr>
            </w:pPr>
            <w:r>
              <w:rPr>
                <w:rFonts w:eastAsia="黑体"/>
                <w:sz w:val="30"/>
                <w:szCs w:val="30"/>
              </w:rPr>
              <w:t>学</w:t>
            </w:r>
            <w:r>
              <w:rPr>
                <w:rFonts w:eastAsia="黑体"/>
                <w:sz w:val="30"/>
                <w:szCs w:val="30"/>
              </w:rPr>
              <w:t xml:space="preserve">       </w:t>
            </w:r>
            <w:r>
              <w:rPr>
                <w:rFonts w:eastAsia="黑体"/>
                <w:sz w:val="30"/>
                <w:szCs w:val="30"/>
              </w:rPr>
              <w:t>院</w:t>
            </w:r>
            <w:r>
              <w:rPr>
                <w:rFonts w:eastAsia="黑体" w:hint="eastAsia"/>
                <w:sz w:val="30"/>
                <w:szCs w:val="30"/>
              </w:rPr>
              <w:t>：</w:t>
            </w:r>
          </w:p>
        </w:tc>
        <w:tc>
          <w:tcPr>
            <w:tcW w:w="3691" w:type="dxa"/>
          </w:tcPr>
          <w:p w:rsidR="0021426D" w:rsidRDefault="00A661EE">
            <w:pPr>
              <w:spacing w:before="240" w:line="360" w:lineRule="auto"/>
              <w:jc w:val="left"/>
              <w:rPr>
                <w:sz w:val="30"/>
                <w:szCs w:val="30"/>
                <w:u w:val="single"/>
              </w:rPr>
            </w:pPr>
            <w:r>
              <w:rPr>
                <w:sz w:val="30"/>
                <w:szCs w:val="30"/>
                <w:u w:val="single"/>
              </w:rPr>
              <w:t xml:space="preserve"> </w:t>
            </w:r>
            <w:r>
              <w:rPr>
                <w:rFonts w:hint="eastAsia"/>
                <w:sz w:val="30"/>
                <w:szCs w:val="30"/>
                <w:u w:val="single"/>
              </w:rPr>
              <w:t>深圳校区经济管理学院</w:t>
            </w:r>
            <w:r>
              <w:rPr>
                <w:sz w:val="30"/>
                <w:szCs w:val="30"/>
                <w:u w:val="single"/>
              </w:rPr>
              <w:t xml:space="preserve">                       </w:t>
            </w:r>
          </w:p>
        </w:tc>
      </w:tr>
      <w:tr w:rsidR="0021426D">
        <w:trPr>
          <w:jc w:val="center"/>
        </w:trPr>
        <w:tc>
          <w:tcPr>
            <w:tcW w:w="2250" w:type="dxa"/>
          </w:tcPr>
          <w:p w:rsidR="0021426D" w:rsidRDefault="00A661EE">
            <w:pPr>
              <w:spacing w:before="240" w:line="360" w:lineRule="auto"/>
              <w:jc w:val="left"/>
              <w:rPr>
                <w:rFonts w:eastAsia="黑体"/>
                <w:sz w:val="30"/>
                <w:szCs w:val="30"/>
              </w:rPr>
            </w:pPr>
            <w:r>
              <w:rPr>
                <w:rFonts w:eastAsia="黑体"/>
                <w:sz w:val="30"/>
                <w:szCs w:val="30"/>
              </w:rPr>
              <w:t>专</w:t>
            </w:r>
            <w:r>
              <w:rPr>
                <w:rFonts w:eastAsia="黑体"/>
                <w:sz w:val="30"/>
                <w:szCs w:val="30"/>
              </w:rPr>
              <w:t xml:space="preserve">       </w:t>
            </w:r>
            <w:r>
              <w:rPr>
                <w:rFonts w:eastAsia="黑体"/>
                <w:sz w:val="30"/>
                <w:szCs w:val="30"/>
              </w:rPr>
              <w:t>业</w:t>
            </w:r>
            <w:r>
              <w:rPr>
                <w:rFonts w:eastAsia="黑体" w:hint="eastAsia"/>
                <w:sz w:val="30"/>
                <w:szCs w:val="30"/>
              </w:rPr>
              <w:t>：</w:t>
            </w:r>
          </w:p>
        </w:tc>
        <w:tc>
          <w:tcPr>
            <w:tcW w:w="3691" w:type="dxa"/>
          </w:tcPr>
          <w:p w:rsidR="0021426D" w:rsidRDefault="00A661EE">
            <w:pPr>
              <w:spacing w:before="240" w:line="360" w:lineRule="auto"/>
              <w:jc w:val="left"/>
              <w:rPr>
                <w:sz w:val="30"/>
                <w:szCs w:val="30"/>
                <w:u w:val="single"/>
              </w:rPr>
            </w:pPr>
            <w:r>
              <w:rPr>
                <w:sz w:val="30"/>
                <w:szCs w:val="30"/>
                <w:u w:val="single"/>
              </w:rPr>
              <w:t xml:space="preserve">      </w:t>
            </w:r>
            <w:r>
              <w:rPr>
                <w:rFonts w:hint="eastAsia"/>
                <w:sz w:val="30"/>
                <w:szCs w:val="30"/>
                <w:u w:val="single"/>
              </w:rPr>
              <w:t>经济学</w:t>
            </w:r>
            <w:r>
              <w:rPr>
                <w:sz w:val="30"/>
                <w:szCs w:val="30"/>
                <w:u w:val="single"/>
              </w:rPr>
              <w:t xml:space="preserve">                  </w:t>
            </w:r>
          </w:p>
        </w:tc>
      </w:tr>
      <w:tr w:rsidR="0021426D">
        <w:trPr>
          <w:jc w:val="center"/>
        </w:trPr>
        <w:tc>
          <w:tcPr>
            <w:tcW w:w="2250" w:type="dxa"/>
          </w:tcPr>
          <w:p w:rsidR="0021426D" w:rsidRDefault="00A661EE">
            <w:pPr>
              <w:spacing w:before="240" w:line="360" w:lineRule="auto"/>
              <w:jc w:val="left"/>
              <w:rPr>
                <w:rFonts w:eastAsia="黑体"/>
                <w:sz w:val="30"/>
                <w:szCs w:val="30"/>
              </w:rPr>
            </w:pPr>
            <w:r>
              <w:rPr>
                <w:rFonts w:eastAsia="黑体"/>
                <w:sz w:val="30"/>
                <w:szCs w:val="30"/>
              </w:rPr>
              <w:t>指</w:t>
            </w:r>
            <w:r>
              <w:rPr>
                <w:rFonts w:eastAsia="黑体"/>
                <w:sz w:val="30"/>
                <w:szCs w:val="30"/>
              </w:rPr>
              <w:t xml:space="preserve"> </w:t>
            </w:r>
            <w:r>
              <w:rPr>
                <w:rFonts w:eastAsia="黑体"/>
                <w:sz w:val="30"/>
                <w:szCs w:val="30"/>
              </w:rPr>
              <w:t>导</w:t>
            </w:r>
            <w:r>
              <w:rPr>
                <w:rFonts w:eastAsia="黑体"/>
                <w:sz w:val="30"/>
                <w:szCs w:val="30"/>
              </w:rPr>
              <w:t xml:space="preserve"> </w:t>
            </w:r>
            <w:r>
              <w:rPr>
                <w:rFonts w:eastAsia="黑体"/>
                <w:sz w:val="30"/>
                <w:szCs w:val="30"/>
              </w:rPr>
              <w:t>教</w:t>
            </w:r>
            <w:r>
              <w:rPr>
                <w:rFonts w:eastAsia="黑体"/>
                <w:sz w:val="30"/>
                <w:szCs w:val="30"/>
              </w:rPr>
              <w:t xml:space="preserve"> </w:t>
            </w:r>
            <w:r>
              <w:rPr>
                <w:rFonts w:eastAsia="黑体"/>
                <w:sz w:val="30"/>
                <w:szCs w:val="30"/>
              </w:rPr>
              <w:t>师</w:t>
            </w:r>
            <w:r>
              <w:rPr>
                <w:rFonts w:eastAsia="黑体" w:hint="eastAsia"/>
                <w:sz w:val="30"/>
                <w:szCs w:val="30"/>
              </w:rPr>
              <w:t>：</w:t>
            </w:r>
          </w:p>
        </w:tc>
        <w:tc>
          <w:tcPr>
            <w:tcW w:w="3691" w:type="dxa"/>
          </w:tcPr>
          <w:p w:rsidR="0021426D" w:rsidRDefault="00A661EE">
            <w:pPr>
              <w:spacing w:before="240" w:line="360" w:lineRule="auto"/>
              <w:jc w:val="left"/>
              <w:rPr>
                <w:sz w:val="30"/>
                <w:szCs w:val="30"/>
                <w:u w:val="single"/>
              </w:rPr>
            </w:pPr>
            <w:r>
              <w:rPr>
                <w:sz w:val="30"/>
                <w:szCs w:val="30"/>
                <w:u w:val="single"/>
              </w:rPr>
              <w:t xml:space="preserve">      </w:t>
            </w:r>
            <w:r>
              <w:rPr>
                <w:rFonts w:hint="eastAsia"/>
                <w:sz w:val="30"/>
                <w:szCs w:val="30"/>
                <w:u w:val="single"/>
              </w:rPr>
              <w:t>赵柘锦</w:t>
            </w:r>
            <w:r>
              <w:rPr>
                <w:sz w:val="30"/>
                <w:szCs w:val="30"/>
                <w:u w:val="single"/>
              </w:rPr>
              <w:t xml:space="preserve">              </w:t>
            </w:r>
          </w:p>
        </w:tc>
      </w:tr>
      <w:tr w:rsidR="0021426D">
        <w:trPr>
          <w:jc w:val="center"/>
        </w:trPr>
        <w:tc>
          <w:tcPr>
            <w:tcW w:w="2250" w:type="dxa"/>
          </w:tcPr>
          <w:p w:rsidR="0021426D" w:rsidRDefault="00A661EE">
            <w:pPr>
              <w:spacing w:before="240" w:line="360" w:lineRule="auto"/>
              <w:jc w:val="left"/>
              <w:rPr>
                <w:rFonts w:eastAsia="黑体"/>
                <w:sz w:val="30"/>
                <w:szCs w:val="30"/>
              </w:rPr>
            </w:pPr>
            <w:r>
              <w:rPr>
                <w:rFonts w:eastAsia="黑体"/>
                <w:sz w:val="30"/>
                <w:szCs w:val="30"/>
              </w:rPr>
              <w:t>日</w:t>
            </w:r>
            <w:r>
              <w:rPr>
                <w:rFonts w:eastAsia="黑体"/>
                <w:sz w:val="30"/>
                <w:szCs w:val="30"/>
              </w:rPr>
              <w:t xml:space="preserve">       </w:t>
            </w:r>
            <w:r>
              <w:rPr>
                <w:rFonts w:eastAsia="黑体"/>
                <w:sz w:val="30"/>
                <w:szCs w:val="30"/>
              </w:rPr>
              <w:t>期</w:t>
            </w:r>
            <w:r>
              <w:rPr>
                <w:rFonts w:eastAsia="黑体" w:hint="eastAsia"/>
                <w:sz w:val="30"/>
                <w:szCs w:val="30"/>
              </w:rPr>
              <w:t>：</w:t>
            </w:r>
          </w:p>
        </w:tc>
        <w:tc>
          <w:tcPr>
            <w:tcW w:w="3691" w:type="dxa"/>
          </w:tcPr>
          <w:p w:rsidR="0021426D" w:rsidRDefault="00A661EE">
            <w:pPr>
              <w:spacing w:before="240" w:line="360" w:lineRule="auto"/>
              <w:jc w:val="left"/>
              <w:rPr>
                <w:sz w:val="30"/>
                <w:szCs w:val="30"/>
                <w:u w:val="single"/>
              </w:rPr>
            </w:pPr>
            <w:r>
              <w:rPr>
                <w:sz w:val="30"/>
                <w:szCs w:val="30"/>
                <w:u w:val="single"/>
              </w:rPr>
              <w:t xml:space="preserve">     </w:t>
            </w:r>
            <w:r>
              <w:rPr>
                <w:rFonts w:hint="eastAsia"/>
                <w:sz w:val="30"/>
                <w:szCs w:val="30"/>
                <w:u w:val="single"/>
              </w:rPr>
              <w:t>2026.10.</w:t>
            </w:r>
            <w:r>
              <w:rPr>
                <w:rFonts w:hint="eastAsia"/>
                <w:sz w:val="30"/>
                <w:szCs w:val="30"/>
                <w:u w:val="single"/>
              </w:rPr>
              <w:t>09</w:t>
            </w:r>
            <w:r>
              <w:rPr>
                <w:sz w:val="30"/>
                <w:szCs w:val="30"/>
                <w:u w:val="single"/>
              </w:rPr>
              <w:t xml:space="preserve">            </w:t>
            </w:r>
          </w:p>
        </w:tc>
      </w:tr>
    </w:tbl>
    <w:p w:rsidR="0021426D" w:rsidRDefault="0021426D">
      <w:pPr>
        <w:adjustRightInd w:val="0"/>
        <w:snapToGrid w:val="0"/>
        <w:spacing w:before="240" w:line="380" w:lineRule="exact"/>
        <w:sectPr w:rsidR="0021426D">
          <w:footerReference w:type="default" r:id="rId7"/>
          <w:pgSz w:w="11907" w:h="16840"/>
          <w:pgMar w:top="1440" w:right="1800" w:bottom="1440" w:left="1800" w:header="1701" w:footer="1304" w:gutter="0"/>
          <w:pgNumType w:start="1"/>
          <w:cols w:space="720"/>
          <w:docGrid w:linePitch="395" w:charSpace="1861"/>
        </w:sectPr>
      </w:pPr>
    </w:p>
    <w:p w:rsidR="0021426D" w:rsidRDefault="00A661EE">
      <w:pPr>
        <w:pageBreakBefore/>
        <w:snapToGrid w:val="0"/>
        <w:spacing w:beforeLines="100" w:before="240" w:afterLines="80" w:after="192"/>
        <w:jc w:val="center"/>
      </w:pPr>
      <w:r>
        <w:rPr>
          <w:rFonts w:eastAsia="黑体"/>
          <w:bCs/>
          <w:sz w:val="36"/>
          <w:szCs w:val="36"/>
        </w:rPr>
        <w:lastRenderedPageBreak/>
        <w:t>目</w:t>
      </w:r>
      <w:r>
        <w:rPr>
          <w:rFonts w:eastAsia="黑体"/>
          <w:bCs/>
          <w:sz w:val="36"/>
          <w:szCs w:val="36"/>
        </w:rPr>
        <w:t xml:space="preserve">  </w:t>
      </w:r>
      <w:r>
        <w:rPr>
          <w:rFonts w:eastAsia="黑体"/>
          <w:bCs/>
          <w:sz w:val="36"/>
          <w:szCs w:val="36"/>
        </w:rPr>
        <w:t>录</w:t>
      </w:r>
    </w:p>
    <w:p w:rsidR="00597BC4" w:rsidRDefault="00A661EE">
      <w:pPr>
        <w:pStyle w:val="TOC1"/>
        <w:tabs>
          <w:tab w:val="right" w:leader="dot" w:pos="8495"/>
        </w:tabs>
        <w:rPr>
          <w:rFonts w:asciiTheme="minorHAnsi" w:eastAsiaTheme="minorEastAsia" w:hAnsiTheme="minorHAnsi" w:cstheme="minorBidi" w:hint="eastAsia"/>
          <w:noProof/>
          <w:sz w:val="22"/>
          <w14:ligatures w14:val="standardContextual"/>
        </w:rPr>
      </w:pPr>
      <w:r>
        <w:fldChar w:fldCharType="begin"/>
      </w:r>
      <w:r>
        <w:instrText>TOC \o "1-3" \h \z \u</w:instrText>
      </w:r>
      <w:r>
        <w:fldChar w:fldCharType="separate"/>
      </w:r>
      <w:hyperlink w:anchor="_Toc242490911" w:history="1">
        <w:r w:rsidR="00597BC4" w:rsidRPr="00DF61FA">
          <w:rPr>
            <w:rStyle w:val="af2"/>
            <w:noProof/>
          </w:rPr>
          <w:t xml:space="preserve">1  </w:t>
        </w:r>
        <w:r w:rsidR="00597BC4" w:rsidRPr="00DF61FA">
          <w:rPr>
            <w:rStyle w:val="af2"/>
            <w:noProof/>
          </w:rPr>
          <w:t>课题背景及研究的目的和意义</w:t>
        </w:r>
        <w:r w:rsidR="00597BC4">
          <w:rPr>
            <w:rFonts w:hint="eastAsia"/>
            <w:noProof/>
            <w:webHidden/>
          </w:rPr>
          <w:tab/>
        </w:r>
        <w:r w:rsidR="00597BC4">
          <w:rPr>
            <w:rFonts w:hint="eastAsia"/>
            <w:noProof/>
            <w:webHidden/>
          </w:rPr>
          <w:fldChar w:fldCharType="begin"/>
        </w:r>
        <w:r w:rsidR="00597BC4">
          <w:rPr>
            <w:rFonts w:hint="eastAsia"/>
            <w:noProof/>
            <w:webHidden/>
          </w:rPr>
          <w:instrText xml:space="preserve"> </w:instrText>
        </w:r>
        <w:r w:rsidR="00597BC4">
          <w:rPr>
            <w:noProof/>
            <w:webHidden/>
          </w:rPr>
          <w:instrText>PAGEREF _Toc242490911 \h</w:instrText>
        </w:r>
        <w:r w:rsidR="00597BC4">
          <w:rPr>
            <w:rFonts w:hint="eastAsia"/>
            <w:noProof/>
            <w:webHidden/>
          </w:rPr>
          <w:instrText xml:space="preserve"> </w:instrText>
        </w:r>
        <w:r w:rsidR="00597BC4">
          <w:rPr>
            <w:rFonts w:hint="eastAsia"/>
            <w:noProof/>
            <w:webHidden/>
          </w:rPr>
        </w:r>
        <w:r w:rsidR="00597BC4">
          <w:rPr>
            <w:rFonts w:hint="eastAsia"/>
            <w:noProof/>
            <w:webHidden/>
          </w:rPr>
          <w:fldChar w:fldCharType="separate"/>
        </w:r>
        <w:r w:rsidR="00597BC4">
          <w:rPr>
            <w:noProof/>
            <w:webHidden/>
          </w:rPr>
          <w:t>1</w:t>
        </w:r>
        <w:r w:rsidR="00597BC4">
          <w:rPr>
            <w:rFonts w:hint="eastAsia"/>
            <w:noProof/>
            <w:webHidden/>
          </w:rPr>
          <w:fldChar w:fldCharType="end"/>
        </w:r>
      </w:hyperlink>
    </w:p>
    <w:p w:rsidR="00597BC4" w:rsidRDefault="00597BC4">
      <w:pPr>
        <w:pStyle w:val="TOC2"/>
        <w:tabs>
          <w:tab w:val="right" w:leader="dot" w:pos="8495"/>
        </w:tabs>
        <w:rPr>
          <w:rFonts w:asciiTheme="minorHAnsi" w:eastAsiaTheme="minorEastAsia" w:hAnsiTheme="minorHAnsi" w:cstheme="minorBidi" w:hint="eastAsia"/>
          <w:noProof/>
          <w:sz w:val="22"/>
          <w14:ligatures w14:val="standardContextual"/>
        </w:rPr>
      </w:pPr>
      <w:hyperlink w:anchor="_Toc242490912" w:history="1">
        <w:r w:rsidRPr="00DF61FA">
          <w:rPr>
            <w:rStyle w:val="af2"/>
            <w:noProof/>
          </w:rPr>
          <w:t xml:space="preserve">1.1  </w:t>
        </w:r>
        <w:r w:rsidRPr="00DF61FA">
          <w:rPr>
            <w:rStyle w:val="af2"/>
            <w:noProof/>
          </w:rPr>
          <w:t>课题背景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rsidR="00597BC4" w:rsidRDefault="00597BC4">
      <w:pPr>
        <w:pStyle w:val="TOC2"/>
        <w:tabs>
          <w:tab w:val="right" w:leader="dot" w:pos="8495"/>
        </w:tabs>
        <w:rPr>
          <w:rFonts w:asciiTheme="minorHAnsi" w:eastAsiaTheme="minorEastAsia" w:hAnsiTheme="minorHAnsi" w:cstheme="minorBidi" w:hint="eastAsia"/>
          <w:noProof/>
          <w:sz w:val="22"/>
          <w14:ligatures w14:val="standardContextual"/>
        </w:rPr>
      </w:pPr>
      <w:hyperlink w:anchor="_Toc242490913" w:history="1">
        <w:r w:rsidRPr="00DF61FA">
          <w:rPr>
            <w:rStyle w:val="af2"/>
            <w:noProof/>
          </w:rPr>
          <w:t xml:space="preserve">1.2  </w:t>
        </w:r>
        <w:r w:rsidRPr="00DF61FA">
          <w:rPr>
            <w:rStyle w:val="af2"/>
            <w:noProof/>
          </w:rPr>
          <w:t>研究的目的和意义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rsidR="00597BC4" w:rsidRDefault="00597BC4">
      <w:pPr>
        <w:pStyle w:val="TOC1"/>
        <w:tabs>
          <w:tab w:val="right" w:leader="dot" w:pos="8495"/>
        </w:tabs>
        <w:rPr>
          <w:rFonts w:asciiTheme="minorHAnsi" w:eastAsiaTheme="minorEastAsia" w:hAnsiTheme="minorHAnsi" w:cstheme="minorBidi" w:hint="eastAsia"/>
          <w:noProof/>
          <w:sz w:val="22"/>
          <w14:ligatures w14:val="standardContextual"/>
        </w:rPr>
      </w:pPr>
      <w:hyperlink w:anchor="_Toc242490914" w:history="1">
        <w:r w:rsidRPr="00DF61FA">
          <w:rPr>
            <w:rStyle w:val="af2"/>
            <w:noProof/>
          </w:rPr>
          <w:t xml:space="preserve">2  </w:t>
        </w:r>
        <w:r w:rsidRPr="00DF61FA">
          <w:rPr>
            <w:rStyle w:val="af2"/>
            <w:noProof/>
          </w:rPr>
          <w:t>国内外研究现状及分析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597BC4" w:rsidRDefault="00597BC4">
      <w:pPr>
        <w:pStyle w:val="TOC2"/>
        <w:tabs>
          <w:tab w:val="right" w:leader="dot" w:pos="8495"/>
        </w:tabs>
        <w:rPr>
          <w:rFonts w:asciiTheme="minorHAnsi" w:eastAsiaTheme="minorEastAsia" w:hAnsiTheme="minorHAnsi" w:cstheme="minorBidi" w:hint="eastAsia"/>
          <w:noProof/>
          <w:sz w:val="22"/>
          <w14:ligatures w14:val="standardContextual"/>
        </w:rPr>
      </w:pPr>
      <w:hyperlink w:anchor="_Toc242490915" w:history="1">
        <w:r w:rsidRPr="00DF61FA">
          <w:rPr>
            <w:rStyle w:val="af2"/>
            <w:noProof/>
          </w:rPr>
          <w:t xml:space="preserve">2.1  </w:t>
        </w:r>
        <w:r w:rsidRPr="00DF61FA">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16" w:history="1">
        <w:r w:rsidRPr="00DF61FA">
          <w:rPr>
            <w:rStyle w:val="af2"/>
            <w:noProof/>
          </w:rPr>
          <w:t xml:space="preserve">2.1.1  </w:t>
        </w:r>
        <w:r w:rsidRPr="00DF61FA">
          <w:rPr>
            <w:rStyle w:val="af2"/>
            <w:noProof/>
          </w:rPr>
          <w:t>拆除重建的阶段效应与空间外溢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17" w:history="1">
        <w:r w:rsidRPr="00DF61FA">
          <w:rPr>
            <w:rStyle w:val="af2"/>
            <w:noProof/>
          </w:rPr>
          <w:t xml:space="preserve">2.1.2  </w:t>
        </w:r>
        <w:r w:rsidRPr="00DF61FA">
          <w:rPr>
            <w:rStyle w:val="af2"/>
            <w:noProof/>
          </w:rPr>
          <w:t>街景表征与邻里品质测量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18" w:history="1">
        <w:r w:rsidRPr="00DF61FA">
          <w:rPr>
            <w:rStyle w:val="af2"/>
            <w:noProof/>
          </w:rPr>
          <w:t xml:space="preserve">2.1.3  </w:t>
        </w:r>
        <w:r w:rsidRPr="00DF61FA">
          <w:rPr>
            <w:rStyle w:val="af2"/>
            <w:noProof/>
          </w:rPr>
          <w:t>多期处理效应与识别方法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597BC4" w:rsidRDefault="00597BC4">
      <w:pPr>
        <w:pStyle w:val="TOC2"/>
        <w:tabs>
          <w:tab w:val="right" w:leader="dot" w:pos="8495"/>
        </w:tabs>
        <w:rPr>
          <w:rFonts w:asciiTheme="minorHAnsi" w:eastAsiaTheme="minorEastAsia" w:hAnsiTheme="minorHAnsi" w:cstheme="minorBidi" w:hint="eastAsia"/>
          <w:noProof/>
          <w:sz w:val="22"/>
          <w14:ligatures w14:val="standardContextual"/>
        </w:rPr>
      </w:pPr>
      <w:hyperlink w:anchor="_Toc242490919" w:history="1">
        <w:r w:rsidRPr="00DF61FA">
          <w:rPr>
            <w:rStyle w:val="af2"/>
            <w:noProof/>
          </w:rPr>
          <w:t xml:space="preserve">2.2  </w:t>
        </w:r>
        <w:r w:rsidRPr="00DF61FA">
          <w:rPr>
            <w:rStyle w:val="af2"/>
            <w:noProof/>
          </w:rPr>
          <w:t>国内外文献综述及简析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20" w:history="1">
        <w:r w:rsidRPr="00DF61FA">
          <w:rPr>
            <w:rStyle w:val="af2"/>
            <w:noProof/>
          </w:rPr>
          <w:t xml:space="preserve">2.2.1  </w:t>
        </w:r>
        <w:r w:rsidRPr="00DF61FA">
          <w:rPr>
            <w:rStyle w:val="af2"/>
            <w:noProof/>
          </w:rPr>
          <w:t>已有研究的启发与本题定位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21" w:history="1">
        <w:r w:rsidRPr="00DF61FA">
          <w:rPr>
            <w:rStyle w:val="af2"/>
            <w:noProof/>
          </w:rPr>
          <w:t xml:space="preserve">2.2.2  </w:t>
        </w:r>
        <w:r w:rsidRPr="00DF61FA">
          <w:rPr>
            <w:rStyle w:val="af2"/>
            <w:noProof/>
          </w:rPr>
          <w:t>需要重点解决的方法问题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597BC4" w:rsidRDefault="00597BC4">
      <w:pPr>
        <w:pStyle w:val="TOC1"/>
        <w:tabs>
          <w:tab w:val="right" w:leader="dot" w:pos="8495"/>
        </w:tabs>
        <w:rPr>
          <w:rFonts w:asciiTheme="minorHAnsi" w:eastAsiaTheme="minorEastAsia" w:hAnsiTheme="minorHAnsi" w:cstheme="minorBidi" w:hint="eastAsia"/>
          <w:noProof/>
          <w:sz w:val="22"/>
          <w14:ligatures w14:val="standardContextual"/>
        </w:rPr>
      </w:pPr>
      <w:hyperlink w:anchor="_Toc242490922" w:history="1">
        <w:r w:rsidRPr="00DF61FA">
          <w:rPr>
            <w:rStyle w:val="af2"/>
            <w:noProof/>
          </w:rPr>
          <w:t xml:space="preserve">3  </w:t>
        </w:r>
        <w:r w:rsidRPr="00DF61FA">
          <w:rPr>
            <w:rStyle w:val="af2"/>
            <w:noProof/>
          </w:rPr>
          <w:t>主要研究内容及研究方案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597BC4" w:rsidRDefault="00597BC4">
      <w:pPr>
        <w:pStyle w:val="TOC2"/>
        <w:tabs>
          <w:tab w:val="right" w:leader="dot" w:pos="8495"/>
        </w:tabs>
        <w:rPr>
          <w:rFonts w:asciiTheme="minorHAnsi" w:eastAsiaTheme="minorEastAsia" w:hAnsiTheme="minorHAnsi" w:cstheme="minorBidi" w:hint="eastAsia"/>
          <w:noProof/>
          <w:sz w:val="22"/>
          <w14:ligatures w14:val="standardContextual"/>
        </w:rPr>
      </w:pPr>
      <w:hyperlink w:anchor="_Toc242490923" w:history="1">
        <w:r w:rsidRPr="00DF61FA">
          <w:rPr>
            <w:rStyle w:val="af2"/>
            <w:noProof/>
          </w:rPr>
          <w:t xml:space="preserve">3.1  </w:t>
        </w:r>
        <w:r w:rsidRPr="00DF61FA">
          <w:rPr>
            <w:rStyle w:val="af2"/>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24" w:history="1">
        <w:r w:rsidRPr="00DF61FA">
          <w:rPr>
            <w:rStyle w:val="af2"/>
            <w:noProof/>
          </w:rPr>
          <w:t xml:space="preserve">3.1.1  </w:t>
        </w:r>
        <w:r w:rsidRPr="00DF61FA">
          <w:rPr>
            <w:rStyle w:val="af2"/>
            <w:noProof/>
          </w:rPr>
          <w:t>项目阶段与空间身份的建立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25" w:history="1">
        <w:r w:rsidRPr="00DF61FA">
          <w:rPr>
            <w:rStyle w:val="af2"/>
            <w:noProof/>
          </w:rPr>
          <w:t xml:space="preserve">3.1.2  </w:t>
        </w:r>
        <w:r w:rsidRPr="00DF61FA">
          <w:rPr>
            <w:rStyle w:val="af2"/>
            <w:noProof/>
          </w:rPr>
          <w:t>既有住宅价格与邻里暴露测量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26" w:history="1">
        <w:r w:rsidRPr="00DF61FA">
          <w:rPr>
            <w:rStyle w:val="af2"/>
            <w:noProof/>
          </w:rPr>
          <w:t xml:space="preserve">3.1.3  </w:t>
        </w:r>
        <w:r w:rsidRPr="00DF61FA">
          <w:rPr>
            <w:rStyle w:val="af2"/>
            <w:noProof/>
          </w:rPr>
          <w:t>理论假设与可证伪预期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597BC4" w:rsidRDefault="00597BC4">
      <w:pPr>
        <w:pStyle w:val="TOC2"/>
        <w:tabs>
          <w:tab w:val="right" w:leader="dot" w:pos="8495"/>
        </w:tabs>
        <w:rPr>
          <w:rFonts w:asciiTheme="minorHAnsi" w:eastAsiaTheme="minorEastAsia" w:hAnsiTheme="minorHAnsi" w:cstheme="minorBidi" w:hint="eastAsia"/>
          <w:noProof/>
          <w:sz w:val="22"/>
          <w14:ligatures w14:val="standardContextual"/>
        </w:rPr>
      </w:pPr>
      <w:hyperlink w:anchor="_Toc242490927" w:history="1">
        <w:r w:rsidRPr="00DF61FA">
          <w:rPr>
            <w:rStyle w:val="af2"/>
            <w:noProof/>
          </w:rPr>
          <w:t xml:space="preserve">3.2  </w:t>
        </w:r>
        <w:r w:rsidRPr="00DF61FA">
          <w:rPr>
            <w:rStyle w:val="af2"/>
            <w:noProof/>
          </w:rPr>
          <w:t>研究方案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28" w:history="1">
        <w:r w:rsidRPr="00DF61FA">
          <w:rPr>
            <w:rStyle w:val="af2"/>
            <w:noProof/>
          </w:rPr>
          <w:t xml:space="preserve">3.2.1  </w:t>
        </w:r>
        <w:r w:rsidRPr="00DF61FA">
          <w:rPr>
            <w:rStyle w:val="af2"/>
            <w:noProof/>
          </w:rPr>
          <w:t>数据组织与技术路线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29" w:history="1">
        <w:r w:rsidRPr="00DF61FA">
          <w:rPr>
            <w:rStyle w:val="af2"/>
            <w:noProof/>
          </w:rPr>
          <w:t xml:space="preserve">3.2.2  </w:t>
        </w:r>
        <w:r w:rsidRPr="00DF61FA">
          <w:rPr>
            <w:rStyle w:val="af2"/>
            <w:noProof/>
          </w:rPr>
          <w:t>基准方程与目标效应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30" w:history="1">
        <w:r w:rsidRPr="00DF61FA">
          <w:rPr>
            <w:rStyle w:val="af2"/>
            <w:noProof/>
          </w:rPr>
          <w:t xml:space="preserve">3.2.3  </w:t>
        </w:r>
        <w:r w:rsidRPr="00DF61FA">
          <w:rPr>
            <w:rStyle w:val="af2"/>
            <w:noProof/>
          </w:rPr>
          <w:t>图像表征与概念验证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31" w:history="1">
        <w:r w:rsidRPr="00DF61FA">
          <w:rPr>
            <w:rStyle w:val="af2"/>
            <w:noProof/>
          </w:rPr>
          <w:t xml:space="preserve">3.2.4  </w:t>
        </w:r>
        <w:r w:rsidRPr="00DF61FA">
          <w:rPr>
            <w:rStyle w:val="af2"/>
            <w:noProof/>
          </w:rPr>
          <w:t>稳健性与结果表达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597BC4" w:rsidRDefault="00597BC4">
      <w:pPr>
        <w:pStyle w:val="TOC2"/>
        <w:tabs>
          <w:tab w:val="right" w:leader="dot" w:pos="8495"/>
        </w:tabs>
        <w:rPr>
          <w:rFonts w:asciiTheme="minorHAnsi" w:eastAsiaTheme="minorEastAsia" w:hAnsiTheme="minorHAnsi" w:cstheme="minorBidi" w:hint="eastAsia"/>
          <w:noProof/>
          <w:sz w:val="22"/>
          <w14:ligatures w14:val="standardContextual"/>
        </w:rPr>
      </w:pPr>
      <w:hyperlink w:anchor="_Toc242490932" w:history="1">
        <w:r w:rsidRPr="00DF61FA">
          <w:rPr>
            <w:rStyle w:val="af2"/>
            <w:noProof/>
          </w:rPr>
          <w:t xml:space="preserve">3.3  </w:t>
        </w:r>
        <w:r w:rsidRPr="00DF61FA">
          <w:rPr>
            <w:rStyle w:val="af2"/>
            <w:noProof/>
          </w:rPr>
          <w:t>已完成的初步实证结果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33" w:history="1">
        <w:r w:rsidRPr="00DF61FA">
          <w:rPr>
            <w:rStyle w:val="af2"/>
            <w:noProof/>
          </w:rPr>
          <w:t xml:space="preserve">3.3.1  </w:t>
        </w:r>
        <w:r w:rsidRPr="00DF61FA">
          <w:rPr>
            <w:rStyle w:val="af2"/>
            <w:noProof/>
          </w:rPr>
          <w:t>分析样本与描述性统计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34" w:history="1">
        <w:r w:rsidRPr="00DF61FA">
          <w:rPr>
            <w:rStyle w:val="af2"/>
            <w:noProof/>
          </w:rPr>
          <w:t xml:space="preserve">3.3.2  </w:t>
        </w:r>
        <w:r w:rsidRPr="00DF61FA">
          <w:rPr>
            <w:rStyle w:val="af2"/>
            <w:noProof/>
          </w:rPr>
          <w:t>价格</w:t>
        </w:r>
        <w:r w:rsidRPr="00DF61FA">
          <w:rPr>
            <w:rStyle w:val="af2"/>
            <w:noProof/>
          </w:rPr>
          <w:t>DID</w:t>
        </w:r>
        <w:r w:rsidRPr="00DF61FA">
          <w:rPr>
            <w:rStyle w:val="af2"/>
            <w:noProof/>
          </w:rPr>
          <w:t>初步回归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35" w:history="1">
        <w:r w:rsidRPr="00DF61FA">
          <w:rPr>
            <w:rStyle w:val="af2"/>
            <w:noProof/>
          </w:rPr>
          <w:t xml:space="preserve">3.3.3  </w:t>
        </w:r>
        <w:r w:rsidRPr="00DF61FA">
          <w:rPr>
            <w:rStyle w:val="af2"/>
            <w:noProof/>
          </w:rPr>
          <w:t>动态走势与事件前检验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36" w:history="1">
        <w:r w:rsidRPr="00DF61FA">
          <w:rPr>
            <w:rStyle w:val="af2"/>
            <w:noProof/>
          </w:rPr>
          <w:t xml:space="preserve">3.3.4  </w:t>
        </w:r>
        <w:r w:rsidRPr="00DF61FA">
          <w:rPr>
            <w:rStyle w:val="af2"/>
            <w:noProof/>
          </w:rPr>
          <w:t>项目主回归与经济机制的衔接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37" w:history="1">
        <w:r w:rsidRPr="00DF61FA">
          <w:rPr>
            <w:rStyle w:val="af2"/>
            <w:noProof/>
          </w:rPr>
          <w:t xml:space="preserve">3.3.5  </w:t>
        </w:r>
        <w:r w:rsidRPr="00DF61FA">
          <w:rPr>
            <w:rStyle w:val="af2"/>
            <w:noProof/>
          </w:rPr>
          <w:t>布心村、水围村阶段回归与事件前检验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38" w:history="1">
        <w:r w:rsidRPr="00DF61FA">
          <w:rPr>
            <w:rStyle w:val="af2"/>
            <w:noProof/>
          </w:rPr>
          <w:t xml:space="preserve">3.3.6  </w:t>
        </w:r>
        <w:r w:rsidRPr="00DF61FA">
          <w:rPr>
            <w:rStyle w:val="af2"/>
            <w:noProof/>
          </w:rPr>
          <w:t>追加检验与空间识别进展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39" w:history="1">
        <w:r w:rsidRPr="00DF61FA">
          <w:rPr>
            <w:rStyle w:val="af2"/>
            <w:noProof/>
          </w:rPr>
          <w:t xml:space="preserve">3.3.7  </w:t>
        </w:r>
        <w:r w:rsidRPr="00DF61FA">
          <w:rPr>
            <w:rStyle w:val="af2"/>
            <w:noProof/>
          </w:rPr>
          <w:t>项目身份与服务供给证据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40" w:history="1">
        <w:r w:rsidRPr="00DF61FA">
          <w:rPr>
            <w:rStyle w:val="af2"/>
            <w:noProof/>
          </w:rPr>
          <w:t xml:space="preserve">3.3.8  </w:t>
        </w:r>
        <w:r w:rsidRPr="00DF61FA">
          <w:rPr>
            <w:rStyle w:val="af2"/>
            <w:noProof/>
          </w:rPr>
          <w:t>事件事项与成交时间支持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597BC4" w:rsidRDefault="00597BC4">
      <w:pPr>
        <w:pStyle w:val="TOC2"/>
        <w:tabs>
          <w:tab w:val="right" w:leader="dot" w:pos="8495"/>
        </w:tabs>
        <w:rPr>
          <w:rFonts w:asciiTheme="minorHAnsi" w:eastAsiaTheme="minorEastAsia" w:hAnsiTheme="minorHAnsi" w:cstheme="minorBidi" w:hint="eastAsia"/>
          <w:noProof/>
          <w:sz w:val="22"/>
          <w14:ligatures w14:val="standardContextual"/>
        </w:rPr>
      </w:pPr>
      <w:hyperlink w:anchor="_Toc242490941" w:history="1">
        <w:r w:rsidRPr="00DF61FA">
          <w:rPr>
            <w:rStyle w:val="af2"/>
            <w:noProof/>
          </w:rPr>
          <w:t xml:space="preserve">3.4  </w:t>
        </w:r>
        <w:r w:rsidRPr="00DF61FA">
          <w:rPr>
            <w:rStyle w:val="af2"/>
            <w:noProof/>
          </w:rPr>
          <w:t>实证扩展及后续研究工作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42" w:history="1">
        <w:r w:rsidRPr="00DF61FA">
          <w:rPr>
            <w:rStyle w:val="af2"/>
            <w:noProof/>
          </w:rPr>
          <w:t xml:space="preserve">3.4.1  </w:t>
        </w:r>
        <w:r w:rsidRPr="00DF61FA">
          <w:rPr>
            <w:rStyle w:val="af2"/>
            <w:noProof/>
          </w:rPr>
          <w:t>组间样本构成与季度支持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43" w:history="1">
        <w:r w:rsidRPr="00DF61FA">
          <w:rPr>
            <w:rStyle w:val="af2"/>
            <w:noProof/>
          </w:rPr>
          <w:t xml:space="preserve">3.4.2  </w:t>
        </w:r>
        <w:r w:rsidRPr="00DF61FA">
          <w:rPr>
            <w:rStyle w:val="af2"/>
            <w:noProof/>
          </w:rPr>
          <w:t>规格敏感性与异质性诊断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44" w:history="1">
        <w:r w:rsidRPr="00DF61FA">
          <w:rPr>
            <w:rStyle w:val="af2"/>
            <w:noProof/>
          </w:rPr>
          <w:t xml:space="preserve">3.4.3  </w:t>
        </w:r>
        <w:r w:rsidRPr="00DF61FA">
          <w:rPr>
            <w:rStyle w:val="af2"/>
            <w:noProof/>
          </w:rPr>
          <w:t>空间联系与图暴露的实现安排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45" w:history="1">
        <w:r w:rsidRPr="00DF61FA">
          <w:rPr>
            <w:rStyle w:val="af2"/>
            <w:noProof/>
          </w:rPr>
          <w:t xml:space="preserve">3.4.4  </w:t>
        </w:r>
        <w:r w:rsidRPr="00DF61FA">
          <w:rPr>
            <w:rStyle w:val="af2"/>
            <w:noProof/>
          </w:rPr>
          <w:t>项目</w:t>
        </w:r>
        <w:r w:rsidRPr="00DF61FA">
          <w:rPr>
            <w:rStyle w:val="af2"/>
            <w:noProof/>
          </w:rPr>
          <w:t>ATT</w:t>
        </w:r>
        <w:r w:rsidRPr="00DF61FA">
          <w:rPr>
            <w:rStyle w:val="af2"/>
            <w:noProof/>
          </w:rPr>
          <w:t>与长期机制的工作衔接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597BC4" w:rsidRDefault="00597BC4">
      <w:pPr>
        <w:pStyle w:val="TOC2"/>
        <w:tabs>
          <w:tab w:val="right" w:leader="dot" w:pos="8495"/>
        </w:tabs>
        <w:rPr>
          <w:rFonts w:asciiTheme="minorHAnsi" w:eastAsiaTheme="minorEastAsia" w:hAnsiTheme="minorHAnsi" w:cstheme="minorBidi" w:hint="eastAsia"/>
          <w:noProof/>
          <w:sz w:val="22"/>
          <w14:ligatures w14:val="standardContextual"/>
        </w:rPr>
      </w:pPr>
      <w:hyperlink w:anchor="_Toc242490946" w:history="1">
        <w:r w:rsidRPr="00DF61FA">
          <w:rPr>
            <w:rStyle w:val="af2"/>
            <w:noProof/>
          </w:rPr>
          <w:t xml:space="preserve">3.5  </w:t>
        </w:r>
        <w:r w:rsidRPr="00DF61FA">
          <w:rPr>
            <w:rStyle w:val="af2"/>
            <w:noProof/>
          </w:rPr>
          <w:t>空间测度模型与证据图表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47" w:history="1">
        <w:r w:rsidRPr="00DF61FA">
          <w:rPr>
            <w:rStyle w:val="af2"/>
            <w:noProof/>
          </w:rPr>
          <w:t xml:space="preserve">3.5.1  </w:t>
        </w:r>
        <w:r w:rsidRPr="00DF61FA">
          <w:rPr>
            <w:rStyle w:val="af2"/>
            <w:noProof/>
          </w:rPr>
          <w:t>项目阶段、空间参照与资料连接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48" w:history="1">
        <w:r w:rsidRPr="00DF61FA">
          <w:rPr>
            <w:rStyle w:val="af2"/>
            <w:noProof/>
          </w:rPr>
          <w:t xml:space="preserve">3.5.2  </w:t>
        </w:r>
        <w:r w:rsidRPr="00DF61FA">
          <w:rPr>
            <w:rStyle w:val="af2"/>
            <w:noProof/>
          </w:rPr>
          <w:t>长期资本化与预期净居住收益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49" w:history="1">
        <w:r w:rsidRPr="00DF61FA">
          <w:rPr>
            <w:rStyle w:val="af2"/>
            <w:noProof/>
          </w:rPr>
          <w:t xml:space="preserve">3.5.3  </w:t>
        </w:r>
        <w:r w:rsidRPr="00DF61FA">
          <w:rPr>
            <w:rStyle w:val="af2"/>
            <w:noProof/>
          </w:rPr>
          <w:t>边界距离、通行联系与重力基线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50" w:history="1">
        <w:r w:rsidRPr="00DF61FA">
          <w:rPr>
            <w:rStyle w:val="af2"/>
            <w:noProof/>
          </w:rPr>
          <w:t xml:space="preserve">3.5.4  </w:t>
        </w:r>
        <w:r w:rsidRPr="00DF61FA">
          <w:rPr>
            <w:rStyle w:val="af2"/>
            <w:noProof/>
          </w:rPr>
          <w:t>影像与多关系图暴露的独立校准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rsidR="00597BC4" w:rsidRDefault="00597BC4">
      <w:pPr>
        <w:pStyle w:val="TOC3"/>
        <w:tabs>
          <w:tab w:val="right" w:leader="dot" w:pos="8495"/>
        </w:tabs>
        <w:rPr>
          <w:rFonts w:asciiTheme="minorHAnsi" w:eastAsiaTheme="minorEastAsia" w:hAnsiTheme="minorHAnsi" w:cstheme="minorBidi" w:hint="eastAsia"/>
          <w:noProof/>
          <w:sz w:val="22"/>
          <w14:ligatures w14:val="standardContextual"/>
        </w:rPr>
      </w:pPr>
      <w:hyperlink w:anchor="_Toc242490951" w:history="1">
        <w:r w:rsidRPr="00DF61FA">
          <w:rPr>
            <w:rStyle w:val="af2"/>
            <w:noProof/>
          </w:rPr>
          <w:t xml:space="preserve">3.5.5  </w:t>
        </w:r>
        <w:r w:rsidRPr="00DF61FA">
          <w:rPr>
            <w:rStyle w:val="af2"/>
            <w:noProof/>
          </w:rPr>
          <w:t>基期暴露分层、队列</w:t>
        </w:r>
        <w:r w:rsidRPr="00DF61FA">
          <w:rPr>
            <w:rStyle w:val="af2"/>
            <w:noProof/>
          </w:rPr>
          <w:t>ATT</w:t>
        </w:r>
        <w:r w:rsidRPr="00DF61FA">
          <w:rPr>
            <w:rStyle w:val="af2"/>
            <w:noProof/>
          </w:rPr>
          <w:t>与动态汇总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rsidR="00597BC4" w:rsidRDefault="00597BC4">
      <w:pPr>
        <w:pStyle w:val="TOC1"/>
        <w:tabs>
          <w:tab w:val="right" w:leader="dot" w:pos="8495"/>
        </w:tabs>
        <w:rPr>
          <w:rFonts w:asciiTheme="minorHAnsi" w:eastAsiaTheme="minorEastAsia" w:hAnsiTheme="minorHAnsi" w:cstheme="minorBidi" w:hint="eastAsia"/>
          <w:noProof/>
          <w:sz w:val="22"/>
          <w14:ligatures w14:val="standardContextual"/>
        </w:rPr>
      </w:pPr>
      <w:hyperlink w:anchor="_Toc242490952" w:history="1">
        <w:r w:rsidRPr="00DF61FA">
          <w:rPr>
            <w:rStyle w:val="af2"/>
            <w:noProof/>
          </w:rPr>
          <w:t xml:space="preserve">4  </w:t>
        </w:r>
        <w:r w:rsidRPr="00DF61FA">
          <w:rPr>
            <w:rStyle w:val="af2"/>
            <w:noProof/>
          </w:rPr>
          <w:t>进度安排及预期目标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rsidR="00597BC4" w:rsidRDefault="00597BC4">
      <w:pPr>
        <w:pStyle w:val="TOC2"/>
        <w:tabs>
          <w:tab w:val="right" w:leader="dot" w:pos="8495"/>
        </w:tabs>
        <w:rPr>
          <w:rFonts w:asciiTheme="minorHAnsi" w:eastAsiaTheme="minorEastAsia" w:hAnsiTheme="minorHAnsi" w:cstheme="minorBidi" w:hint="eastAsia"/>
          <w:noProof/>
          <w:sz w:val="22"/>
          <w14:ligatures w14:val="standardContextual"/>
        </w:rPr>
      </w:pPr>
      <w:hyperlink w:anchor="_Toc242490953" w:history="1">
        <w:r w:rsidRPr="00DF61FA">
          <w:rPr>
            <w:rStyle w:val="af2"/>
            <w:noProof/>
          </w:rPr>
          <w:t xml:space="preserve">4.1  </w:t>
        </w:r>
        <w:r w:rsidRPr="00DF61FA">
          <w:rPr>
            <w:rStyle w:val="af2"/>
            <w:noProof/>
          </w:rPr>
          <w:t>进度安排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rsidR="00597BC4" w:rsidRDefault="00597BC4">
      <w:pPr>
        <w:pStyle w:val="TOC2"/>
        <w:tabs>
          <w:tab w:val="right" w:leader="dot" w:pos="8495"/>
        </w:tabs>
        <w:rPr>
          <w:rFonts w:asciiTheme="minorHAnsi" w:eastAsiaTheme="minorEastAsia" w:hAnsiTheme="minorHAnsi" w:cstheme="minorBidi" w:hint="eastAsia"/>
          <w:noProof/>
          <w:sz w:val="22"/>
          <w14:ligatures w14:val="standardContextual"/>
        </w:rPr>
      </w:pPr>
      <w:hyperlink w:anchor="_Toc242490954" w:history="1">
        <w:r w:rsidRPr="00DF61FA">
          <w:rPr>
            <w:rStyle w:val="af2"/>
            <w:noProof/>
          </w:rPr>
          <w:t xml:space="preserve">4.2  </w:t>
        </w:r>
        <w:r w:rsidRPr="00DF61FA">
          <w:rPr>
            <w:rStyle w:val="af2"/>
            <w:noProof/>
          </w:rPr>
          <w:t>预期目标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rsidR="00597BC4" w:rsidRDefault="00597BC4">
      <w:pPr>
        <w:pStyle w:val="TOC1"/>
        <w:tabs>
          <w:tab w:val="right" w:leader="dot" w:pos="8495"/>
        </w:tabs>
        <w:rPr>
          <w:rFonts w:asciiTheme="minorHAnsi" w:eastAsiaTheme="minorEastAsia" w:hAnsiTheme="minorHAnsi" w:cstheme="minorBidi" w:hint="eastAsia"/>
          <w:noProof/>
          <w:sz w:val="22"/>
          <w14:ligatures w14:val="standardContextual"/>
        </w:rPr>
      </w:pPr>
      <w:hyperlink w:anchor="_Toc242490955" w:history="1">
        <w:r w:rsidRPr="00DF61FA">
          <w:rPr>
            <w:rStyle w:val="af2"/>
            <w:noProof/>
          </w:rPr>
          <w:t xml:space="preserve">5  </w:t>
        </w:r>
        <w:r w:rsidRPr="00DF61FA">
          <w:rPr>
            <w:rStyle w:val="af2"/>
            <w:noProof/>
          </w:rPr>
          <w:t>已具备和所需的条件和经费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rsidR="00597BC4" w:rsidRDefault="00597BC4">
      <w:pPr>
        <w:pStyle w:val="TOC2"/>
        <w:tabs>
          <w:tab w:val="right" w:leader="dot" w:pos="8495"/>
        </w:tabs>
        <w:rPr>
          <w:rFonts w:asciiTheme="minorHAnsi" w:eastAsiaTheme="minorEastAsia" w:hAnsiTheme="minorHAnsi" w:cstheme="minorBidi" w:hint="eastAsia"/>
          <w:noProof/>
          <w:sz w:val="22"/>
          <w14:ligatures w14:val="standardContextual"/>
        </w:rPr>
      </w:pPr>
      <w:hyperlink w:anchor="_Toc242490956" w:history="1">
        <w:r w:rsidRPr="00DF61FA">
          <w:rPr>
            <w:rStyle w:val="af2"/>
            <w:noProof/>
          </w:rPr>
          <w:t xml:space="preserve">5.1  </w:t>
        </w:r>
        <w:r w:rsidRPr="00DF61FA">
          <w:rPr>
            <w:rStyle w:val="af2"/>
            <w:noProof/>
          </w:rPr>
          <w:t>实验室条件和经费保障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rsidR="00597BC4" w:rsidRDefault="00597BC4">
      <w:pPr>
        <w:pStyle w:val="TOC2"/>
        <w:tabs>
          <w:tab w:val="right" w:leader="dot" w:pos="8495"/>
        </w:tabs>
        <w:rPr>
          <w:rFonts w:asciiTheme="minorHAnsi" w:eastAsiaTheme="minorEastAsia" w:hAnsiTheme="minorHAnsi" w:cstheme="minorBidi" w:hint="eastAsia"/>
          <w:noProof/>
          <w:sz w:val="22"/>
          <w14:ligatures w14:val="standardContextual"/>
        </w:rPr>
      </w:pPr>
      <w:hyperlink w:anchor="_Toc242490957" w:history="1">
        <w:r w:rsidRPr="00DF61FA">
          <w:rPr>
            <w:rStyle w:val="af2"/>
            <w:noProof/>
          </w:rPr>
          <w:t xml:space="preserve">5.2  </w:t>
        </w:r>
        <w:r w:rsidRPr="00DF61FA">
          <w:rPr>
            <w:rStyle w:val="af2"/>
            <w:noProof/>
          </w:rPr>
          <w:t>所需条件和经费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rsidR="00597BC4" w:rsidRDefault="00597BC4">
      <w:pPr>
        <w:pStyle w:val="TOC1"/>
        <w:tabs>
          <w:tab w:val="right" w:leader="dot" w:pos="8495"/>
        </w:tabs>
        <w:rPr>
          <w:rFonts w:asciiTheme="minorHAnsi" w:eastAsiaTheme="minorEastAsia" w:hAnsiTheme="minorHAnsi" w:cstheme="minorBidi" w:hint="eastAsia"/>
          <w:noProof/>
          <w:sz w:val="22"/>
          <w14:ligatures w14:val="standardContextual"/>
        </w:rPr>
      </w:pPr>
      <w:hyperlink w:anchor="_Toc242490958" w:history="1">
        <w:r w:rsidRPr="00DF61FA">
          <w:rPr>
            <w:rStyle w:val="af2"/>
            <w:noProof/>
          </w:rPr>
          <w:t xml:space="preserve">6  </w:t>
        </w:r>
        <w:r w:rsidRPr="00DF61FA">
          <w:rPr>
            <w:rStyle w:val="af2"/>
            <w:noProof/>
          </w:rPr>
          <w:t>预计困难及解决方案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rsidR="00597BC4" w:rsidRDefault="00597BC4">
      <w:pPr>
        <w:pStyle w:val="TOC2"/>
        <w:tabs>
          <w:tab w:val="right" w:leader="dot" w:pos="8495"/>
        </w:tabs>
        <w:rPr>
          <w:rFonts w:asciiTheme="minorHAnsi" w:eastAsiaTheme="minorEastAsia" w:hAnsiTheme="minorHAnsi" w:cstheme="minorBidi" w:hint="eastAsia"/>
          <w:noProof/>
          <w:sz w:val="22"/>
          <w14:ligatures w14:val="standardContextual"/>
        </w:rPr>
      </w:pPr>
      <w:hyperlink w:anchor="_Toc242490959" w:history="1">
        <w:r w:rsidRPr="00DF61FA">
          <w:rPr>
            <w:rStyle w:val="af2"/>
            <w:noProof/>
          </w:rPr>
          <w:t xml:space="preserve">6.1  </w:t>
        </w:r>
        <w:r w:rsidRPr="00DF61FA">
          <w:rPr>
            <w:rStyle w:val="af2"/>
            <w:noProof/>
          </w:rPr>
          <w:t>预计困难与技术难点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rsidR="00597BC4" w:rsidRDefault="00597BC4">
      <w:pPr>
        <w:pStyle w:val="TOC2"/>
        <w:tabs>
          <w:tab w:val="right" w:leader="dot" w:pos="8495"/>
        </w:tabs>
        <w:rPr>
          <w:rFonts w:asciiTheme="minorHAnsi" w:eastAsiaTheme="minorEastAsia" w:hAnsiTheme="minorHAnsi" w:cstheme="minorBidi" w:hint="eastAsia"/>
          <w:noProof/>
          <w:sz w:val="22"/>
          <w14:ligatures w14:val="standardContextual"/>
        </w:rPr>
      </w:pPr>
      <w:hyperlink w:anchor="_Toc242490960" w:history="1">
        <w:r w:rsidRPr="00DF61FA">
          <w:rPr>
            <w:rStyle w:val="af2"/>
            <w:noProof/>
          </w:rPr>
          <w:t xml:space="preserve">6.2  </w:t>
        </w:r>
        <w:r w:rsidRPr="00DF61FA">
          <w:rPr>
            <w:rStyle w:val="af2"/>
            <w:noProof/>
          </w:rPr>
          <w:t>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rsidR="00597BC4" w:rsidRDefault="00597BC4">
      <w:pPr>
        <w:pStyle w:val="TOC1"/>
        <w:tabs>
          <w:tab w:val="right" w:leader="dot" w:pos="8495"/>
        </w:tabs>
        <w:rPr>
          <w:rFonts w:asciiTheme="minorHAnsi" w:eastAsiaTheme="minorEastAsia" w:hAnsiTheme="minorHAnsi" w:cstheme="minorBidi" w:hint="eastAsia"/>
          <w:noProof/>
          <w:sz w:val="22"/>
          <w14:ligatures w14:val="standardContextual"/>
        </w:rPr>
      </w:pPr>
      <w:hyperlink w:anchor="_Toc242490961" w:history="1">
        <w:r w:rsidRPr="00DF61FA">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_Toc242490961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rsidR="0021426D" w:rsidRDefault="00A661EE">
      <w:r>
        <w:fldChar w:fldCharType="end"/>
      </w:r>
    </w:p>
    <w:p w:rsidR="0021426D" w:rsidRDefault="0021426D">
      <w:pPr>
        <w:spacing w:line="20" w:lineRule="exact"/>
        <w:sectPr w:rsidR="0021426D">
          <w:headerReference w:type="default" r:id="rId8"/>
          <w:footerReference w:type="default" r:id="rId9"/>
          <w:pgSz w:w="11907" w:h="16840"/>
          <w:pgMar w:top="2154" w:right="1701" w:bottom="1701" w:left="1701" w:header="1361" w:footer="1304" w:gutter="0"/>
          <w:pgNumType w:start="1"/>
          <w:cols w:space="720"/>
          <w:docGrid w:linePitch="391" w:charSpace="1861"/>
        </w:sectPr>
      </w:pPr>
    </w:p>
    <w:p w:rsidR="0021426D" w:rsidRDefault="00A661EE">
      <w:pPr>
        <w:pStyle w:val="1"/>
        <w:keepNext/>
        <w:spacing w:before="240" w:after="192"/>
        <w:rPr>
          <w:rFonts w:hint="eastAsia"/>
        </w:rPr>
      </w:pPr>
      <w:bookmarkStart w:id="0" w:name="_Toc242490911"/>
      <w:r>
        <w:lastRenderedPageBreak/>
        <w:t xml:space="preserve">1  </w:t>
      </w:r>
      <w:r>
        <w:t>课题背景及研究的目的和意义</w:t>
      </w:r>
      <w:bookmarkEnd w:id="0"/>
    </w:p>
    <w:p w:rsidR="0021426D" w:rsidRDefault="00A661EE">
      <w:pPr>
        <w:pStyle w:val="2"/>
        <w:keepNext/>
        <w:spacing w:before="120" w:after="120"/>
        <w:jc w:val="left"/>
        <w:rPr>
          <w:rFonts w:hint="eastAsia"/>
        </w:rPr>
      </w:pPr>
      <w:bookmarkStart w:id="1" w:name="_Toc242490912"/>
      <w:r>
        <w:t xml:space="preserve">1.1  </w:t>
      </w:r>
      <w:r>
        <w:t>课题背景</w:t>
      </w:r>
      <w:bookmarkEnd w:id="1"/>
    </w:p>
    <w:p w:rsidR="0021426D" w:rsidRDefault="00A661EE">
      <w:pPr>
        <w:ind w:firstLine="480"/>
      </w:pPr>
      <w:r>
        <w:t>深圳的城市建设更加重视既有建成区的居住条件改善、公共服务完善与土地资源利用。对于老旧住宅区和城中村，拆除重建项目不仅改变项目内部的建筑形态，也会重新组织周边道路、公共服务、视觉环境和市场预期。居民购买住宅时支付的价格，既反映面积、楼龄等住房属性，也反映交通、邻里服务和未来居住收益。</w:t>
      </w:r>
      <w:r>
        <w:t>Rosen</w:t>
      </w:r>
      <w:r>
        <w:t>（</w:t>
      </w:r>
      <w:r>
        <w:t>1974</w:t>
      </w:r>
      <w:r>
        <w:t>）</w:t>
      </w:r>
      <w:r>
        <w:rPr>
          <w:sz w:val="18"/>
          <w:vertAlign w:val="superscript"/>
        </w:rPr>
        <w:t>［</w:t>
      </w:r>
      <w:r>
        <w:rPr>
          <w:sz w:val="18"/>
          <w:vertAlign w:val="superscript"/>
        </w:rPr>
        <w:t>1</w:t>
      </w:r>
      <w:r>
        <w:rPr>
          <w:sz w:val="18"/>
          <w:vertAlign w:val="superscript"/>
        </w:rPr>
        <w:t>］</w:t>
      </w:r>
      <w:r>
        <w:t>的特征价格理论为理解这些属性如何进入房价提供了基础。贾生华和温海珍（</w:t>
      </w:r>
      <w:r>
        <w:t>2004</w:t>
      </w:r>
      <w:r>
        <w:t>）</w:t>
      </w:r>
      <w:r>
        <w:rPr>
          <w:sz w:val="18"/>
          <w:vertAlign w:val="superscript"/>
        </w:rPr>
        <w:t>［</w:t>
      </w:r>
      <w:r>
        <w:rPr>
          <w:sz w:val="18"/>
          <w:vertAlign w:val="superscript"/>
        </w:rPr>
        <w:t>2</w:t>
      </w:r>
      <w:r>
        <w:rPr>
          <w:sz w:val="18"/>
          <w:vertAlign w:val="superscript"/>
        </w:rPr>
        <w:t>］</w:t>
      </w:r>
      <w:r>
        <w:t>梳理了特征价格模型在房地产研究中的应用，说明住宅结构、区位和邻里品质能够通过隐含价格进入住房价值。然而，更新项目往往经历公告、签约、拆除、施工、竣工、交付和配套开放等阶段，不同阶段带来的预期收益和现实成本并不相同。研究需要把这些阶段放入统一的事件时间，观察周边既有住宅价格如何随项目推进而变化。</w:t>
      </w:r>
    </w:p>
    <w:p w:rsidR="0021426D" w:rsidRDefault="00A661EE">
      <w:pPr>
        <w:ind w:firstLine="480"/>
      </w:pPr>
      <w:r>
        <w:t>深圳的更新过程还受到政府、开发主体和业主协调关系的影响。刘昕（</w:t>
      </w:r>
      <w:r>
        <w:t>2011</w:t>
      </w:r>
      <w:r>
        <w:t>）</w:t>
      </w:r>
      <w:r>
        <w:rPr>
          <w:sz w:val="18"/>
          <w:vertAlign w:val="superscript"/>
        </w:rPr>
        <w:t>［</w:t>
      </w:r>
      <w:r>
        <w:rPr>
          <w:sz w:val="18"/>
          <w:vertAlign w:val="superscript"/>
        </w:rPr>
        <w:t>3</w:t>
      </w:r>
      <w:r>
        <w:rPr>
          <w:sz w:val="18"/>
          <w:vertAlign w:val="superscript"/>
        </w:rPr>
        <w:t>］</w:t>
      </w:r>
      <w:r>
        <w:t>从三方角色关系分析深圳城市更新，指出项目实施机制与利益协调是理解更新过程的重要因素。城市更新的地块外部性已有实证基础。</w:t>
      </w:r>
      <w:r>
        <w:t>Collins and Shester</w:t>
      </w:r>
      <w:r>
        <w:t>（</w:t>
      </w:r>
      <w:r>
        <w:t>2013</w:t>
      </w:r>
      <w:r>
        <w:t>）</w:t>
      </w:r>
      <w:r>
        <w:rPr>
          <w:sz w:val="18"/>
          <w:vertAlign w:val="superscript"/>
        </w:rPr>
        <w:t>［</w:t>
      </w:r>
      <w:r>
        <w:rPr>
          <w:sz w:val="18"/>
          <w:vertAlign w:val="superscript"/>
        </w:rPr>
        <w:t>4</w:t>
      </w:r>
      <w:r>
        <w:rPr>
          <w:sz w:val="18"/>
          <w:vertAlign w:val="superscript"/>
        </w:rPr>
        <w:t>］</w:t>
      </w:r>
      <w:r>
        <w:t>研究美国清拆与城市更新的城市经济结果；李松林和刘修岩（</w:t>
      </w:r>
      <w:r>
        <w:t>2022</w:t>
      </w:r>
      <w:r>
        <w:t>）</w:t>
      </w:r>
      <w:r>
        <w:rPr>
          <w:sz w:val="18"/>
          <w:vertAlign w:val="superscript"/>
        </w:rPr>
        <w:t>［</w:t>
      </w:r>
      <w:r>
        <w:rPr>
          <w:sz w:val="18"/>
          <w:vertAlign w:val="superscript"/>
        </w:rPr>
        <w:t>5</w:t>
      </w:r>
      <w:r>
        <w:rPr>
          <w:sz w:val="18"/>
          <w:vertAlign w:val="superscript"/>
        </w:rPr>
        <w:t>］</w:t>
      </w:r>
      <w:r>
        <w:t>将深圳项目边界与住房交易、企业注册和人口数据匹配，考察周边住房市场及便利设施变化；</w:t>
      </w:r>
      <w:r>
        <w:t>Li et al.</w:t>
      </w:r>
      <w:r>
        <w:t>（</w:t>
      </w:r>
      <w:r>
        <w:t>2022</w:t>
      </w:r>
      <w:r>
        <w:t>）</w:t>
      </w:r>
      <w:r>
        <w:rPr>
          <w:sz w:val="18"/>
          <w:vertAlign w:val="superscript"/>
        </w:rPr>
        <w:t>［</w:t>
      </w:r>
      <w:r>
        <w:rPr>
          <w:sz w:val="18"/>
          <w:vertAlign w:val="superscript"/>
        </w:rPr>
        <w:t>6</w:t>
      </w:r>
      <w:r>
        <w:rPr>
          <w:sz w:val="18"/>
          <w:vertAlign w:val="superscript"/>
        </w:rPr>
        <w:t>］</w:t>
      </w:r>
      <w:r>
        <w:t>结合多源数据与机器学习分析深圳房价溢出。本题据此进一步关注项目从施工到建成和配套使用的阶段性价格路径，以及相同距离住宅的差异化响应。</w:t>
      </w:r>
    </w:p>
    <w:p w:rsidR="0021426D" w:rsidRDefault="00A661EE">
      <w:pPr>
        <w:ind w:firstLine="480"/>
      </w:pPr>
      <w:r>
        <w:t>本研究以更新项目作为事件来源，以项目边界外、事件发生前已经存在的普通二手商品住宅作为价格观察对象。项目内部新房、被拆除住房和回迁住房的身份分别登记，周边既有住宅则按照成交日期、空间位置和住房属性进入比较样本。深圳作为总体研究范围，罗湖木头龙作为首个数据链核验试点。最终样本覆盖由项目事件、交易窗口和空间匹配质量共同确定，研究据此形成可追溯的项目</w:t>
      </w:r>
      <w:r>
        <w:t>—</w:t>
      </w:r>
      <w:r>
        <w:t>住宅</w:t>
      </w:r>
      <w:r>
        <w:t>—</w:t>
      </w:r>
      <w:r>
        <w:t>时间数据。</w:t>
      </w:r>
    </w:p>
    <w:p w:rsidR="0021426D" w:rsidRDefault="00A661EE">
      <w:pPr>
        <w:pStyle w:val="2"/>
        <w:keepNext/>
        <w:spacing w:before="120" w:after="120"/>
        <w:jc w:val="left"/>
        <w:rPr>
          <w:rFonts w:hint="eastAsia"/>
        </w:rPr>
      </w:pPr>
      <w:bookmarkStart w:id="2" w:name="_Toc242490913"/>
      <w:r>
        <w:t xml:space="preserve">1.2  </w:t>
      </w:r>
      <w:r>
        <w:t>研究的目的和意义</w:t>
      </w:r>
      <w:bookmarkEnd w:id="2"/>
    </w:p>
    <w:p w:rsidR="0021426D" w:rsidRDefault="00A661EE">
      <w:pPr>
        <w:ind w:firstLine="480"/>
      </w:pPr>
      <w:r>
        <w:rPr>
          <w:rFonts w:hint="eastAsia"/>
        </w:rPr>
        <w:t>本研究以拆除重建的长期价格资本化为主线，围绕四个问题展开。第一，公告、施工、交付与配套开放在何时进入周边既有住宅价格，变化持续多久？第二，同一项目、相近边界距离内，道路通行、楼栋遮挡与服务准入不同的住宅，是否</w:t>
      </w:r>
      <w:r>
        <w:rPr>
          <w:rFonts w:hint="eastAsia"/>
        </w:rPr>
        <w:lastRenderedPageBreak/>
        <w:t>具有不同的价格路径？第三，配套收益兑现、净新增可替代供给及项目类型，如何解释这些差异？第四，重力与多模态图暴露在距离和普通</w:t>
      </w:r>
      <w:r>
        <w:rPr>
          <w:rFonts w:hint="eastAsia"/>
        </w:rPr>
        <w:t>GIS</w:t>
      </w:r>
      <w:r>
        <w:rPr>
          <w:rFonts w:hint="eastAsia"/>
        </w:rPr>
        <w:t>测度之外，能否提供可解释、可验证的增量？前两问界定时间与空间比较，第三问解释经济通道，第四问评价测量方法对该比较的贡献。</w:t>
      </w:r>
    </w:p>
    <w:p w:rsidR="0021426D" w:rsidRDefault="00A661EE">
      <w:pPr>
        <w:ind w:firstLine="480"/>
      </w:pPr>
      <w:r>
        <w:t>理论上，本研究把邻里环境资本化与更新实施过程连接起来，将市场预期、施工成本和服务使用分别放入事件时间，并从物理通行、视觉环境、功能服务和项目供给四个维度测量周边住宅的暴露程度。</w:t>
      </w:r>
      <w:r>
        <w:br/>
      </w:r>
      <w:r>
        <w:rPr>
          <w:rFonts w:hint="eastAsia"/>
        </w:rPr>
        <w:t xml:space="preserve">    </w:t>
      </w:r>
      <w:r>
        <w:t>实践上，研究结果可为施工影响缓释、公共配套开放时序和项目周边存量住房评估提供依据。价格变化还需要结合住房可负担性与居民迁移来解释，</w:t>
      </w:r>
      <w:r>
        <w:rPr>
          <w:rFonts w:hint="eastAsia"/>
        </w:rPr>
        <w:t>所以我的</w:t>
      </w:r>
      <w:r>
        <w:t>研究预期形成的是一条可复核的证据链和有明确适用范围的比较结论。</w:t>
      </w:r>
    </w:p>
    <w:p w:rsidR="0021426D" w:rsidRDefault="00A661EE">
      <w:pPr>
        <w:pStyle w:val="1"/>
        <w:keepNext/>
        <w:spacing w:before="240" w:after="192"/>
        <w:rPr>
          <w:rFonts w:hint="eastAsia"/>
        </w:rPr>
      </w:pPr>
      <w:bookmarkStart w:id="3" w:name="_Toc242490914"/>
      <w:r>
        <w:lastRenderedPageBreak/>
        <w:t xml:space="preserve">2  </w:t>
      </w:r>
      <w:r>
        <w:t>国内外研究现状及分析</w:t>
      </w:r>
      <w:bookmarkEnd w:id="3"/>
    </w:p>
    <w:p w:rsidR="0021426D" w:rsidRDefault="00A661EE">
      <w:pPr>
        <w:pStyle w:val="2"/>
        <w:keepNext/>
        <w:spacing w:before="120" w:after="120"/>
        <w:jc w:val="left"/>
        <w:rPr>
          <w:rFonts w:hint="eastAsia"/>
        </w:rPr>
      </w:pPr>
      <w:bookmarkStart w:id="4" w:name="_Toc242490915"/>
      <w:r>
        <w:t xml:space="preserve">2.1  </w:t>
      </w:r>
      <w:r>
        <w:t>国内外研究现状</w:t>
      </w:r>
      <w:bookmarkEnd w:id="4"/>
    </w:p>
    <w:p w:rsidR="0021426D" w:rsidRDefault="00A661EE">
      <w:pPr>
        <w:pStyle w:val="3"/>
        <w:keepNext/>
        <w:spacing w:before="120" w:after="120"/>
        <w:jc w:val="left"/>
      </w:pPr>
      <w:bookmarkStart w:id="5" w:name="_Toc242490916"/>
      <w:r>
        <w:t xml:space="preserve">2.1.1  </w:t>
      </w:r>
      <w:r>
        <w:t>拆除重建的阶段效应与空间外溢</w:t>
      </w:r>
      <w:bookmarkEnd w:id="5"/>
    </w:p>
    <w:p w:rsidR="0021426D" w:rsidRDefault="00A661EE">
      <w:pPr>
        <w:ind w:firstLine="480"/>
      </w:pPr>
      <w:r>
        <w:t>国内研究从开发模式和周边住宅外溢两个层面展开。司南等（</w:t>
      </w:r>
      <w:r>
        <w:t>2020</w:t>
      </w:r>
      <w:r>
        <w:t>）</w:t>
      </w:r>
      <w:r>
        <w:rPr>
          <w:sz w:val="18"/>
          <w:vertAlign w:val="superscript"/>
        </w:rPr>
        <w:t>［</w:t>
      </w:r>
      <w:r>
        <w:rPr>
          <w:sz w:val="18"/>
          <w:vertAlign w:val="superscript"/>
        </w:rPr>
        <w:t>7</w:t>
      </w:r>
      <w:r>
        <w:rPr>
          <w:sz w:val="18"/>
          <w:vertAlign w:val="superscript"/>
        </w:rPr>
        <w:t>］</w:t>
      </w:r>
      <w:r>
        <w:t>结合竞标地租模型与深圳商品住宅数据，分析不同土地开发模式对应的价格差异，说明存量开发会改变住房价格的空间分布。黄忠华等（</w:t>
      </w:r>
      <w:r>
        <w:t>2019</w:t>
      </w:r>
      <w:r>
        <w:t>）</w:t>
      </w:r>
      <w:r>
        <w:rPr>
          <w:sz w:val="18"/>
          <w:vertAlign w:val="superscript"/>
        </w:rPr>
        <w:t>［</w:t>
      </w:r>
      <w:r>
        <w:rPr>
          <w:sz w:val="18"/>
          <w:vertAlign w:val="superscript"/>
        </w:rPr>
        <w:t>8</w:t>
      </w:r>
      <w:r>
        <w:rPr>
          <w:sz w:val="18"/>
          <w:vertAlign w:val="superscript"/>
        </w:rPr>
        <w:t>］</w:t>
      </w:r>
      <w:r>
        <w:t>的杭州研究则把更新影响放入建设与运营阶段，并关注区位和距离差异。前者着重解释开发模式与商品住宅定价，后者更接近本题的周边住宅外部性，二者共同提示，应将项目内部的开发结果与周边存量住宅的价格响应分别测量。</w:t>
      </w:r>
    </w:p>
    <w:p w:rsidR="0021426D" w:rsidRDefault="00A661EE">
      <w:pPr>
        <w:ind w:firstLine="480"/>
      </w:pPr>
      <w:r>
        <w:t>Peng and Tian</w:t>
      </w:r>
      <w:r>
        <w:t>（</w:t>
      </w:r>
      <w:r>
        <w:t>2022</w:t>
      </w:r>
      <w:r>
        <w:t>）</w:t>
      </w:r>
      <w:r>
        <w:rPr>
          <w:sz w:val="18"/>
          <w:vertAlign w:val="superscript"/>
        </w:rPr>
        <w:t>［</w:t>
      </w:r>
      <w:r>
        <w:rPr>
          <w:sz w:val="18"/>
          <w:vertAlign w:val="superscript"/>
        </w:rPr>
        <w:t>9</w:t>
      </w:r>
      <w:r>
        <w:rPr>
          <w:sz w:val="18"/>
          <w:vertAlign w:val="superscript"/>
        </w:rPr>
        <w:t>］</w:t>
      </w:r>
      <w:r>
        <w:t>在杭州研究城中村拆除重建的多期近邻价格效应，区分旧建筑移除与重建配套变化。</w:t>
      </w:r>
      <w:r>
        <w:t>Wu and Deng</w:t>
      </w:r>
      <w:r>
        <w:t>（</w:t>
      </w:r>
      <w:r>
        <w:t>2024</w:t>
      </w:r>
      <w:r>
        <w:t>）</w:t>
      </w:r>
      <w:r>
        <w:rPr>
          <w:sz w:val="18"/>
          <w:vertAlign w:val="superscript"/>
        </w:rPr>
        <w:t>［</w:t>
      </w:r>
      <w:r>
        <w:rPr>
          <w:sz w:val="18"/>
          <w:vertAlign w:val="superscript"/>
        </w:rPr>
        <w:t>10</w:t>
      </w:r>
      <w:r>
        <w:rPr>
          <w:sz w:val="18"/>
          <w:vertAlign w:val="superscript"/>
        </w:rPr>
        <w:t>］</w:t>
      </w:r>
      <w:r>
        <w:t>以深圳宝安为研究场景，按更新类型以及公告、开工和完成阶段讨论周边房价变化。</w:t>
      </w:r>
      <w:r>
        <w:t>Qu et al.</w:t>
      </w:r>
      <w:r>
        <w:t>（</w:t>
      </w:r>
      <w:r>
        <w:t>2025</w:t>
      </w:r>
      <w:r>
        <w:t>）</w:t>
      </w:r>
      <w:r>
        <w:rPr>
          <w:sz w:val="18"/>
          <w:vertAlign w:val="superscript"/>
        </w:rPr>
        <w:t>［</w:t>
      </w:r>
      <w:r>
        <w:rPr>
          <w:sz w:val="18"/>
          <w:vertAlign w:val="superscript"/>
        </w:rPr>
        <w:t>11</w:t>
      </w:r>
      <w:r>
        <w:rPr>
          <w:sz w:val="18"/>
          <w:vertAlign w:val="superscript"/>
        </w:rPr>
        <w:t>］</w:t>
      </w:r>
      <w:r>
        <w:t>在郑州采用分期双重差分分析城中村改造前、中、后的市场外部性。这些研究说明阶段效应和类型差异具有研究价值。本研究进一步核定项目边界与事件日期，把真实成交住宅放入同一价格口径下比较，从而识别深圳两类项目的阶段性空间影响。</w:t>
      </w:r>
    </w:p>
    <w:p w:rsidR="0021426D" w:rsidRDefault="00A661EE">
      <w:pPr>
        <w:ind w:firstLine="480"/>
      </w:pPr>
      <w:r>
        <w:rPr>
          <w:rFonts w:hint="eastAsia"/>
        </w:rPr>
        <w:t>国内研究还讨论更新收益与供给竞争并存的机制。黄志基等（</w:t>
      </w:r>
      <w:r>
        <w:rPr>
          <w:rFonts w:hint="eastAsia"/>
        </w:rPr>
        <w:t>2024</w:t>
      </w:r>
      <w:r>
        <w:rPr>
          <w:rFonts w:hint="eastAsia"/>
        </w:rPr>
        <w:t>）</w:t>
      </w:r>
      <w:r>
        <w:rPr>
          <w:sz w:val="18"/>
          <w:vertAlign w:val="superscript"/>
        </w:rPr>
        <w:t>［</w:t>
      </w:r>
      <w:r>
        <w:rPr>
          <w:sz w:val="18"/>
          <w:vertAlign w:val="superscript"/>
        </w:rPr>
        <w:t>12</w:t>
      </w:r>
      <w:r>
        <w:rPr>
          <w:sz w:val="18"/>
          <w:vertAlign w:val="superscript"/>
        </w:rPr>
        <w:t>］</w:t>
      </w:r>
      <w:r>
        <w:rPr>
          <w:rFonts w:hint="eastAsia"/>
        </w:rPr>
        <w:t>以广东省“三旧”改造研究城市房价增长率，住房供给增加的作用获得相应实证支持，政府让利中介效应的统计证据较弱。城市层面的增长率结论，为本题分析供给通道提供启发；周边既有住宅的净效应还需要项目阶段与住房替代关系的证据。曾鹏等（</w:t>
      </w:r>
      <w:r>
        <w:rPr>
          <w:rFonts w:hint="eastAsia"/>
        </w:rPr>
        <w:t>2025</w:t>
      </w:r>
      <w:r>
        <w:rPr>
          <w:rFonts w:hint="eastAsia"/>
        </w:rPr>
        <w:t>）</w:t>
      </w:r>
      <w:r>
        <w:rPr>
          <w:sz w:val="18"/>
          <w:vertAlign w:val="superscript"/>
        </w:rPr>
        <w:t>［</w:t>
      </w:r>
      <w:r>
        <w:rPr>
          <w:sz w:val="18"/>
          <w:vertAlign w:val="superscript"/>
        </w:rPr>
        <w:t>13</w:t>
      </w:r>
      <w:r>
        <w:rPr>
          <w:sz w:val="18"/>
          <w:vertAlign w:val="superscript"/>
        </w:rPr>
        <w:t>］</w:t>
      </w:r>
      <w:r>
        <w:rPr>
          <w:rFonts w:hint="eastAsia"/>
        </w:rPr>
        <w:t>比较深圳三个城中村的多维空间价值租差与更新路径，提示更新收益与成本具有项目差异。本文据此分别记录配套、供给用途和基期环境，在项目窗口内检验动态价格响应。</w:t>
      </w:r>
    </w:p>
    <w:p w:rsidR="0021426D" w:rsidRDefault="00A661EE">
      <w:pPr>
        <w:ind w:firstLine="480"/>
      </w:pPr>
      <w:r>
        <w:t>项目阶段并非随机产生。</w:t>
      </w:r>
      <w:r>
        <w:t>Li et al.</w:t>
      </w:r>
      <w:r>
        <w:t>（</w:t>
      </w:r>
      <w:r>
        <w:t>2023</w:t>
      </w:r>
      <w:r>
        <w:t>）</w:t>
      </w:r>
      <w:r>
        <w:rPr>
          <w:sz w:val="18"/>
          <w:vertAlign w:val="superscript"/>
        </w:rPr>
        <w:t>［</w:t>
      </w:r>
      <w:r>
        <w:rPr>
          <w:sz w:val="18"/>
          <w:vertAlign w:val="superscript"/>
        </w:rPr>
        <w:t>14</w:t>
      </w:r>
      <w:r>
        <w:rPr>
          <w:sz w:val="18"/>
          <w:vertAlign w:val="superscript"/>
        </w:rPr>
        <w:t>］</w:t>
      </w:r>
      <w:r>
        <w:t>关于开发商等待与预售时机的研究表明，开发和入市行为会响应市场条件。本研究据此记录项目分期、停复工和预期形成过程，并把同期轨道交通、公共设施、学校政策和区域市场变化纳入项目档案与计量控制，考察价格变化究竟来自更新事件、既有趋势还是同时发生的城市变化。</w:t>
      </w:r>
    </w:p>
    <w:p w:rsidR="0021426D" w:rsidRDefault="00A661EE">
      <w:pPr>
        <w:pStyle w:val="3"/>
        <w:keepNext/>
        <w:spacing w:before="120" w:after="120"/>
        <w:jc w:val="left"/>
      </w:pPr>
      <w:bookmarkStart w:id="6" w:name="_Toc242490917"/>
      <w:r>
        <w:lastRenderedPageBreak/>
        <w:t xml:space="preserve">2.1.2  </w:t>
      </w:r>
      <w:r>
        <w:t>街景表征与邻里品质测量</w:t>
      </w:r>
      <w:bookmarkEnd w:id="6"/>
    </w:p>
    <w:p w:rsidR="0021426D" w:rsidRDefault="00A661EE">
      <w:pPr>
        <w:ind w:firstLine="480"/>
      </w:pPr>
      <w:r>
        <w:t>Law et al.</w:t>
      </w:r>
      <w:r>
        <w:t>（</w:t>
      </w:r>
      <w:r>
        <w:t>2019</w:t>
      </w:r>
      <w:r>
        <w:t>）</w:t>
      </w:r>
      <w:r>
        <w:rPr>
          <w:sz w:val="18"/>
          <w:vertAlign w:val="superscript"/>
        </w:rPr>
        <w:t>［</w:t>
      </w:r>
      <w:r>
        <w:rPr>
          <w:sz w:val="18"/>
          <w:vertAlign w:val="superscript"/>
        </w:rPr>
        <w:t>15</w:t>
      </w:r>
      <w:r>
        <w:rPr>
          <w:sz w:val="18"/>
          <w:vertAlign w:val="superscript"/>
        </w:rPr>
        <w:t>］</w:t>
      </w:r>
      <w:r>
        <w:t>结合街景、卫星图像与房屋属性开展价格预测，说明视觉信息能够补充传统住房特征。对本题而言，街景可记录围挡、人行通道、植被和建筑界面，遥感可记录地表覆盖与建设形态，两种观察尺度共同服务于邻里环境测量。研究将核对影像日期、采样方向和空间位置，使这些测量与成交观测处于同一时空框架，再构造具有明确经济含义的暴露指标。</w:t>
      </w:r>
    </w:p>
    <w:p w:rsidR="0021426D" w:rsidRDefault="00A661EE">
      <w:pPr>
        <w:ind w:firstLine="480"/>
      </w:pPr>
      <w:r>
        <w:rPr>
          <w:rFonts w:hint="eastAsia"/>
        </w:rPr>
        <w:t>继而，本文拟采用预训练视觉编码器提取街景表征，并通过本地人工标注验证围挡、植被和步行通道等概念。对于植被和建设用地等俯视环境，</w:t>
      </w:r>
      <w:r>
        <w:rPr>
          <w:rFonts w:hint="eastAsia"/>
        </w:rPr>
        <w:t>Brown et al.</w:t>
      </w:r>
      <w:r>
        <w:rPr>
          <w:rFonts w:hint="eastAsia"/>
        </w:rPr>
        <w:t>（</w:t>
      </w:r>
      <w:r>
        <w:rPr>
          <w:rFonts w:hint="eastAsia"/>
        </w:rPr>
        <w:t>2022</w:t>
      </w:r>
      <w:r>
        <w:rPr>
          <w:rFonts w:hint="eastAsia"/>
        </w:rPr>
        <w:t>）</w:t>
      </w:r>
      <w:r>
        <w:rPr>
          <w:sz w:val="18"/>
          <w:vertAlign w:val="superscript"/>
        </w:rPr>
        <w:t>［</w:t>
      </w:r>
      <w:r>
        <w:rPr>
          <w:sz w:val="18"/>
          <w:vertAlign w:val="superscript"/>
        </w:rPr>
        <w:t>16</w:t>
      </w:r>
      <w:r>
        <w:rPr>
          <w:sz w:val="18"/>
          <w:vertAlign w:val="superscript"/>
        </w:rPr>
        <w:t>］</w:t>
      </w:r>
      <w:r>
        <w:rPr>
          <w:rFonts w:hint="eastAsia"/>
        </w:rPr>
        <w:t>提供的</w:t>
      </w:r>
      <w:r>
        <w:rPr>
          <w:rFonts w:hint="eastAsia"/>
        </w:rPr>
        <w:t>Dynamic World</w:t>
      </w:r>
      <w:r>
        <w:rPr>
          <w:rFonts w:hint="eastAsia"/>
        </w:rPr>
        <w:t>产品可作为遥感测量来源。</w:t>
      </w:r>
      <w:r>
        <w:rPr>
          <w:rFonts w:hint="eastAsia"/>
        </w:rPr>
        <w:t>10</w:t>
      </w:r>
      <w:r>
        <w:rPr>
          <w:rFonts w:hint="eastAsia"/>
        </w:rPr>
        <w:t>米地表覆盖与街景绿视率具有不同的观察尺度，研究将按地点、年份和方向建立匹配索引，分别计算基期环境与跨期变化，再与住房价格面板连接。</w:t>
      </w:r>
    </w:p>
    <w:p w:rsidR="0021426D" w:rsidRDefault="00A661EE">
      <w:pPr>
        <w:pStyle w:val="3"/>
        <w:keepNext/>
        <w:spacing w:before="120" w:after="120"/>
        <w:jc w:val="left"/>
      </w:pPr>
      <w:bookmarkStart w:id="7" w:name="_Toc242490918"/>
      <w:r>
        <w:t xml:space="preserve">2.1.3  </w:t>
      </w:r>
      <w:r>
        <w:t>多期处理效应与识别方法</w:t>
      </w:r>
      <w:bookmarkEnd w:id="7"/>
    </w:p>
    <w:p w:rsidR="0021426D" w:rsidRDefault="00A661EE">
      <w:pPr>
        <w:ind w:firstLine="480"/>
      </w:pPr>
      <w:r>
        <w:t>Callaway and Sant’Anna</w:t>
      </w:r>
      <w:r>
        <w:t>（</w:t>
      </w:r>
      <w:r>
        <w:t>2021</w:t>
      </w:r>
      <w:r>
        <w:t>）</w:t>
      </w:r>
      <w:r>
        <w:rPr>
          <w:sz w:val="18"/>
          <w:vertAlign w:val="superscript"/>
        </w:rPr>
        <w:t>［</w:t>
      </w:r>
      <w:r>
        <w:rPr>
          <w:sz w:val="18"/>
          <w:vertAlign w:val="superscript"/>
        </w:rPr>
        <w:t>17</w:t>
      </w:r>
      <w:r>
        <w:rPr>
          <w:sz w:val="18"/>
          <w:vertAlign w:val="superscript"/>
        </w:rPr>
        <w:t>］</w:t>
      </w:r>
      <w:r>
        <w:t>将多时期、不同处理时点的效应表示为组别</w:t>
      </w:r>
      <w:r>
        <w:t>—</w:t>
      </w:r>
      <w:r>
        <w:t>时间平均处理效应；</w:t>
      </w:r>
      <w:r>
        <w:t>Sun and Abraham</w:t>
      </w:r>
      <w:r>
        <w:t>（</w:t>
      </w:r>
      <w:r>
        <w:t>2021</w:t>
      </w:r>
      <w:r>
        <w:t>）</w:t>
      </w:r>
      <w:r>
        <w:rPr>
          <w:sz w:val="18"/>
          <w:vertAlign w:val="superscript"/>
        </w:rPr>
        <w:t>［</w:t>
      </w:r>
      <w:r>
        <w:rPr>
          <w:sz w:val="18"/>
          <w:vertAlign w:val="superscript"/>
        </w:rPr>
        <w:t>18</w:t>
      </w:r>
      <w:r>
        <w:rPr>
          <w:sz w:val="18"/>
          <w:vertAlign w:val="superscript"/>
        </w:rPr>
        <w:t>］</w:t>
      </w:r>
      <w:r>
        <w:t>分析传统双向固定效应事件研究在处理效应异质性下的动态系数污染；</w:t>
      </w:r>
      <w:r>
        <w:t>Goodman</w:t>
      </w:r>
      <w:r>
        <w:t>－</w:t>
      </w:r>
      <w:r>
        <w:t>Bacon</w:t>
      </w:r>
      <w:r>
        <w:t>（</w:t>
      </w:r>
      <w:r>
        <w:t>2021</w:t>
      </w:r>
      <w:r>
        <w:t>）</w:t>
      </w:r>
      <w:r>
        <w:rPr>
          <w:sz w:val="18"/>
          <w:vertAlign w:val="superscript"/>
        </w:rPr>
        <w:t>［</w:t>
      </w:r>
      <w:r>
        <w:rPr>
          <w:sz w:val="18"/>
          <w:vertAlign w:val="superscript"/>
        </w:rPr>
        <w:t>19</w:t>
      </w:r>
      <w:r>
        <w:rPr>
          <w:sz w:val="18"/>
          <w:vertAlign w:val="superscript"/>
        </w:rPr>
        <w:t>］</w:t>
      </w:r>
      <w:r>
        <w:t>解释处理时点变化下的比较权重。这些研究要求先定义处理队列、比较对象和目标效应，再选择估计器。本题将根据项目首次可信事件构造队列，使用组别</w:t>
      </w:r>
      <w:r>
        <w:t>—</w:t>
      </w:r>
      <w:r>
        <w:t>时间</w:t>
      </w:r>
      <w:r>
        <w:t>ATT</w:t>
      </w:r>
      <w:r>
        <w:t>及事件时间汇总，呈现公告、施工和建成阶段的价格路径。</w:t>
      </w:r>
    </w:p>
    <w:p w:rsidR="0021426D" w:rsidRDefault="00A661EE">
      <w:pPr>
        <w:ind w:firstLine="480"/>
      </w:pPr>
      <w:r>
        <w:rPr>
          <w:rFonts w:hint="eastAsia"/>
        </w:rPr>
        <w:t>多项目在不同时间进入更新，处理效应又可能随阶段和住宅暴露变化，估计对象与比较权重因而需要明确。</w:t>
      </w:r>
      <w:r>
        <w:rPr>
          <w:rFonts w:hint="eastAsia"/>
        </w:rPr>
        <w:t>Roth et al.</w:t>
      </w:r>
      <w:r>
        <w:rPr>
          <w:rFonts w:hint="eastAsia"/>
        </w:rPr>
        <w:t>（</w:t>
      </w:r>
      <w:r>
        <w:rPr>
          <w:rFonts w:hint="eastAsia"/>
        </w:rPr>
        <w:t>2023</w:t>
      </w:r>
      <w:r>
        <w:rPr>
          <w:rFonts w:hint="eastAsia"/>
        </w:rPr>
        <w:t>）</w:t>
      </w:r>
      <w:r>
        <w:rPr>
          <w:sz w:val="18"/>
          <w:vertAlign w:val="superscript"/>
        </w:rPr>
        <w:t>［</w:t>
      </w:r>
      <w:r>
        <w:rPr>
          <w:sz w:val="18"/>
          <w:vertAlign w:val="superscript"/>
        </w:rPr>
        <w:t>20</w:t>
      </w:r>
      <w:r>
        <w:rPr>
          <w:sz w:val="18"/>
          <w:vertAlign w:val="superscript"/>
        </w:rPr>
        <w:t>］</w:t>
      </w:r>
      <w:r>
        <w:rPr>
          <w:rFonts w:hint="eastAsia"/>
        </w:rPr>
        <w:t>总结了现代双重差分的设计与推断。</w:t>
      </w:r>
      <w:r>
        <w:rPr>
          <w:rFonts w:hint="eastAsia"/>
        </w:rPr>
        <w:t>Rambachan and Roth</w:t>
      </w:r>
      <w:r>
        <w:rPr>
          <w:rFonts w:hint="eastAsia"/>
        </w:rPr>
        <w:t>（</w:t>
      </w:r>
      <w:r>
        <w:rPr>
          <w:rFonts w:hint="eastAsia"/>
        </w:rPr>
        <w:t>2023</w:t>
      </w:r>
      <w:r>
        <w:rPr>
          <w:rFonts w:hint="eastAsia"/>
        </w:rPr>
        <w:t>）</w:t>
      </w:r>
      <w:r>
        <w:rPr>
          <w:sz w:val="18"/>
          <w:vertAlign w:val="superscript"/>
        </w:rPr>
        <w:t>［</w:t>
      </w:r>
      <w:r>
        <w:rPr>
          <w:sz w:val="18"/>
          <w:vertAlign w:val="superscript"/>
        </w:rPr>
        <w:t>21</w:t>
      </w:r>
      <w:r>
        <w:rPr>
          <w:sz w:val="18"/>
          <w:vertAlign w:val="superscript"/>
        </w:rPr>
        <w:t>］</w:t>
      </w:r>
      <w:r>
        <w:rPr>
          <w:rFonts w:hint="eastAsia"/>
        </w:rPr>
        <w:t>提出平行趋势偏离下的稳健推断，</w:t>
      </w:r>
      <w:r>
        <w:rPr>
          <w:rFonts w:hint="eastAsia"/>
        </w:rPr>
        <w:t>Borusyak et al.</w:t>
      </w:r>
      <w:r>
        <w:rPr>
          <w:rFonts w:hint="eastAsia"/>
        </w:rPr>
        <w:t>（</w:t>
      </w:r>
      <w:r>
        <w:rPr>
          <w:rFonts w:hint="eastAsia"/>
        </w:rPr>
        <w:t>2024</w:t>
      </w:r>
      <w:r>
        <w:rPr>
          <w:rFonts w:hint="eastAsia"/>
        </w:rPr>
        <w:t>）</w:t>
      </w:r>
      <w:r>
        <w:rPr>
          <w:sz w:val="18"/>
          <w:vertAlign w:val="superscript"/>
        </w:rPr>
        <w:t>［</w:t>
      </w:r>
      <w:r>
        <w:rPr>
          <w:sz w:val="18"/>
          <w:vertAlign w:val="superscript"/>
        </w:rPr>
        <w:t>22</w:t>
      </w:r>
      <w:r>
        <w:rPr>
          <w:sz w:val="18"/>
          <w:vertAlign w:val="superscript"/>
        </w:rPr>
        <w:t>］</w:t>
      </w:r>
      <w:r>
        <w:rPr>
          <w:rFonts w:hint="eastAsia"/>
        </w:rPr>
        <w:t>研究异质处理效应下的插补估计。本文将事件前走势、提前预期、共同支持和其他项目暴露纳入设计，并报告动态区间、有效项目数和成交支持。</w:t>
      </w:r>
    </w:p>
    <w:p w:rsidR="0021426D" w:rsidRDefault="00A661EE">
      <w:pPr>
        <w:pStyle w:val="2"/>
        <w:keepNext/>
        <w:spacing w:before="120" w:after="120"/>
        <w:jc w:val="left"/>
        <w:rPr>
          <w:rFonts w:hint="eastAsia"/>
        </w:rPr>
      </w:pPr>
      <w:bookmarkStart w:id="8" w:name="_Toc242490919"/>
      <w:r>
        <w:t xml:space="preserve">2.2  </w:t>
      </w:r>
      <w:r>
        <w:t>国内外文献综述及简析</w:t>
      </w:r>
      <w:bookmarkEnd w:id="8"/>
    </w:p>
    <w:p w:rsidR="0021426D" w:rsidRDefault="00A661EE">
      <w:pPr>
        <w:pStyle w:val="3"/>
        <w:keepNext/>
        <w:spacing w:before="120" w:after="120"/>
        <w:jc w:val="left"/>
      </w:pPr>
      <w:bookmarkStart w:id="9" w:name="_Toc242490920"/>
      <w:r>
        <w:t xml:space="preserve">2.2.1  </w:t>
      </w:r>
      <w:r>
        <w:t>已有研究的启发与本题定位</w:t>
      </w:r>
      <w:bookmarkEnd w:id="9"/>
    </w:p>
    <w:p w:rsidR="0021426D" w:rsidRDefault="00A661EE">
      <w:pPr>
        <w:ind w:firstLine="480"/>
      </w:pPr>
      <w:r>
        <w:t>已有中文研究已形成从深圳实施机制、商品住宅定价到周边住宅外溢的研究脉络，国际文献进一步发展了阶段效应分析和多期处理效应估计。</w:t>
      </w:r>
      <w:r>
        <w:rPr>
          <w:rFonts w:hint="eastAsia"/>
        </w:rPr>
        <w:t>我们</w:t>
      </w:r>
      <w:r>
        <w:t>将两类证据连接到深圳老旧住宅区与城中村拆除重建项目，以周边既有住宅的真实成交为结果，以分期红线和项目事件为比较起点，在统一价格口径下估计动态路径。空间与影像测量进一步刻画同距离住宅的通行、视域和设施可达性差异，使阶段价</w:t>
      </w:r>
      <w:r>
        <w:lastRenderedPageBreak/>
        <w:t>格变化能够与具体的邻里收益、施工扰动和新增供给相联系。</w:t>
      </w:r>
    </w:p>
    <w:p w:rsidR="0021426D" w:rsidRDefault="00A661EE">
      <w:pPr>
        <w:pStyle w:val="3"/>
        <w:keepNext/>
        <w:spacing w:before="120" w:after="120"/>
        <w:jc w:val="left"/>
      </w:pPr>
      <w:bookmarkStart w:id="10" w:name="_Toc242490921"/>
      <w:r>
        <w:t xml:space="preserve">2.2.2  </w:t>
      </w:r>
      <w:r>
        <w:t>需要重点解决的方法问题</w:t>
      </w:r>
      <w:bookmarkEnd w:id="10"/>
    </w:p>
    <w:p w:rsidR="0021426D" w:rsidRDefault="00A661EE">
      <w:pPr>
        <w:ind w:firstLine="480"/>
      </w:pPr>
      <w:r>
        <w:t>邻近住宅交易可能存在空间相关，</w:t>
      </w:r>
      <w:r>
        <w:t>Conley</w:t>
      </w:r>
      <w:r>
        <w:t>（</w:t>
      </w:r>
      <w:r>
        <w:t>1999</w:t>
      </w:r>
      <w:r>
        <w:t>）</w:t>
      </w:r>
      <w:r>
        <w:rPr>
          <w:sz w:val="18"/>
          <w:vertAlign w:val="superscript"/>
        </w:rPr>
        <w:t>［</w:t>
      </w:r>
      <w:r>
        <w:rPr>
          <w:sz w:val="18"/>
          <w:vertAlign w:val="superscript"/>
        </w:rPr>
        <w:t>23</w:t>
      </w:r>
      <w:r>
        <w:rPr>
          <w:sz w:val="18"/>
          <w:vertAlign w:val="superscript"/>
        </w:rPr>
        <w:t>］</w:t>
      </w:r>
      <w:r>
        <w:t>的空间相关推断研究为处理这种依赖提供了方法基础。影像向量的降维和特征标准化将结合项目留出验证实施，住宅属性、基期环境和同期政策则按其经济含义进入比较结构。项目事件与比较样本决定价格效应的识别，图学习改善空间联系的测量，二者共同服务于同距离住宅价格响应差异的解释。</w:t>
      </w:r>
    </w:p>
    <w:p w:rsidR="0021426D" w:rsidRDefault="00A661EE">
      <w:pPr>
        <w:ind w:firstLineChars="200" w:firstLine="480"/>
      </w:pPr>
      <w:r>
        <w:t>Butts</w:t>
      </w:r>
      <w:r>
        <w:t>（</w:t>
      </w:r>
      <w:r>
        <w:t>2023</w:t>
      </w:r>
      <w:r>
        <w:t>）</w:t>
      </w:r>
      <w:r>
        <w:rPr>
          <w:sz w:val="18"/>
          <w:vertAlign w:val="superscript"/>
        </w:rPr>
        <w:t>［</w:t>
      </w:r>
      <w:r>
        <w:rPr>
          <w:sz w:val="18"/>
          <w:vertAlign w:val="superscript"/>
        </w:rPr>
        <w:t>24</w:t>
      </w:r>
      <w:r>
        <w:rPr>
          <w:sz w:val="18"/>
          <w:vertAlign w:val="superscript"/>
        </w:rPr>
        <w:t>］</w:t>
      </w:r>
      <w:r>
        <w:t>讨论地理微观数据中近环与远环比较及影响随距离变化时的识别问题。</w:t>
      </w:r>
      <w:r>
        <w:t>Roth</w:t>
      </w:r>
      <w:r>
        <w:t>（</w:t>
      </w:r>
      <w:r>
        <w:t>2022</w:t>
      </w:r>
      <w:r>
        <w:t>）</w:t>
      </w:r>
      <w:r>
        <w:rPr>
          <w:sz w:val="18"/>
          <w:vertAlign w:val="superscript"/>
        </w:rPr>
        <w:t>［</w:t>
      </w:r>
      <w:r>
        <w:rPr>
          <w:sz w:val="18"/>
          <w:vertAlign w:val="superscript"/>
        </w:rPr>
        <w:t>25</w:t>
      </w:r>
      <w:r>
        <w:rPr>
          <w:sz w:val="18"/>
          <w:vertAlign w:val="superscript"/>
        </w:rPr>
        <w:t>］</w:t>
      </w:r>
      <w:r>
        <w:t>说明事件前检验的低功效以及通过预检后再作估计可能造成的推断偏差。本文据此以可追溯事件和基期住宅身份组织比较，同时检查远环受其他项目影响、交易构成及相对走势。拟形成的可解释测量框架先计算边界距离和实际通行联系，再以独立环境标签校准影像与图表征，最后比较同项目、同距离住宅的动态价格响应。测量增量与价格效应分别由各自的数据检验。</w:t>
      </w:r>
    </w:p>
    <w:p w:rsidR="0021426D" w:rsidRDefault="00A661EE">
      <w:pPr>
        <w:ind w:firstLine="480"/>
      </w:pPr>
      <w:r>
        <w:t>Rossi-Hansberg et al.</w:t>
      </w:r>
      <w:r>
        <w:t>（</w:t>
      </w:r>
      <w:r>
        <w:t>2010</w:t>
      </w:r>
      <w:r>
        <w:t>）</w:t>
      </w:r>
      <w:r>
        <w:rPr>
          <w:sz w:val="18"/>
          <w:vertAlign w:val="superscript"/>
        </w:rPr>
        <w:t>［</w:t>
      </w:r>
      <w:r>
        <w:rPr>
          <w:sz w:val="18"/>
          <w:vertAlign w:val="superscript"/>
        </w:rPr>
        <w:t>26</w:t>
      </w:r>
      <w:r>
        <w:rPr>
          <w:sz w:val="18"/>
          <w:vertAlign w:val="superscript"/>
        </w:rPr>
        <w:t>］</w:t>
      </w:r>
      <w:r>
        <w:t>为住房外部性与空间衰减提供研究基础。</w:t>
      </w:r>
      <w:r>
        <w:t>Santos Silva and Tenreyro</w:t>
      </w:r>
      <w:r>
        <w:t>（</w:t>
      </w:r>
      <w:r>
        <w:t>2006</w:t>
      </w:r>
      <w:r>
        <w:t>）</w:t>
      </w:r>
      <w:r>
        <w:rPr>
          <w:sz w:val="18"/>
          <w:vertAlign w:val="superscript"/>
        </w:rPr>
        <w:t>［</w:t>
      </w:r>
      <w:r>
        <w:rPr>
          <w:sz w:val="18"/>
          <w:vertAlign w:val="superscript"/>
        </w:rPr>
        <w:t>27</w:t>
      </w:r>
      <w:r>
        <w:rPr>
          <w:sz w:val="18"/>
          <w:vertAlign w:val="superscript"/>
        </w:rPr>
        <w:t>］</w:t>
      </w:r>
      <w:r>
        <w:t>说明异方差下对数线性重力估计的局限，并提出直接拟合非负条件均值的</w:t>
      </w:r>
      <w:r>
        <w:t>PPML</w:t>
      </w:r>
      <w:r>
        <w:t>。</w:t>
      </w:r>
      <w:r>
        <w:t>Schlichtkrull et al.</w:t>
      </w:r>
      <w:r>
        <w:t>（</w:t>
      </w:r>
      <w:r>
        <w:t>2018</w:t>
      </w:r>
      <w:r>
        <w:t>）</w:t>
      </w:r>
      <w:r>
        <w:rPr>
          <w:sz w:val="18"/>
          <w:vertAlign w:val="superscript"/>
        </w:rPr>
        <w:t>［</w:t>
      </w:r>
      <w:r>
        <w:rPr>
          <w:sz w:val="18"/>
          <w:vertAlign w:val="superscript"/>
        </w:rPr>
        <w:t>28</w:t>
      </w:r>
      <w:r>
        <w:rPr>
          <w:sz w:val="18"/>
          <w:vertAlign w:val="superscript"/>
        </w:rPr>
        <w:t>］</w:t>
      </w:r>
      <w:r>
        <w:t>提出关系型图卷积，按不同边关系聚合节点信息。本文分别借鉴外部性框架、联系估计和多关系表征，空间测度的具体经济含义仍需深圳本地标签和价格比较核验。</w:t>
      </w:r>
    </w:p>
    <w:p w:rsidR="0021426D" w:rsidRDefault="00A661EE">
      <w:pPr>
        <w:keepNext/>
        <w:jc w:val="center"/>
      </w:pPr>
      <w:r>
        <w:rPr>
          <w:noProof/>
        </w:rPr>
        <w:lastRenderedPageBreak/>
        <w:drawing>
          <wp:inline distT="0" distB="0" distL="0" distR="0">
            <wp:extent cx="5327650" cy="3441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0"/>
                    <a:stretch>
                      <a:fillRect/>
                    </a:stretch>
                  </pic:blipFill>
                  <pic:spPr>
                    <a:xfrm>
                      <a:off x="0" y="0"/>
                      <a:ext cx="5328000" cy="3442099"/>
                    </a:xfrm>
                    <a:prstGeom prst="rect">
                      <a:avLst/>
                    </a:prstGeom>
                  </pic:spPr>
                </pic:pic>
              </a:graphicData>
            </a:graphic>
          </wp:inline>
        </w:drawing>
      </w:r>
    </w:p>
    <w:p w:rsidR="0021426D" w:rsidRDefault="00A661EE">
      <w:pPr>
        <w:keepNext/>
        <w:jc w:val="center"/>
      </w:pPr>
      <w:r>
        <w:t>图</w:t>
      </w:r>
      <w:r>
        <w:t xml:space="preserve">2-1  </w:t>
      </w:r>
      <w:r>
        <w:t>资本化、空间测量与动态识别的文献演进</w:t>
      </w:r>
    </w:p>
    <w:p w:rsidR="0021426D" w:rsidRDefault="00A661EE">
      <w:pPr>
        <w:ind w:firstLine="480"/>
      </w:pPr>
      <w:r>
        <w:t>三条文献线分别为价格机制、空间测量和动态识别提供依据。期刊与会议性质分别列示；本文拟检验的是固定基期联系能否解释同项目、同距离住宅的后续价格差异，增量由独立测量、项目留出及动态比较评价。</w:t>
      </w:r>
    </w:p>
    <w:p w:rsidR="0021426D" w:rsidRDefault="00A661EE">
      <w:pPr>
        <w:pStyle w:val="1"/>
        <w:keepNext/>
        <w:spacing w:before="240" w:after="192"/>
        <w:rPr>
          <w:rFonts w:hint="eastAsia"/>
        </w:rPr>
      </w:pPr>
      <w:bookmarkStart w:id="11" w:name="_Toc242490922"/>
      <w:r>
        <w:lastRenderedPageBreak/>
        <w:t xml:space="preserve">3  </w:t>
      </w:r>
      <w:r>
        <w:t>主要研究内容及研究方案</w:t>
      </w:r>
      <w:bookmarkEnd w:id="11"/>
    </w:p>
    <w:p w:rsidR="0021426D" w:rsidRDefault="00A661EE">
      <w:pPr>
        <w:pStyle w:val="2"/>
        <w:keepNext/>
        <w:spacing w:before="120" w:after="120"/>
        <w:jc w:val="left"/>
        <w:rPr>
          <w:rFonts w:hint="eastAsia"/>
        </w:rPr>
      </w:pPr>
      <w:bookmarkStart w:id="12" w:name="_Toc242490923"/>
      <w:r>
        <w:t xml:space="preserve">3.1  </w:t>
      </w:r>
      <w:r>
        <w:t>研究内容</w:t>
      </w:r>
      <w:bookmarkEnd w:id="12"/>
    </w:p>
    <w:p w:rsidR="0021426D" w:rsidRDefault="00A661EE">
      <w:pPr>
        <w:pStyle w:val="3"/>
        <w:keepNext/>
        <w:spacing w:before="120" w:after="120"/>
        <w:jc w:val="left"/>
      </w:pPr>
      <w:bookmarkStart w:id="13" w:name="_Toc242490924"/>
      <w:r>
        <w:t xml:space="preserve">3.1.1  </w:t>
      </w:r>
      <w:r>
        <w:t>项目阶段与空间身份的建立</w:t>
      </w:r>
      <w:bookmarkEnd w:id="13"/>
    </w:p>
    <w:p w:rsidR="0021426D" w:rsidRDefault="00A661EE">
      <w:pPr>
        <w:ind w:firstLine="480"/>
      </w:pPr>
      <w:r>
        <w:t>首先</w:t>
      </w:r>
      <w:r>
        <w:rPr>
          <w:rFonts w:hint="eastAsia"/>
        </w:rPr>
        <w:t>需要</w:t>
      </w:r>
      <w:r>
        <w:t>建立项目、分期、宗地和边界版本之间的对应关系。每条事件记录包含项目标识、事件类型、实际或计划属性、日期精度、资料发布日期和来源文件。规划批准日、施工许可日和实际施工日分别保存，并根据证据质量标注日、月或季度精度。老旧住宅区与城中村按照更新前用途、建筑形态和权属背景分类，研究对象由拆除重建事件和周边既有住宅共同确定。</w:t>
      </w:r>
    </w:p>
    <w:p w:rsidR="0021426D" w:rsidRDefault="00A661EE">
      <w:pPr>
        <w:pStyle w:val="3"/>
        <w:keepNext/>
        <w:spacing w:before="120" w:after="120"/>
        <w:jc w:val="left"/>
      </w:pPr>
      <w:bookmarkStart w:id="14" w:name="_Toc242490925"/>
      <w:r>
        <w:t xml:space="preserve">3.1.2  </w:t>
      </w:r>
      <w:r>
        <w:t>既有住宅价格与邻里暴露测量</w:t>
      </w:r>
      <w:bookmarkEnd w:id="14"/>
    </w:p>
    <w:p w:rsidR="0021426D" w:rsidRDefault="00A661EE">
      <w:pPr>
        <w:ind w:firstLine="480"/>
      </w:pPr>
      <w:r>
        <w:rPr>
          <w:rFonts w:hint="eastAsia"/>
        </w:rPr>
        <w:t>在项目身份明确以后，价格观察需要回到事件前已经存在的住宅。逐笔成交记录中的小区标识、交易时间、总价、面积、户型、楼层和建成年份共同确定住房身份及品质，成交单价对数作为主要结果，成交套数和房屋构成用于辅助判断样本变化。住宅与分期范围连接后，研究再根据各期观察密度选择交易层面的重复截面或小区季度统计。值得注意的是，直线距离相近的住宅可能具有不同的道路穿越、入口和视域条件。因而，空间资料还需统一坐标与采集时间，基期联系由事件前可核验的信息确定，后续环境变化则用于解释收益兑现。</w:t>
      </w:r>
    </w:p>
    <w:p w:rsidR="0021426D" w:rsidRDefault="00A661EE">
      <w:pPr>
        <w:pStyle w:val="3"/>
        <w:keepNext/>
        <w:spacing w:before="120" w:after="120"/>
        <w:jc w:val="left"/>
      </w:pPr>
      <w:bookmarkStart w:id="15" w:name="_Toc242490926"/>
      <w:r>
        <w:t xml:space="preserve">3.1.3  </w:t>
      </w:r>
      <w:r>
        <w:t>理论假设与可证伪预期</w:t>
      </w:r>
      <w:bookmarkEnd w:id="15"/>
    </w:p>
    <w:p w:rsidR="0021426D" w:rsidRDefault="00A661EE">
      <w:pPr>
        <w:ind w:firstLine="480"/>
      </w:pPr>
      <w:r>
        <w:t>H1</w:t>
      </w:r>
      <w:r>
        <w:t>（配套改善与长期资本化）：在住房品质、供给竞争与共同市场条件相近时，服务可达性改善更大的周边既有住宅，实际开放后的相对价格表现更强，且可能持续至较长观察窗口。购房者对未来服务与交通收益的预期可以在公告和建设阶段进入价格；开放、准入和容量兑现则改变预期的可信程度。研究分别记录方案公布与实际开放，通过基期服务条件和事件时间的交互检验提前资本化及后续兑现。</w:t>
      </w:r>
    </w:p>
    <w:p w:rsidR="0021426D" w:rsidRDefault="00A661EE">
      <w:pPr>
        <w:ind w:firstLine="480"/>
      </w:pPr>
      <w:r>
        <w:t>H2</w:t>
      </w:r>
      <w:r>
        <w:t>（净新增可替代供给竞争）：在配套收益及其他条件相近时，可交易、可替代的净新增住房供给越大，周边既有住宅相对价格表现越弱。供给以拆除量、新增量、产权与市场准入核定，商品住宅、安置住房、人才保障住房和商务公寓分别记录。预售改变可预期的替代选择，交付改变可实际使用的供给，研究按两个阶段比较动态路径。</w:t>
      </w:r>
    </w:p>
    <w:p w:rsidR="0021426D" w:rsidRDefault="00A661EE">
      <w:pPr>
        <w:ind w:firstLine="480"/>
      </w:pPr>
      <w:r>
        <w:t>H3</w:t>
      </w:r>
      <w:r>
        <w:t>（类型、距离与实施状态异质性）：老旧住宅区与城中村在基期形态、权</w:t>
      </w:r>
      <w:r>
        <w:lastRenderedPageBreak/>
        <w:t>属安排、拆建规模和配套结构上的差异，以及距离档内的通行与视域差异，对应不同的价格响应幅度和持续期。只完成拆除、待重建、施工、停复工和已建成开放的项目，按可核验的实际状态解释事件路径。项目类型和暴露在基期确定，方向差异由估计判断。</w:t>
      </w:r>
    </w:p>
    <w:p w:rsidR="0021426D" w:rsidRDefault="00A661EE">
      <w:pPr>
        <w:ind w:firstLine="480"/>
      </w:pPr>
      <w:r>
        <w:t>施工扰动与长期更新收益需要分别考察。住宅购买具有较高交易成本，买方可能更重视未来多年的交通与公共服务收益，因此有限施工期的不便未必主导长期价格路径，但不能据此预先断定施工对价格没有影响。施工持续时间、停复工、长期通行阻隔及项目完成的不确定性，都可能改变当前预期。本文以长期服务收益和供给竞争为主线，在事件时间与处理前暴露的交互比较中补充考察施工阶段的相对差异，并观察其在后续阶段是否消退。租户的调整周期通常较短，可能对即时环境更敏感；这一比较作为有租赁资料支持时的拓展，不由现有住宅成交数据直接推断。</w:t>
      </w:r>
    </w:p>
    <w:p w:rsidR="0021426D" w:rsidRDefault="00A661EE">
      <w:pPr>
        <w:pStyle w:val="2"/>
        <w:keepNext/>
        <w:spacing w:before="120" w:after="120"/>
        <w:jc w:val="left"/>
        <w:rPr>
          <w:rFonts w:hint="eastAsia"/>
        </w:rPr>
      </w:pPr>
      <w:bookmarkStart w:id="16" w:name="_Toc242490927"/>
      <w:r>
        <w:t xml:space="preserve">3.2  </w:t>
      </w:r>
      <w:r>
        <w:t>研究方案</w:t>
      </w:r>
      <w:bookmarkEnd w:id="16"/>
    </w:p>
    <w:p w:rsidR="0021426D" w:rsidRDefault="00A661EE">
      <w:pPr>
        <w:pStyle w:val="3"/>
        <w:keepNext/>
        <w:spacing w:before="120" w:after="120"/>
        <w:jc w:val="left"/>
      </w:pPr>
      <w:bookmarkStart w:id="17" w:name="_Toc242490928"/>
      <w:r>
        <w:t xml:space="preserve">3.2.1  </w:t>
      </w:r>
      <w:r>
        <w:t>数据组织与技术路线</w:t>
      </w:r>
      <w:bookmarkEnd w:id="17"/>
    </w:p>
    <w:p w:rsidR="0021426D" w:rsidRDefault="00A661EE">
      <w:pPr>
        <w:ind w:firstLine="480"/>
      </w:pPr>
      <w:r>
        <w:t>技术路线依次连接档案取证、空间匹配、多模态测量、队列识别与稳健性分析。项目表负责事件与边界，住宅表负责交易及结构属性，暴露表负责小区</w:t>
      </w:r>
      <w:r>
        <w:t>—</w:t>
      </w:r>
      <w:r>
        <w:t>项目关系。所有连接保留原始标识、坐标系、来源路径和匹配状态。遥感像素、街景图片与模型中间结果独立保存，技术路线表按照</w:t>
      </w:r>
      <w:r>
        <w:t>“</w:t>
      </w:r>
      <w:r>
        <w:t>输入</w:t>
      </w:r>
      <w:r>
        <w:t>—</w:t>
      </w:r>
      <w:r>
        <w:t>核验</w:t>
      </w:r>
      <w:r>
        <w:t>—</w:t>
      </w:r>
      <w:r>
        <w:t>测量</w:t>
      </w:r>
      <w:r>
        <w:t>—</w:t>
      </w:r>
      <w:r>
        <w:t>识别</w:t>
      </w:r>
      <w:r>
        <w:t>—</w:t>
      </w:r>
      <w:r>
        <w:t>验证</w:t>
      </w:r>
      <w:r>
        <w:t>”</w:t>
      </w:r>
      <w:r>
        <w:t>的顺序组织，数据连接见表</w:t>
      </w:r>
      <w:r>
        <w:t>3-1</w:t>
      </w:r>
      <w:r>
        <w:t>，整体研究路线见图</w:t>
      </w:r>
      <w:r>
        <w:t>3-1</w:t>
      </w:r>
      <w:r>
        <w:t>。</w:t>
      </w:r>
    </w:p>
    <w:p w:rsidR="0021426D" w:rsidRDefault="00A661EE">
      <w:pPr>
        <w:keepNext/>
        <w:jc w:val="center"/>
      </w:pPr>
      <w:r>
        <w:t>表</w:t>
      </w:r>
      <w:r>
        <w:t xml:space="preserve">3-1  </w:t>
      </w:r>
      <w:r>
        <w:t>项目阶段与多模态邻里测量技术路线</w:t>
      </w:r>
    </w:p>
    <w:tbl>
      <w:tblPr>
        <w:tblStyle w:val="af"/>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6803"/>
      </w:tblGrid>
      <w:tr w:rsidR="0021426D">
        <w:trPr>
          <w:cantSplit/>
          <w:tblHeader/>
          <w:jc w:val="center"/>
        </w:trPr>
        <w:tc>
          <w:tcPr>
            <w:tcW w:w="1701"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rPr>
              <w:t>输入层</w:t>
            </w:r>
          </w:p>
        </w:tc>
        <w:tc>
          <w:tcPr>
            <w:tcW w:w="6803"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rPr>
              <w:t>项目档案、成交记录、历史影像与路网</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核验层</w:t>
            </w:r>
          </w:p>
        </w:tc>
        <w:tc>
          <w:tcPr>
            <w:tcW w:w="6803"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项目分期、空间身份、价格口径、时间窗口</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测量层</w:t>
            </w:r>
          </w:p>
        </w:tc>
        <w:tc>
          <w:tcPr>
            <w:tcW w:w="6803"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边界距离、视觉概念、通行与服务可达性</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识别层</w:t>
            </w:r>
          </w:p>
        </w:tc>
        <w:tc>
          <w:tcPr>
            <w:tcW w:w="6803"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队列</w:t>
            </w:r>
            <w:r>
              <w:rPr>
                <w:sz w:val="21"/>
              </w:rPr>
              <w:t>ATT</w:t>
            </w:r>
            <w:r>
              <w:rPr>
                <w:sz w:val="21"/>
              </w:rPr>
              <w:t>、事件时间、比较组与空间污染</w:t>
            </w:r>
          </w:p>
        </w:tc>
      </w:tr>
      <w:tr w:rsidR="0021426D">
        <w:trPr>
          <w:cantSplit/>
          <w:jc w:val="center"/>
        </w:trPr>
        <w:tc>
          <w:tcPr>
            <w:tcW w:w="1701"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rPr>
              <w:t>验证层</w:t>
            </w:r>
          </w:p>
        </w:tc>
        <w:tc>
          <w:tcPr>
            <w:tcW w:w="6803"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rPr>
              <w:t>前趋势、构成变化、误差敏感性与复现</w:t>
            </w:r>
          </w:p>
        </w:tc>
      </w:tr>
    </w:tbl>
    <w:p w:rsidR="0021426D" w:rsidRDefault="00A661EE">
      <w:pPr>
        <w:keepNext/>
        <w:jc w:val="center"/>
      </w:pPr>
      <w:r>
        <w:rPr>
          <w:noProof/>
        </w:rPr>
        <w:lastRenderedPageBreak/>
        <w:drawing>
          <wp:inline distT="0" distB="0" distL="0" distR="0">
            <wp:extent cx="5399405" cy="7375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400000" cy="7375610"/>
                    </a:xfrm>
                    <a:prstGeom prst="rect">
                      <a:avLst/>
                    </a:prstGeom>
                  </pic:spPr>
                </pic:pic>
              </a:graphicData>
            </a:graphic>
          </wp:inline>
        </w:drawing>
      </w:r>
    </w:p>
    <w:p w:rsidR="0021426D" w:rsidRDefault="00A661EE">
      <w:pPr>
        <w:jc w:val="center"/>
      </w:pPr>
      <w:r>
        <w:t>图</w:t>
      </w:r>
      <w:r>
        <w:t xml:space="preserve">3-1  </w:t>
      </w:r>
      <w:r>
        <w:t>研究技术路线</w:t>
      </w:r>
    </w:p>
    <w:p w:rsidR="0021426D" w:rsidRDefault="00A661EE">
      <w:pPr>
        <w:ind w:firstLine="480"/>
      </w:pPr>
      <w:r>
        <w:rPr>
          <w:rFonts w:hint="eastAsia"/>
        </w:rPr>
        <w:t>目前</w:t>
      </w:r>
      <w:r>
        <w:t>原始成交文件包含</w:t>
      </w:r>
      <w:r>
        <w:t>139514</w:t>
      </w:r>
      <w:r>
        <w:t>条记录，日期覆盖</w:t>
      </w:r>
      <w:r>
        <w:t>2010</w:t>
      </w:r>
      <w:r>
        <w:t>年</w:t>
      </w:r>
      <w:r>
        <w:t>1</w:t>
      </w:r>
      <w:r>
        <w:t>月</w:t>
      </w:r>
      <w:r>
        <w:t>1</w:t>
      </w:r>
      <w:r>
        <w:t>日至</w:t>
      </w:r>
      <w:r>
        <w:t>2024</w:t>
      </w:r>
      <w:r>
        <w:t>年</w:t>
      </w:r>
      <w:r>
        <w:t>4</w:t>
      </w:r>
      <w:r>
        <w:t>月</w:t>
      </w:r>
      <w:r>
        <w:t>25</w:t>
      </w:r>
      <w:r>
        <w:t>日。按普通住宅、商品房权属、有效日期与房龄、正价格与面积、电梯信</w:t>
      </w:r>
      <w:r>
        <w:lastRenderedPageBreak/>
        <w:t>息及总价与单价一致性核验后，罗湖形成</w:t>
      </w:r>
      <w:r>
        <w:t>16199</w:t>
      </w:r>
      <w:r>
        <w:t>笔成交、</w:t>
      </w:r>
      <w:r>
        <w:t>621</w:t>
      </w:r>
      <w:r>
        <w:t>个小区。现有实证使用</w:t>
      </w:r>
      <w:r>
        <w:t>2017—2023</w:t>
      </w:r>
      <w:r>
        <w:t>年窗口，保留过渡期时为</w:t>
      </w:r>
      <w:r>
        <w:t>11231</w:t>
      </w:r>
      <w:r>
        <w:t>笔、</w:t>
      </w:r>
      <w:r>
        <w:t>610</w:t>
      </w:r>
      <w:r>
        <w:t>个小区，排除</w:t>
      </w:r>
      <w:r>
        <w:t>2020</w:t>
      </w:r>
      <w:r>
        <w:t>年第一季度后为</w:t>
      </w:r>
      <w:r>
        <w:t>10867</w:t>
      </w:r>
      <w:r>
        <w:t>笔、</w:t>
      </w:r>
      <w:r>
        <w:t>607</w:t>
      </w:r>
      <w:r>
        <w:t>个小区。</w:t>
      </w:r>
      <w:r>
        <w:t>2024</w:t>
      </w:r>
      <w:r>
        <w:t>年罗湖区另有</w:t>
      </w:r>
      <w:r>
        <w:t>510</w:t>
      </w:r>
      <w:r>
        <w:t>条原始记录，其住宅属性和价格一致性尚待沿用相同口径清理；该年记录只覆盖至</w:t>
      </w:r>
      <w:r>
        <w:t>4</w:t>
      </w:r>
      <w:r>
        <w:t>月，年度覆盖仍需补充。</w:t>
      </w:r>
    </w:p>
    <w:p w:rsidR="0021426D" w:rsidRDefault="00A661EE">
      <w:pPr>
        <w:pStyle w:val="3"/>
        <w:keepNext/>
        <w:spacing w:before="120" w:after="120"/>
        <w:jc w:val="left"/>
      </w:pPr>
      <w:bookmarkStart w:id="18" w:name="_Toc242490929"/>
      <w:r>
        <w:t xml:space="preserve">3.2.2  </w:t>
      </w:r>
      <w:r>
        <w:t>基准方程与目标效应</w:t>
      </w:r>
      <w:bookmarkEnd w:id="18"/>
    </w:p>
    <w:p w:rsidR="0021426D" w:rsidRDefault="00A661EE">
      <w:pPr>
        <w:ind w:firstLine="480"/>
      </w:pPr>
      <w:r>
        <w:t>对于项目栈</w:t>
      </w:r>
      <w:r>
        <w:rPr>
          <w:i/>
        </w:rPr>
        <w:t>j</w:t>
      </w:r>
      <w:r>
        <w:t>中的住房</w:t>
      </w:r>
      <w:r>
        <w:rPr>
          <w:i/>
        </w:rPr>
        <w:t>h</w:t>
      </w:r>
      <w:r>
        <w:t>、小区</w:t>
      </w:r>
      <w:r>
        <w:rPr>
          <w:i/>
        </w:rPr>
        <w:t>i</w:t>
      </w:r>
      <w:r>
        <w:t>和日历时期</w:t>
      </w:r>
      <w:r>
        <w:rPr>
          <w:i/>
        </w:rPr>
        <w:t>t</w:t>
      </w:r>
      <w:r>
        <w:t>，下面的方程用于说明比较结构。住宅成交单价对数是结果变量，住房结构属性进入控制项，项目阶段与处理前暴露共同刻画动态价格响应。</w:t>
      </w:r>
    </w:p>
    <w:p w:rsidR="0021426D" w:rsidRDefault="00A661EE">
      <w:pPr>
        <w:tabs>
          <w:tab w:val="center" w:pos="4252"/>
          <w:tab w:val="right" w:pos="8504"/>
        </w:tabs>
        <w:jc w:val="left"/>
      </w:pPr>
      <w:r>
        <w:tab/>
      </w:r>
      <m:oMath>
        <m:r>
          <m:rPr>
            <m:sty m:val="p"/>
          </m:rPr>
          <w:rPr>
            <w:rFonts w:ascii="Cambria Math" w:hAnsi="Cambria Math"/>
            <w:sz w:val="22"/>
          </w:rPr>
          <m:t xml:space="preserve">ln </m:t>
        </m:r>
        <m:sSub>
          <m:sSubPr>
            <m:ctrlPr>
              <w:rPr>
                <w:rFonts w:ascii="Cambria Math" w:hAnsi="Cambria Math"/>
              </w:rPr>
            </m:ctrlPr>
          </m:sSubPr>
          <m:e>
            <m:r>
              <w:rPr>
                <w:rFonts w:ascii="Cambria Math" w:hAnsi="Cambria Math"/>
                <w:sz w:val="22"/>
              </w:rPr>
              <m:t>P</m:t>
            </m:r>
          </m:e>
          <m:sub>
            <m:r>
              <w:rPr>
                <w:rFonts w:ascii="Cambria Math" w:hAnsi="Cambria Math"/>
                <w:sz w:val="22"/>
              </w:rPr>
              <m:t>h</m:t>
            </m:r>
            <m:r>
              <w:rPr>
                <w:rFonts w:ascii="Cambria Math" w:hAnsi="Cambria Math"/>
                <w:sz w:val="22"/>
              </w:rPr>
              <m:t>ijt</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α</m:t>
            </m:r>
          </m:e>
          <m:sub>
            <m:r>
              <w:rPr>
                <w:rFonts w:ascii="Cambria Math" w:hAnsi="Cambria Math"/>
                <w:sz w:val="22"/>
              </w:rPr>
              <m:t>ij</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λ</m:t>
            </m:r>
          </m:e>
          <m:sub>
            <m:r>
              <w:rPr>
                <w:rFonts w:ascii="Cambria Math" w:hAnsi="Cambria Math"/>
                <w:sz w:val="22"/>
              </w:rPr>
              <m:t>jt</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X</m:t>
            </m:r>
          </m:e>
          <m:sub>
            <m:r>
              <w:rPr>
                <w:rFonts w:ascii="Cambria Math" w:hAnsi="Cambria Math"/>
                <w:sz w:val="22"/>
              </w:rPr>
              <m:t>h</m:t>
            </m:r>
            <m:r>
              <w:rPr>
                <w:rFonts w:ascii="Cambria Math" w:hAnsi="Cambria Math"/>
                <w:sz w:val="22"/>
              </w:rPr>
              <m:t>it</m:t>
            </m:r>
          </m:sub>
        </m:sSub>
        <m:r>
          <m:rPr>
            <m:sty m:val="p"/>
          </m:rPr>
          <w:rPr>
            <w:rFonts w:ascii="Cambria Math" w:hAnsi="Cambria Math"/>
            <w:sz w:val="22"/>
          </w:rPr>
          <m:t>'</m:t>
        </m:r>
        <m:r>
          <w:rPr>
            <w:rFonts w:ascii="Cambria Math" w:hAnsi="Cambria Math"/>
            <w:sz w:val="22"/>
          </w:rPr>
          <m:t>γ</m:t>
        </m:r>
        <m:r>
          <m:rPr>
            <m:sty m:val="p"/>
          </m:rPr>
          <w:rPr>
            <w:rFonts w:ascii="Cambria Math" w:hAnsi="Cambria Math"/>
            <w:sz w:val="22"/>
          </w:rPr>
          <m:t>+</m:t>
        </m:r>
        <m:nary>
          <m:naryPr>
            <m:chr m:val="∑"/>
            <m:limLoc m:val="subSup"/>
            <m:supHide m:val="1"/>
            <m:ctrlPr>
              <w:rPr>
                <w:rFonts w:ascii="Cambria Math" w:hAnsi="Cambria Math"/>
              </w:rPr>
            </m:ctrlPr>
          </m:naryPr>
          <m:sub>
            <m:r>
              <w:rPr>
                <w:rFonts w:ascii="Cambria Math" w:hAnsi="Cambria Math"/>
                <w:sz w:val="22"/>
              </w:rPr>
              <m:t>k</m:t>
            </m:r>
            <m:r>
              <m:rPr>
                <m:sty m:val="p"/>
              </m:rPr>
              <w:rPr>
                <w:rFonts w:ascii="Cambria Math" w:hAnsi="Cambria Math"/>
                <w:sz w:val="22"/>
              </w:rPr>
              <m:t>≠-1</m:t>
            </m:r>
          </m:sub>
          <m:sup/>
          <m:e>
            <m:sSub>
              <m:sSubPr>
                <m:ctrlPr>
                  <w:rPr>
                    <w:rFonts w:ascii="Cambria Math" w:hAnsi="Cambria Math"/>
                  </w:rPr>
                </m:ctrlPr>
              </m:sSubPr>
              <m:e>
                <m:r>
                  <w:rPr>
                    <w:rFonts w:ascii="Cambria Math" w:hAnsi="Cambria Math"/>
                    <w:sz w:val="22"/>
                  </w:rPr>
                  <m:t>β</m:t>
                </m:r>
              </m:e>
              <m:sub>
                <m:r>
                  <w:rPr>
                    <w:rFonts w:ascii="Cambria Math" w:hAnsi="Cambria Math"/>
                    <w:sz w:val="22"/>
                  </w:rPr>
                  <m:t>k</m:t>
                </m:r>
              </m:sub>
            </m:sSub>
            <m:sSub>
              <m:sSubPr>
                <m:ctrlPr>
                  <w:rPr>
                    <w:rFonts w:ascii="Cambria Math" w:hAnsi="Cambria Math"/>
                  </w:rPr>
                </m:ctrlPr>
              </m:sSubPr>
              <m:e>
                <m:r>
                  <w:rPr>
                    <w:rFonts w:ascii="Cambria Math" w:hAnsi="Cambria Math"/>
                    <w:sz w:val="22"/>
                  </w:rPr>
                  <m:t>N</m:t>
                </m:r>
              </m:e>
              <m:sub>
                <m:r>
                  <w:rPr>
                    <w:rFonts w:ascii="Cambria Math" w:hAnsi="Cambria Math"/>
                    <w:sz w:val="22"/>
                  </w:rPr>
                  <m:t>ij</m:t>
                </m:r>
              </m:sub>
            </m:sSub>
            <m:r>
              <m:rPr>
                <m:sty m:val="p"/>
              </m:rPr>
              <w:rPr>
                <w:rFonts w:ascii="Cambria Math" w:hAnsi="Cambria Math"/>
                <w:sz w:val="22"/>
              </w:rPr>
              <m:t>I(</m:t>
            </m:r>
            <m:r>
              <w:rPr>
                <w:rFonts w:ascii="Cambria Math" w:hAnsi="Cambria Math"/>
                <w:sz w:val="22"/>
              </w:rPr>
              <m:t>t</m:t>
            </m:r>
            <m:r>
              <m:rPr>
                <m:sty m:val="p"/>
              </m:rPr>
              <w:rPr>
                <w:rFonts w:ascii="Cambria Math" w:hAnsi="Cambria Math"/>
                <w:sz w:val="22"/>
              </w:rPr>
              <m:t>-</m:t>
            </m:r>
            <m:sSub>
              <m:sSubPr>
                <m:ctrlPr>
                  <w:rPr>
                    <w:rFonts w:ascii="Cambria Math" w:hAnsi="Cambria Math"/>
                  </w:rPr>
                </m:ctrlPr>
              </m:sSubPr>
              <m:e>
                <m:r>
                  <w:rPr>
                    <w:rFonts w:ascii="Cambria Math" w:hAnsi="Cambria Math"/>
                    <w:sz w:val="22"/>
                  </w:rPr>
                  <m:t>G</m:t>
                </m:r>
              </m:e>
              <m:sub>
                <m:r>
                  <w:rPr>
                    <w:rFonts w:ascii="Cambria Math" w:hAnsi="Cambria Math"/>
                    <w:sz w:val="22"/>
                  </w:rPr>
                  <m:t>j</m:t>
                </m:r>
              </m:sub>
            </m:sSub>
            <m:r>
              <m:rPr>
                <m:sty m:val="p"/>
              </m:rPr>
              <w:rPr>
                <w:rFonts w:ascii="Cambria Math" w:hAnsi="Cambria Math"/>
                <w:sz w:val="22"/>
              </w:rPr>
              <m:t>=</m:t>
            </m:r>
            <m:r>
              <w:rPr>
                <w:rFonts w:ascii="Cambria Math" w:hAnsi="Cambria Math"/>
                <w:sz w:val="22"/>
              </w:rPr>
              <m:t>k</m:t>
            </m:r>
            <m:r>
              <m:rPr>
                <m:sty m:val="p"/>
              </m:rPr>
              <w:rPr>
                <w:rFonts w:ascii="Cambria Math" w:hAnsi="Cambria Math"/>
                <w:sz w:val="22"/>
              </w:rPr>
              <m:t>)</m:t>
            </m:r>
          </m:e>
        </m:nary>
        <m:r>
          <m:rPr>
            <m:sty m:val="p"/>
          </m:rPr>
          <w:rPr>
            <w:rFonts w:ascii="Cambria Math" w:hAnsi="Cambria Math"/>
            <w:sz w:val="22"/>
          </w:rPr>
          <m:t>+</m:t>
        </m:r>
        <m:sSub>
          <m:sSubPr>
            <m:ctrlPr>
              <w:rPr>
                <w:rFonts w:ascii="Cambria Math" w:hAnsi="Cambria Math"/>
              </w:rPr>
            </m:ctrlPr>
          </m:sSubPr>
          <m:e>
            <m:r>
              <w:rPr>
                <w:rFonts w:ascii="Cambria Math" w:hAnsi="Cambria Math"/>
                <w:sz w:val="22"/>
              </w:rPr>
              <m:t>ε</m:t>
            </m:r>
          </m:e>
          <m:sub>
            <m:r>
              <w:rPr>
                <w:rFonts w:ascii="Cambria Math" w:hAnsi="Cambria Math"/>
                <w:sz w:val="22"/>
              </w:rPr>
              <m:t>h</m:t>
            </m:r>
            <m:r>
              <w:rPr>
                <w:rFonts w:ascii="Cambria Math" w:hAnsi="Cambria Math"/>
                <w:sz w:val="22"/>
              </w:rPr>
              <m:t>ijt</m:t>
            </m:r>
          </m:sub>
        </m:sSub>
      </m:oMath>
      <w:r>
        <w:tab/>
      </w:r>
      <w:r>
        <w:t>（</w:t>
      </w:r>
      <w:r>
        <w:t>3-1</w:t>
      </w:r>
      <w:r>
        <w:t>）</w:t>
      </w:r>
    </w:p>
    <w:p w:rsidR="0021426D" w:rsidRDefault="00A661EE">
      <w:pPr>
        <w:ind w:firstLine="480"/>
      </w:pPr>
      <w:r>
        <w:t>其中，</w:t>
      </w:r>
      <w:r>
        <w:t>P</w:t>
      </w:r>
      <w:r>
        <w:t>为真实成交单价，</w:t>
      </w:r>
      <w:r>
        <w:t>α</w:t>
      </w:r>
      <w:r>
        <w:t>为小区与项目栈固定效应，</w:t>
      </w:r>
      <w:r>
        <w:t>λ</w:t>
      </w:r>
      <w:r>
        <w:t>为项目栈与日历时期固定效应，</w:t>
      </w:r>
      <w:r>
        <w:t>X</w:t>
      </w:r>
      <w:r>
        <w:t>为住房属性向量，</w:t>
      </w:r>
      <w:r>
        <w:t>N</w:t>
      </w:r>
      <w:r>
        <w:t>为基期近邻暴露，</w:t>
      </w:r>
      <w:r>
        <w:t>G</w:t>
      </w:r>
      <w:r>
        <w:t>为项目事件季度，</w:t>
      </w:r>
      <w:r>
        <w:t>k</w:t>
      </w:r>
      <w:r>
        <w:t>为相对事件季度，</w:t>
      </w:r>
      <w:r>
        <w:t>I</w:t>
      </w:r>
      <w:r>
        <w:t>为条件指标函数。正式多项目分析拟依据</w:t>
      </w:r>
      <w:r>
        <w:t>Callaway and Sant’Anna</w:t>
      </w:r>
      <w:r>
        <w:t>（</w:t>
      </w:r>
      <w:r>
        <w:t>2021</w:t>
      </w:r>
      <w:r>
        <w:t>）</w:t>
      </w:r>
      <w:r>
        <w:rPr>
          <w:sz w:val="18"/>
          <w:vertAlign w:val="superscript"/>
        </w:rPr>
        <w:t>［</w:t>
      </w:r>
      <w:r>
        <w:rPr>
          <w:sz w:val="18"/>
          <w:vertAlign w:val="superscript"/>
        </w:rPr>
        <w:t>17</w:t>
      </w:r>
      <w:r>
        <w:rPr>
          <w:sz w:val="18"/>
          <w:vertAlign w:val="superscript"/>
        </w:rPr>
        <w:t>］</w:t>
      </w:r>
      <w:r>
        <w:t>、</w:t>
      </w:r>
      <w:r>
        <w:t>Sun and Abraham</w:t>
      </w:r>
      <w:r>
        <w:t>（</w:t>
      </w:r>
      <w:r>
        <w:t>2021</w:t>
      </w:r>
      <w:r>
        <w:t>）</w:t>
      </w:r>
      <w:r>
        <w:rPr>
          <w:sz w:val="18"/>
          <w:vertAlign w:val="superscript"/>
        </w:rPr>
        <w:t>［</w:t>
      </w:r>
      <w:r>
        <w:rPr>
          <w:sz w:val="18"/>
          <w:vertAlign w:val="superscript"/>
        </w:rPr>
        <w:t>18</w:t>
      </w:r>
      <w:r>
        <w:rPr>
          <w:sz w:val="18"/>
          <w:vertAlign w:val="superscript"/>
        </w:rPr>
        <w:t>］</w:t>
      </w:r>
      <w:r>
        <w:t>等研究估计队列与时期效应，再聚合动态路径。该式呈现拟采用的项目比较结构，当前片区试点采用式（</w:t>
      </w:r>
      <w:r>
        <w:t>3-2</w:t>
      </w:r>
      <w:r>
        <w:t>）。</w:t>
      </w:r>
    </w:p>
    <w:p w:rsidR="0021426D" w:rsidRDefault="00A661EE">
      <w:pPr>
        <w:keepNext/>
        <w:jc w:val="center"/>
      </w:pPr>
      <w:r>
        <w:t>表</w:t>
      </w:r>
      <w:r>
        <w:t xml:space="preserve">3-2  </w:t>
      </w:r>
      <w:r>
        <w:t>主要变量定义与计量含义</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1"/>
        <w:gridCol w:w="6803"/>
      </w:tblGrid>
      <w:tr w:rsidR="0021426D">
        <w:trPr>
          <w:cantSplit/>
          <w:tblHeader/>
          <w:jc w:val="center"/>
        </w:trPr>
        <w:tc>
          <w:tcPr>
            <w:tcW w:w="1701"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rPr>
              <w:t>变量</w:t>
            </w:r>
          </w:p>
        </w:tc>
        <w:tc>
          <w:tcPr>
            <w:tcW w:w="6803"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rPr>
              <w:t>定义与单位</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i/>
                <w:sz w:val="21"/>
              </w:rPr>
              <w:t>P</w:t>
            </w:r>
          </w:p>
        </w:tc>
        <w:tc>
          <w:tcPr>
            <w:tcW w:w="6803"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成交单价，元／平方米；结果变量为其自然对数</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i/>
                <w:sz w:val="21"/>
              </w:rPr>
              <w:t>Area</w:t>
            </w:r>
          </w:p>
        </w:tc>
        <w:tc>
          <w:tcPr>
            <w:tcW w:w="6803"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建筑面积，平方米；回归控制项为其自然对数</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i/>
                <w:sz w:val="21"/>
              </w:rPr>
              <w:t>Elevator</w:t>
            </w:r>
          </w:p>
        </w:tc>
        <w:tc>
          <w:tcPr>
            <w:tcW w:w="6803"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电梯配置，有电梯取１，无电梯取０</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i/>
                <w:sz w:val="21"/>
              </w:rPr>
              <w:t>C</w:t>
            </w:r>
          </w:p>
        </w:tc>
        <w:tc>
          <w:tcPr>
            <w:tcW w:w="6803"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翠竹片区指标，翠竹取１，其他罗湖商圈取０</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i/>
                <w:sz w:val="21"/>
              </w:rPr>
              <w:t>D</w:t>
            </w:r>
          </w:p>
        </w:tc>
        <w:tc>
          <w:tcPr>
            <w:tcW w:w="6803"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完整事件后季度指标，２０２０年第二季度起取１</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i/>
                <w:sz w:val="21"/>
              </w:rPr>
              <w:t>N</w:t>
            </w:r>
          </w:p>
        </w:tc>
        <w:tc>
          <w:tcPr>
            <w:tcW w:w="6803"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拟按基期住宅位置与项目红线定义的近邻暴露</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i/>
                <w:sz w:val="21"/>
              </w:rPr>
              <w:t>G</w:t>
            </w:r>
            <w:r>
              <w:rPr>
                <w:sz w:val="21"/>
              </w:rPr>
              <w:t>、</w:t>
            </w:r>
            <w:r>
              <w:rPr>
                <w:i/>
                <w:sz w:val="21"/>
              </w:rPr>
              <w:t>k</w:t>
            </w:r>
          </w:p>
        </w:tc>
        <w:tc>
          <w:tcPr>
            <w:tcW w:w="6803"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项目事件季度与相对事件季度，</w:t>
            </w:r>
            <w:r>
              <w:rPr>
                <w:i/>
                <w:sz w:val="21"/>
              </w:rPr>
              <w:t>k</w:t>
            </w:r>
            <w:r>
              <w:rPr>
                <w:sz w:val="21"/>
              </w:rPr>
              <w:t>＝</w:t>
            </w:r>
            <w:r>
              <w:rPr>
                <w:i/>
                <w:sz w:val="21"/>
              </w:rPr>
              <w:t>t</w:t>
            </w:r>
            <w:r>
              <w:rPr>
                <w:sz w:val="21"/>
              </w:rPr>
              <w:t>－</w:t>
            </w:r>
            <w:r>
              <w:rPr>
                <w:i/>
                <w:sz w:val="21"/>
              </w:rPr>
              <w:t>G</w:t>
            </w:r>
          </w:p>
        </w:tc>
      </w:tr>
      <w:tr w:rsidR="0021426D">
        <w:trPr>
          <w:cantSplit/>
          <w:jc w:val="center"/>
        </w:trPr>
        <w:tc>
          <w:tcPr>
            <w:tcW w:w="1701"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i/>
                <w:sz w:val="21"/>
              </w:rPr>
              <w:t>α</w:t>
            </w:r>
            <w:r>
              <w:rPr>
                <w:sz w:val="21"/>
              </w:rPr>
              <w:t>、</w:t>
            </w:r>
            <w:r>
              <w:rPr>
                <w:i/>
                <w:sz w:val="21"/>
              </w:rPr>
              <w:t>λ</w:t>
            </w:r>
            <w:r>
              <w:rPr>
                <w:sz w:val="21"/>
              </w:rPr>
              <w:t>、</w:t>
            </w:r>
            <w:r>
              <w:rPr>
                <w:i/>
                <w:sz w:val="21"/>
              </w:rPr>
              <w:t>β</w:t>
            </w:r>
          </w:p>
        </w:tc>
        <w:tc>
          <w:tcPr>
            <w:tcW w:w="6803"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rPr>
              <w:t>小区固定效应、季度固定效应与待估计的价格响应系数</w:t>
            </w:r>
          </w:p>
        </w:tc>
      </w:tr>
    </w:tbl>
    <w:p w:rsidR="0021426D" w:rsidRDefault="00A661EE">
      <w:pPr>
        <w:ind w:firstLine="480"/>
      </w:pPr>
      <w:r>
        <w:t>研究以首次可信目标事件定义队列，估计其后的动态价格路径，分别登记预售、拆除、施工、交付和配套开放日期，以及观察期内尚未重建、停复工和正式终止状态。处理前已公布的配套与供给方案用于预期异质性分析，实际可达性和供给释放用于描述机制兑现过程。项目类型与距离档在基期确定，并检验其事件期交互效应；同一住宅与多个项目关联时保留各项目的时间和空间信息。</w:t>
      </w:r>
    </w:p>
    <w:p w:rsidR="0021426D" w:rsidRDefault="00A661EE">
      <w:pPr>
        <w:pStyle w:val="3"/>
        <w:keepNext/>
        <w:spacing w:before="120" w:after="120"/>
        <w:jc w:val="left"/>
      </w:pPr>
      <w:bookmarkStart w:id="19" w:name="_Toc242490930"/>
      <w:r>
        <w:t xml:space="preserve">3.2.3  </w:t>
      </w:r>
      <w:r>
        <w:t>图像表征与概念验证</w:t>
      </w:r>
      <w:bookmarkEnd w:id="19"/>
    </w:p>
    <w:p w:rsidR="0021426D" w:rsidRDefault="00A661EE">
      <w:pPr>
        <w:ind w:firstLine="480"/>
      </w:pPr>
      <w:r>
        <w:rPr>
          <w:rFonts w:hint="eastAsia"/>
        </w:rPr>
        <w:t>街景与遥感按地点、年份、方向和空间尺度核验。街景记录道路界面、入口、</w:t>
      </w:r>
      <w:r>
        <w:rPr>
          <w:rFonts w:hint="eastAsia"/>
        </w:rPr>
        <w:lastRenderedPageBreak/>
        <w:t>围挡与可见绿化，遥感记录建筑形态和地表覆盖。预训练编码器提取的向量需通过本地人工标签检查语义、方向敏感性和跨期可比性。</w:t>
      </w:r>
      <w:r>
        <w:rPr>
          <w:rFonts w:hint="eastAsia"/>
        </w:rPr>
        <w:t>Brown et al.</w:t>
      </w:r>
      <w:r>
        <w:rPr>
          <w:rFonts w:hint="eastAsia"/>
        </w:rPr>
        <w:t>（</w:t>
      </w:r>
      <w:r>
        <w:rPr>
          <w:rFonts w:hint="eastAsia"/>
        </w:rPr>
        <w:t>2022</w:t>
      </w:r>
      <w:r>
        <w:rPr>
          <w:rFonts w:hint="eastAsia"/>
        </w:rPr>
        <w:t>）</w:t>
      </w:r>
      <w:r>
        <w:rPr>
          <w:sz w:val="18"/>
          <w:vertAlign w:val="superscript"/>
        </w:rPr>
        <w:t>［</w:t>
      </w:r>
      <w:r>
        <w:rPr>
          <w:sz w:val="18"/>
          <w:vertAlign w:val="superscript"/>
        </w:rPr>
        <w:t>16</w:t>
      </w:r>
      <w:r>
        <w:rPr>
          <w:sz w:val="18"/>
          <w:vertAlign w:val="superscript"/>
        </w:rPr>
        <w:t>］</w:t>
      </w:r>
      <w:r>
        <w:rPr>
          <w:rFonts w:hint="eastAsia"/>
        </w:rPr>
        <w:t>的</w:t>
      </w:r>
      <w:r>
        <w:rPr>
          <w:rFonts w:hint="eastAsia"/>
        </w:rPr>
        <w:t>Dynamic World</w:t>
      </w:r>
      <w:r>
        <w:rPr>
          <w:rFonts w:hint="eastAsia"/>
        </w:rPr>
        <w:t>产品提供</w:t>
      </w:r>
      <w:r>
        <w:rPr>
          <w:rFonts w:hint="eastAsia"/>
        </w:rPr>
        <w:t>10</w:t>
      </w:r>
      <w:r>
        <w:rPr>
          <w:rFonts w:hint="eastAsia"/>
        </w:rPr>
        <w:t>米地表覆盖概率，其官方数据从</w:t>
      </w:r>
      <w:r>
        <w:rPr>
          <w:rFonts w:hint="eastAsia"/>
        </w:rPr>
        <w:t>2015</w:t>
      </w:r>
      <w:r>
        <w:rPr>
          <w:rFonts w:hint="eastAsia"/>
        </w:rPr>
        <w:t>年</w:t>
      </w:r>
      <w:r>
        <w:rPr>
          <w:rFonts w:hint="eastAsia"/>
        </w:rPr>
        <w:t>6</w:t>
      </w:r>
      <w:r>
        <w:rPr>
          <w:rFonts w:hint="eastAsia"/>
        </w:rPr>
        <w:t>月</w:t>
      </w:r>
      <w:r>
        <w:rPr>
          <w:rFonts w:hint="eastAsia"/>
        </w:rPr>
        <w:t>27</w:t>
      </w:r>
      <w:r>
        <w:rPr>
          <w:rFonts w:hint="eastAsia"/>
        </w:rPr>
        <w:t>日起可用，而</w:t>
      </w:r>
      <w:r>
        <w:rPr>
          <w:rFonts w:hint="eastAsia"/>
        </w:rPr>
        <w:t>2010</w:t>
      </w:r>
      <w:r>
        <w:rPr>
          <w:rFonts w:hint="eastAsia"/>
        </w:rPr>
        <w:t>—</w:t>
      </w:r>
      <w:r>
        <w:rPr>
          <w:rFonts w:hint="eastAsia"/>
        </w:rPr>
        <w:t>2015</w:t>
      </w:r>
      <w:r>
        <w:rPr>
          <w:rFonts w:hint="eastAsia"/>
        </w:rPr>
        <w:t>年较早窗口的影像来源需另行核定，各年份按实际观测覆盖进入分析。</w:t>
      </w:r>
    </w:p>
    <w:p w:rsidR="0021426D" w:rsidRDefault="00A661EE">
      <w:pPr>
        <w:ind w:firstLine="480"/>
      </w:pPr>
      <w:r>
        <w:rPr>
          <w:rFonts w:hint="eastAsia"/>
        </w:rPr>
        <w:t>高维图像特征的降维、标准化和参数选择将在训练项目内完成，再用于独立项目留出验证。图神经网络拟根据道路连接、邻近和可见关系聚合住宅周边信息，形成处理前空间暴露指标，并与边界距离、道路联系和图像单模态测量开展增量比较。目前尚未形成经过独立检验的图学习增量结果。影像与图学习的作用是改善暴露测量，经济效应仍由真实成交、项目事件和可比住宅的变化识别。</w:t>
      </w:r>
    </w:p>
    <w:p w:rsidR="0021426D" w:rsidRDefault="00A661EE">
      <w:pPr>
        <w:pStyle w:val="3"/>
        <w:keepNext/>
        <w:spacing w:before="120" w:after="120"/>
        <w:jc w:val="left"/>
      </w:pPr>
      <w:bookmarkStart w:id="20" w:name="_Toc242490931"/>
      <w:r>
        <w:t xml:space="preserve">3.2.4  </w:t>
      </w:r>
      <w:r>
        <w:t>稳健性与结果表达</w:t>
      </w:r>
      <w:bookmarkEnd w:id="20"/>
    </w:p>
    <w:p w:rsidR="0021426D" w:rsidRDefault="00A661EE">
      <w:pPr>
        <w:ind w:firstLine="480"/>
      </w:pPr>
      <w:r>
        <w:t>稳健性分析依次检查处理前系数与联合检验、事件日期区间、空间环带、样本构成和同步政策。对于日期精度不同的项目，采用替代事件定义比较估计变化；对于多个项目重叠以及轨交、学区同期变化，设置污染标记和限定样本。推断按照处理赋值层级考虑项目聚类与空间相关，项目簇较少时报告精度范围。价格模型同时报告效应、区间、观测量和有效项目数，预测误差改善与因果识别分别呈现。</w:t>
      </w:r>
    </w:p>
    <w:p w:rsidR="0021426D" w:rsidRDefault="00A661EE">
      <w:pPr>
        <w:pStyle w:val="2"/>
        <w:keepNext/>
        <w:spacing w:before="120" w:after="120"/>
        <w:jc w:val="left"/>
        <w:rPr>
          <w:rFonts w:hint="eastAsia"/>
        </w:rPr>
      </w:pPr>
      <w:bookmarkStart w:id="21" w:name="_Toc242490932"/>
      <w:r>
        <w:t xml:space="preserve">3.3  </w:t>
      </w:r>
      <w:r>
        <w:t>已完成的初步实证结果</w:t>
      </w:r>
      <w:bookmarkEnd w:id="21"/>
    </w:p>
    <w:p w:rsidR="0021426D" w:rsidRDefault="00A661EE">
      <w:pPr>
        <w:pStyle w:val="3"/>
        <w:keepNext/>
        <w:spacing w:before="120" w:after="120"/>
        <w:jc w:val="left"/>
      </w:pPr>
      <w:bookmarkStart w:id="22" w:name="_Toc242490933"/>
      <w:r>
        <w:t xml:space="preserve">3.3.1  </w:t>
      </w:r>
      <w:r>
        <w:t>分析样本与描述性统计</w:t>
      </w:r>
      <w:bookmarkEnd w:id="22"/>
    </w:p>
    <w:p w:rsidR="0021426D" w:rsidRDefault="00A661EE">
      <w:pPr>
        <w:ind w:firstLineChars="200" w:firstLine="480"/>
      </w:pPr>
      <w:r>
        <w:t>现阶段先在罗湖真实二手商品住宅成交中检验价格回归的可估计性。试点采用</w:t>
      </w:r>
      <w:r>
        <w:t>2017—2023</w:t>
      </w:r>
      <w:r>
        <w:t>年观察窗口，以贝壳原始</w:t>
      </w:r>
      <w:r>
        <w:t>“</w:t>
      </w:r>
      <w:r>
        <w:t>翠竹</w:t>
      </w:r>
      <w:r>
        <w:t>”</w:t>
      </w:r>
      <w:r>
        <w:t>商圈标签划分片区，以罗湖其他商圈作为比较样本。木头龙于</w:t>
      </w:r>
      <w:r>
        <w:t>2020</w:t>
      </w:r>
      <w:r>
        <w:t>年</w:t>
      </w:r>
      <w:r>
        <w:t>3</w:t>
      </w:r>
      <w:r>
        <w:t>月正式开工，</w:t>
      </w:r>
      <w:r>
        <w:t>2020</w:t>
      </w:r>
      <w:r>
        <w:t>年第一季度作为过渡期，第二季度起设为完整开工后时期。主回归保留</w:t>
      </w:r>
      <w:r>
        <w:t>10867</w:t>
      </w:r>
      <w:r>
        <w:t>笔成交、</w:t>
      </w:r>
      <w:r>
        <w:t>607</w:t>
      </w:r>
      <w:r>
        <w:t>个小区，其中翠竹</w:t>
      </w:r>
      <w:r>
        <w:t>42</w:t>
      </w:r>
      <w:r>
        <w:t>个小区，事件前</w:t>
      </w:r>
      <w:r>
        <w:t>261</w:t>
      </w:r>
      <w:r>
        <w:t>笔、事件后</w:t>
      </w:r>
      <w:r>
        <w:t>297</w:t>
      </w:r>
      <w:r>
        <w:t>笔；比较片区共有</w:t>
      </w:r>
      <w:r>
        <w:t>10309</w:t>
      </w:r>
      <w:r>
        <w:t>笔。</w:t>
      </w:r>
      <w:r>
        <w:rPr>
          <w:rFonts w:hint="eastAsia"/>
        </w:rPr>
        <w:t>季度事件则</w:t>
      </w:r>
      <w:r>
        <w:t>覆盖</w:t>
      </w:r>
      <w:r>
        <w:t>11231</w:t>
      </w:r>
      <w:r>
        <w:t>笔成交、</w:t>
      </w:r>
      <w:r>
        <w:t>610</w:t>
      </w:r>
      <w:r>
        <w:t>个小区。</w:t>
      </w:r>
    </w:p>
    <w:p w:rsidR="0021426D" w:rsidRDefault="00A661EE">
      <w:pPr>
        <w:keepNext/>
        <w:jc w:val="center"/>
      </w:pPr>
      <w:r>
        <w:t>表</w:t>
      </w:r>
      <w:r>
        <w:t xml:space="preserve">3-3  </w:t>
      </w:r>
      <w:r>
        <w:t>片区试点回归样本描述性统计</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2835"/>
        <w:gridCol w:w="1417"/>
        <w:gridCol w:w="1417"/>
        <w:gridCol w:w="1417"/>
        <w:gridCol w:w="1417"/>
      </w:tblGrid>
      <w:tr w:rsidR="0021426D">
        <w:trPr>
          <w:cantSplit/>
          <w:tblHeader/>
          <w:jc w:val="center"/>
        </w:trPr>
        <w:tc>
          <w:tcPr>
            <w:tcW w:w="2835"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left"/>
            </w:pPr>
            <w:r>
              <w:rPr>
                <w:b/>
                <w:sz w:val="21"/>
              </w:rPr>
              <w:t>变量</w:t>
            </w:r>
          </w:p>
        </w:tc>
        <w:tc>
          <w:tcPr>
            <w:tcW w:w="1417"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rPr>
              <w:t>均值</w:t>
            </w:r>
          </w:p>
        </w:tc>
        <w:tc>
          <w:tcPr>
            <w:tcW w:w="1417"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rPr>
              <w:t>标准差</w:t>
            </w:r>
          </w:p>
        </w:tc>
        <w:tc>
          <w:tcPr>
            <w:tcW w:w="1417"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rPr>
              <w:t>中位数</w:t>
            </w:r>
          </w:p>
        </w:tc>
        <w:tc>
          <w:tcPr>
            <w:tcW w:w="1417"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rPr>
              <w:t>观测数</w:t>
            </w:r>
          </w:p>
        </w:tc>
      </w:tr>
      <w:tr w:rsidR="0021426D">
        <w:trPr>
          <w:cantSplit/>
          <w:jc w:val="center"/>
        </w:trPr>
        <w:tc>
          <w:tcPr>
            <w:tcW w:w="2835"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21"/>
              </w:rPr>
              <w:t>成交单价</w:t>
            </w:r>
            <w:r>
              <w:rPr>
                <w:sz w:val="21"/>
              </w:rPr>
              <w:t xml:space="preserve"> </w:t>
            </w:r>
            <w:r>
              <w:rPr>
                <w:sz w:val="21"/>
              </w:rPr>
              <w:t>元每平方米</w:t>
            </w:r>
          </w:p>
        </w:tc>
        <w:tc>
          <w:tcPr>
            <w:tcW w:w="1417"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56535.17</w:t>
            </w:r>
          </w:p>
        </w:tc>
        <w:tc>
          <w:tcPr>
            <w:tcW w:w="1417"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15821.99</w:t>
            </w:r>
          </w:p>
        </w:tc>
        <w:tc>
          <w:tcPr>
            <w:tcW w:w="1417"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53378.00</w:t>
            </w:r>
          </w:p>
        </w:tc>
        <w:tc>
          <w:tcPr>
            <w:tcW w:w="1417"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10867</w:t>
            </w:r>
          </w:p>
        </w:tc>
      </w:tr>
      <w:tr w:rsidR="0021426D">
        <w:trPr>
          <w:cantSplit/>
          <w:jc w:val="center"/>
        </w:trPr>
        <w:tc>
          <w:tcPr>
            <w:tcW w:w="2835"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21"/>
              </w:rPr>
              <w:t>建筑面积</w:t>
            </w:r>
            <w:r>
              <w:rPr>
                <w:sz w:val="21"/>
              </w:rPr>
              <w:t xml:space="preserve"> </w:t>
            </w:r>
            <w:r>
              <w:rPr>
                <w:sz w:val="21"/>
              </w:rPr>
              <w:t>平方米</w:t>
            </w:r>
          </w:p>
        </w:tc>
        <w:tc>
          <w:tcPr>
            <w:tcW w:w="1417"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61.19</w:t>
            </w:r>
          </w:p>
        </w:tc>
        <w:tc>
          <w:tcPr>
            <w:tcW w:w="1417"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30.48</w:t>
            </w:r>
          </w:p>
        </w:tc>
        <w:tc>
          <w:tcPr>
            <w:tcW w:w="1417"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56.00</w:t>
            </w:r>
          </w:p>
        </w:tc>
        <w:tc>
          <w:tcPr>
            <w:tcW w:w="1417"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10867</w:t>
            </w:r>
          </w:p>
        </w:tc>
      </w:tr>
      <w:tr w:rsidR="0021426D">
        <w:trPr>
          <w:cantSplit/>
          <w:jc w:val="center"/>
        </w:trPr>
        <w:tc>
          <w:tcPr>
            <w:tcW w:w="2835"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left"/>
            </w:pPr>
            <w:r>
              <w:rPr>
                <w:sz w:val="21"/>
              </w:rPr>
              <w:t>电梯配置比例</w:t>
            </w:r>
          </w:p>
        </w:tc>
        <w:tc>
          <w:tcPr>
            <w:tcW w:w="1417"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rPr>
              <w:t>0.88</w:t>
            </w:r>
          </w:p>
        </w:tc>
        <w:tc>
          <w:tcPr>
            <w:tcW w:w="1417"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rPr>
              <w:t>0.33</w:t>
            </w:r>
          </w:p>
        </w:tc>
        <w:tc>
          <w:tcPr>
            <w:tcW w:w="1417"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rPr>
              <w:t>1.00</w:t>
            </w:r>
          </w:p>
        </w:tc>
        <w:tc>
          <w:tcPr>
            <w:tcW w:w="1417"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rPr>
              <w:t>10867</w:t>
            </w:r>
          </w:p>
        </w:tc>
      </w:tr>
    </w:tbl>
    <w:p w:rsidR="0021426D" w:rsidRDefault="00A661EE">
      <w:pPr>
        <w:keepLines/>
      </w:pPr>
      <w:r>
        <w:lastRenderedPageBreak/>
        <w:t>注：统计口径为</w:t>
      </w:r>
      <w:r>
        <w:t>2017—2023</w:t>
      </w:r>
      <w:r>
        <w:t>年罗湖普通二手商品住宅清理样本，主回归剔除</w:t>
      </w:r>
      <w:r>
        <w:t>2020</w:t>
      </w:r>
      <w:r>
        <w:t>年第一季度过渡期。电梯配置按有电梯取</w:t>
      </w:r>
      <w:r>
        <w:t>1</w:t>
      </w:r>
      <w:r>
        <w:t>、无电梯取</w:t>
      </w:r>
      <w:r>
        <w:t>0</w:t>
      </w:r>
      <w:r>
        <w:t>。样本成交笔数反映已获取记录的覆盖。</w:t>
      </w:r>
    </w:p>
    <w:p w:rsidR="0021426D" w:rsidRDefault="00A661EE">
      <w:pPr>
        <w:keepNext/>
        <w:jc w:val="center"/>
      </w:pPr>
      <w:r>
        <w:t>表</w:t>
      </w:r>
      <w:r>
        <w:t xml:space="preserve">3-4  </w:t>
      </w:r>
      <w:r>
        <w:t>片区试点样本主要变量相关性</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1"/>
        <w:gridCol w:w="1134"/>
        <w:gridCol w:w="1134"/>
        <w:gridCol w:w="1134"/>
        <w:gridCol w:w="1134"/>
        <w:gridCol w:w="1134"/>
        <w:gridCol w:w="1134"/>
      </w:tblGrid>
      <w:tr w:rsidR="0021426D">
        <w:trPr>
          <w:cantSplit/>
          <w:tblHeader/>
          <w:jc w:val="center"/>
        </w:trPr>
        <w:tc>
          <w:tcPr>
            <w:tcW w:w="1701"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left"/>
            </w:pPr>
            <w:r>
              <w:rPr>
                <w:b/>
                <w:sz w:val="18"/>
              </w:rPr>
              <w:t>变量</w:t>
            </w:r>
          </w:p>
        </w:tc>
        <w:tc>
          <w:tcPr>
            <w:tcW w:w="1134"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18"/>
              </w:rPr>
              <w:t xml:space="preserve">ln </w:t>
            </w:r>
            <w:r>
              <w:rPr>
                <w:b/>
                <w:i/>
                <w:sz w:val="18"/>
              </w:rPr>
              <w:t>P</w:t>
            </w:r>
          </w:p>
        </w:tc>
        <w:tc>
          <w:tcPr>
            <w:tcW w:w="1134"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18"/>
              </w:rPr>
              <w:t xml:space="preserve">ln </w:t>
            </w:r>
            <w:r>
              <w:rPr>
                <w:b/>
                <w:i/>
                <w:sz w:val="18"/>
              </w:rPr>
              <w:t>Area</w:t>
            </w:r>
          </w:p>
        </w:tc>
        <w:tc>
          <w:tcPr>
            <w:tcW w:w="1134"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i/>
                <w:sz w:val="18"/>
              </w:rPr>
              <w:t>Elevator</w:t>
            </w:r>
          </w:p>
        </w:tc>
        <w:tc>
          <w:tcPr>
            <w:tcW w:w="1134"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i/>
                <w:sz w:val="18"/>
              </w:rPr>
              <w:t>C</w:t>
            </w:r>
          </w:p>
        </w:tc>
        <w:tc>
          <w:tcPr>
            <w:tcW w:w="1134"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i/>
                <w:sz w:val="18"/>
              </w:rPr>
              <w:t>D</w:t>
            </w:r>
          </w:p>
        </w:tc>
        <w:tc>
          <w:tcPr>
            <w:tcW w:w="1134"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i/>
                <w:sz w:val="18"/>
              </w:rPr>
              <w:t>C</w:t>
            </w:r>
            <w:r>
              <w:rPr>
                <w:b/>
                <w:sz w:val="18"/>
              </w:rPr>
              <w:t>×</w:t>
            </w:r>
            <w:r>
              <w:rPr>
                <w:b/>
                <w:i/>
                <w:sz w:val="18"/>
              </w:rPr>
              <w:t>D</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18"/>
              </w:rPr>
              <w:t xml:space="preserve">ln </w:t>
            </w:r>
            <w:r>
              <w:rPr>
                <w:i/>
                <w:sz w:val="18"/>
              </w:rPr>
              <w:t>P</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1.000</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-0.100</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0.063</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0.357</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0.203</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0.310</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18"/>
              </w:rPr>
              <w:t xml:space="preserve">ln </w:t>
            </w:r>
            <w:r>
              <w:rPr>
                <w:i/>
                <w:sz w:val="18"/>
              </w:rPr>
              <w:t>Area</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-0.100</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1.000</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-0.149</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-0.033</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0.045</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-0.012</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i/>
                <w:sz w:val="18"/>
              </w:rPr>
              <w:t>Elevator</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0.063</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-0.149</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1.000</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-0.093</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-0.020</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-0.075</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i/>
                <w:sz w:val="18"/>
              </w:rPr>
              <w:t>C</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0.357</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-0.033</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-0.093</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1.000</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0.013</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0.720</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i/>
                <w:sz w:val="18"/>
              </w:rPr>
              <w:t>D</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0.203</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0.045</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-0.020</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0.013</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1.000</w:t>
            </w:r>
          </w:p>
        </w:tc>
        <w:tc>
          <w:tcPr>
            <w:tcW w:w="1134"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18"/>
              </w:rPr>
              <w:t>0.166</w:t>
            </w:r>
          </w:p>
        </w:tc>
      </w:tr>
      <w:tr w:rsidR="0021426D">
        <w:trPr>
          <w:cantSplit/>
          <w:jc w:val="center"/>
        </w:trPr>
        <w:tc>
          <w:tcPr>
            <w:tcW w:w="1701"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left"/>
            </w:pPr>
            <w:r>
              <w:rPr>
                <w:i/>
                <w:sz w:val="18"/>
              </w:rPr>
              <w:t>C</w:t>
            </w:r>
            <w:r>
              <w:rPr>
                <w:sz w:val="18"/>
              </w:rPr>
              <w:t>×</w:t>
            </w:r>
            <w:r>
              <w:rPr>
                <w:i/>
                <w:sz w:val="18"/>
              </w:rPr>
              <w:t>D</w:t>
            </w:r>
          </w:p>
        </w:tc>
        <w:tc>
          <w:tcPr>
            <w:tcW w:w="1134"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18"/>
              </w:rPr>
              <w:t>0.310</w:t>
            </w:r>
          </w:p>
        </w:tc>
        <w:tc>
          <w:tcPr>
            <w:tcW w:w="1134"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18"/>
              </w:rPr>
              <w:t>-0.012</w:t>
            </w:r>
          </w:p>
        </w:tc>
        <w:tc>
          <w:tcPr>
            <w:tcW w:w="1134"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18"/>
              </w:rPr>
              <w:t>-0.075</w:t>
            </w:r>
          </w:p>
        </w:tc>
        <w:tc>
          <w:tcPr>
            <w:tcW w:w="1134"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18"/>
              </w:rPr>
              <w:t>0.720</w:t>
            </w:r>
          </w:p>
        </w:tc>
        <w:tc>
          <w:tcPr>
            <w:tcW w:w="1134"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18"/>
              </w:rPr>
              <w:t>0.166</w:t>
            </w:r>
          </w:p>
        </w:tc>
        <w:tc>
          <w:tcPr>
            <w:tcW w:w="1134"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18"/>
              </w:rPr>
              <w:t>1.000</w:t>
            </w:r>
          </w:p>
        </w:tc>
      </w:tr>
    </w:tbl>
    <w:p w:rsidR="0021426D" w:rsidRDefault="00A661EE">
      <w:pPr>
        <w:keepLines/>
      </w:pPr>
      <w:r>
        <w:t>注：采用与翠竹初步</w:t>
      </w:r>
      <w:r>
        <w:t>DID</w:t>
      </w:r>
      <w:r>
        <w:t>相同的１０８６７笔成交计算皮尔逊相关系数。该矩阵反映原始样本变量的共同变动，回归中的小区和季度固定效应另行吸收。</w:t>
      </w:r>
    </w:p>
    <w:p w:rsidR="0021426D" w:rsidRDefault="00A661EE">
      <w:pPr>
        <w:pStyle w:val="3"/>
        <w:keepNext/>
        <w:spacing w:before="120" w:after="120"/>
        <w:jc w:val="left"/>
      </w:pPr>
      <w:bookmarkStart w:id="23" w:name="_Toc242490934"/>
      <w:r>
        <w:t xml:space="preserve">3.3.2  </w:t>
      </w:r>
      <w:r>
        <w:t>价格</w:t>
      </w:r>
      <w:r>
        <w:t>DID</w:t>
      </w:r>
      <w:r>
        <w:t>初步回归</w:t>
      </w:r>
      <w:bookmarkEnd w:id="23"/>
    </w:p>
    <w:p w:rsidR="0021426D" w:rsidRDefault="00A661EE">
      <w:pPr>
        <w:ind w:firstLineChars="200" w:firstLine="480"/>
      </w:pPr>
      <w:r>
        <w:t>因变量为逐笔成交单价的自然对数，自变量为翠竹片区指标与开工后时期指标的交互项，控制建筑面积对数和电梯配置，同时吸收小区与日历季度固定效应。小区固定效应控制长期区位与小区品质，季度固定效应控制罗湖样本共同经历的市场周期。交互项刻画翠竹相对其他罗湖商圈在事件后的价格变化，片区标签提供当前试点暴露代理。正式项目主回归将依据经核定红线重新定义周边住宅。式（</w:t>
      </w:r>
      <w:r>
        <w:t>3-2</w:t>
      </w:r>
      <w:r>
        <w:t>）中的</w:t>
      </w:r>
      <w:r>
        <w:rPr>
          <w:i/>
        </w:rPr>
        <w:t>C</w:t>
      </w:r>
      <w:r>
        <w:t>表示翠竹片区指标，</w:t>
      </w:r>
      <w:r>
        <w:rPr>
          <w:i/>
        </w:rPr>
        <w:t>D</w:t>
      </w:r>
      <w:r>
        <w:t>表示完整事件后季度指标，</w:t>
      </w:r>
      <w:r>
        <w:rPr>
          <w:i/>
        </w:rPr>
        <w:t>β</w:t>
      </w:r>
      <w:r>
        <w:t>对应片区与事件后的交互系数。</w:t>
      </w:r>
    </w:p>
    <w:p w:rsidR="0021426D" w:rsidRDefault="00A661EE">
      <w:pPr>
        <w:keepNext/>
        <w:tabs>
          <w:tab w:val="center" w:pos="4252"/>
          <w:tab w:val="right" w:pos="8504"/>
        </w:tabs>
        <w:jc w:val="left"/>
      </w:pPr>
      <w:r>
        <w:tab/>
      </w:r>
      <m:oMath>
        <m:r>
          <m:rPr>
            <m:sty m:val="p"/>
          </m:rPr>
          <w:rPr>
            <w:rFonts w:ascii="Cambria Math" w:hAnsi="Cambria Math"/>
            <w:sz w:val="22"/>
          </w:rPr>
          <m:t xml:space="preserve">ln </m:t>
        </m:r>
        <m:sSub>
          <m:sSubPr>
            <m:ctrlPr>
              <w:rPr>
                <w:rFonts w:ascii="Cambria Math" w:hAnsi="Cambria Math"/>
              </w:rPr>
            </m:ctrlPr>
          </m:sSubPr>
          <m:e>
            <m:r>
              <w:rPr>
                <w:rFonts w:ascii="Cambria Math" w:hAnsi="Cambria Math"/>
                <w:sz w:val="22"/>
              </w:rPr>
              <m:t>P</m:t>
            </m:r>
          </m:e>
          <m:sub>
            <m:r>
              <w:rPr>
                <w:rFonts w:ascii="Cambria Math" w:hAnsi="Cambria Math"/>
                <w:sz w:val="22"/>
              </w:rPr>
              <m:t>h</m:t>
            </m:r>
            <m:r>
              <w:rPr>
                <w:rFonts w:ascii="Cambria Math" w:hAnsi="Cambria Math"/>
                <w:sz w:val="22"/>
              </w:rPr>
              <m:t>it</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α</m:t>
            </m:r>
          </m:e>
          <m:sub>
            <m:r>
              <w:rPr>
                <w:rFonts w:ascii="Cambria Math" w:hAnsi="Cambria Math"/>
                <w:sz w:val="22"/>
              </w:rPr>
              <m:t>i</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λ</m:t>
            </m:r>
          </m:e>
          <m:sub>
            <m:r>
              <w:rPr>
                <w:rFonts w:ascii="Cambria Math" w:hAnsi="Cambria Math"/>
                <w:sz w:val="22"/>
              </w:rPr>
              <m:t>t</m:t>
            </m:r>
          </m:sub>
        </m:sSub>
        <m:r>
          <m:rPr>
            <m:sty m:val="p"/>
          </m:rPr>
          <w:rPr>
            <w:rFonts w:ascii="Cambria Math" w:hAnsi="Cambria Math"/>
            <w:sz w:val="22"/>
          </w:rPr>
          <m:t>+</m:t>
        </m:r>
        <m:r>
          <w:rPr>
            <w:rFonts w:ascii="Cambria Math" w:hAnsi="Cambria Math"/>
            <w:sz w:val="22"/>
          </w:rPr>
          <m:t>β</m:t>
        </m:r>
        <m:sSub>
          <m:sSubPr>
            <m:ctrlPr>
              <w:rPr>
                <w:rFonts w:ascii="Cambria Math" w:hAnsi="Cambria Math"/>
              </w:rPr>
            </m:ctrlPr>
          </m:sSubPr>
          <m:e>
            <m:r>
              <w:rPr>
                <w:rFonts w:ascii="Cambria Math" w:hAnsi="Cambria Math"/>
                <w:sz w:val="22"/>
              </w:rPr>
              <m:t>C</m:t>
            </m:r>
          </m:e>
          <m:sub>
            <m:r>
              <w:rPr>
                <w:rFonts w:ascii="Cambria Math" w:hAnsi="Cambria Math"/>
                <w:sz w:val="22"/>
              </w:rPr>
              <m:t>i</m:t>
            </m:r>
          </m:sub>
        </m:sSub>
        <m:sSub>
          <m:sSubPr>
            <m:ctrlPr>
              <w:rPr>
                <w:rFonts w:ascii="Cambria Math" w:hAnsi="Cambria Math"/>
              </w:rPr>
            </m:ctrlPr>
          </m:sSubPr>
          <m:e>
            <m:r>
              <w:rPr>
                <w:rFonts w:ascii="Cambria Math" w:hAnsi="Cambria Math"/>
                <w:sz w:val="22"/>
              </w:rPr>
              <m:t>D</m:t>
            </m:r>
          </m:e>
          <m:sub>
            <m:r>
              <w:rPr>
                <w:rFonts w:ascii="Cambria Math" w:hAnsi="Cambria Math"/>
                <w:sz w:val="22"/>
              </w:rPr>
              <m:t>t</m:t>
            </m:r>
          </m:sub>
        </m:sSub>
        <m:r>
          <m:rPr>
            <m:sty m:val="p"/>
          </m:rPr>
          <w:rPr>
            <w:rFonts w:ascii="Cambria Math" w:hAnsi="Cambria Math"/>
            <w:sz w:val="22"/>
          </w:rPr>
          <m:t>+</m:t>
        </m:r>
        <m:r>
          <w:rPr>
            <w:rFonts w:ascii="Cambria Math" w:hAnsi="Cambria Math"/>
            <w:sz w:val="22"/>
          </w:rPr>
          <m:t>γ</m:t>
        </m:r>
        <m:r>
          <m:rPr>
            <m:sty m:val="p"/>
          </m:rPr>
          <w:rPr>
            <w:rFonts w:ascii="Cambria Math" w:hAnsi="Cambria Math"/>
            <w:sz w:val="22"/>
          </w:rPr>
          <m:t xml:space="preserve">ln </m:t>
        </m:r>
        <m:sSub>
          <m:sSubPr>
            <m:ctrlPr>
              <w:rPr>
                <w:rFonts w:ascii="Cambria Math" w:hAnsi="Cambria Math"/>
              </w:rPr>
            </m:ctrlPr>
          </m:sSubPr>
          <m:e>
            <m:r>
              <w:rPr>
                <w:rFonts w:ascii="Cambria Math" w:hAnsi="Cambria Math"/>
                <w:sz w:val="22"/>
              </w:rPr>
              <m:t>Area</m:t>
            </m:r>
          </m:e>
          <m:sub>
            <m:r>
              <w:rPr>
                <w:rFonts w:ascii="Cambria Math" w:hAnsi="Cambria Math"/>
                <w:sz w:val="22"/>
              </w:rPr>
              <m:t>h</m:t>
            </m:r>
            <m:r>
              <w:rPr>
                <w:rFonts w:ascii="Cambria Math" w:hAnsi="Cambria Math"/>
                <w:sz w:val="22"/>
              </w:rPr>
              <m:t>it</m:t>
            </m:r>
          </m:sub>
        </m:sSub>
        <m:r>
          <m:rPr>
            <m:sty m:val="p"/>
          </m:rPr>
          <w:rPr>
            <w:rFonts w:ascii="Cambria Math" w:hAnsi="Cambria Math"/>
            <w:sz w:val="22"/>
          </w:rPr>
          <m:t>+</m:t>
        </m:r>
        <m:r>
          <w:rPr>
            <w:rFonts w:ascii="Cambria Math" w:hAnsi="Cambria Math"/>
            <w:sz w:val="22"/>
          </w:rPr>
          <m:t>η</m:t>
        </m:r>
        <m:sSub>
          <m:sSubPr>
            <m:ctrlPr>
              <w:rPr>
                <w:rFonts w:ascii="Cambria Math" w:hAnsi="Cambria Math"/>
              </w:rPr>
            </m:ctrlPr>
          </m:sSubPr>
          <m:e>
            <m:r>
              <w:rPr>
                <w:rFonts w:ascii="Cambria Math" w:hAnsi="Cambria Math"/>
                <w:sz w:val="22"/>
              </w:rPr>
              <m:t>Elevator</m:t>
            </m:r>
          </m:e>
          <m:sub>
            <m:r>
              <w:rPr>
                <w:rFonts w:ascii="Cambria Math" w:hAnsi="Cambria Math"/>
                <w:sz w:val="22"/>
              </w:rPr>
              <m:t>h</m:t>
            </m:r>
            <m:r>
              <w:rPr>
                <w:rFonts w:ascii="Cambria Math" w:hAnsi="Cambria Math"/>
                <w:sz w:val="22"/>
              </w:rPr>
              <m:t>it</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ε</m:t>
            </m:r>
          </m:e>
          <m:sub>
            <m:r>
              <w:rPr>
                <w:rFonts w:ascii="Cambria Math" w:hAnsi="Cambria Math"/>
                <w:sz w:val="22"/>
              </w:rPr>
              <m:t>h</m:t>
            </m:r>
            <m:r>
              <w:rPr>
                <w:rFonts w:ascii="Cambria Math" w:hAnsi="Cambria Math"/>
                <w:sz w:val="22"/>
              </w:rPr>
              <m:t>it</m:t>
            </m:r>
          </m:sub>
        </m:sSub>
      </m:oMath>
      <w:r>
        <w:tab/>
      </w:r>
      <w:r>
        <w:t>（</w:t>
      </w:r>
      <w:r>
        <w:t>3-2</w:t>
      </w:r>
      <w:r>
        <w:t>）</w:t>
      </w:r>
    </w:p>
    <w:p w:rsidR="0021426D" w:rsidRDefault="00A661EE">
      <w:pPr>
        <w:keepNext/>
        <w:jc w:val="center"/>
      </w:pPr>
      <w:r>
        <w:t>表</w:t>
      </w:r>
      <w:r>
        <w:t xml:space="preserve">3-5  </w:t>
      </w:r>
      <w:r>
        <w:t>翠竹片区相对价格变化的初步</w:t>
      </w:r>
      <w:r>
        <w:t>DID</w:t>
      </w:r>
      <w:r>
        <w:t>回归</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3402"/>
        <w:gridCol w:w="2551"/>
        <w:gridCol w:w="2551"/>
      </w:tblGrid>
      <w:tr w:rsidR="0021426D">
        <w:trPr>
          <w:cantSplit/>
          <w:tblHeader/>
          <w:jc w:val="center"/>
        </w:trPr>
        <w:tc>
          <w:tcPr>
            <w:tcW w:w="3402"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left"/>
            </w:pPr>
            <w:r>
              <w:rPr>
                <w:b/>
                <w:sz w:val="21"/>
              </w:rPr>
              <w:t>变量</w:t>
            </w:r>
          </w:p>
        </w:tc>
        <w:tc>
          <w:tcPr>
            <w:tcW w:w="2551"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rPr>
              <w:t>基准规格</w:t>
            </w:r>
          </w:p>
        </w:tc>
        <w:tc>
          <w:tcPr>
            <w:tcW w:w="2551"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rPr>
              <w:t>住房属性控制</w:t>
            </w:r>
          </w:p>
        </w:tc>
      </w:tr>
      <w:tr w:rsidR="0021426D">
        <w:trPr>
          <w:cantSplit/>
          <w:jc w:val="center"/>
        </w:trPr>
        <w:tc>
          <w:tcPr>
            <w:tcW w:w="3402"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21"/>
              </w:rPr>
              <w:t>片区</w:t>
            </w:r>
            <w:r>
              <w:rPr>
                <w:sz w:val="21"/>
              </w:rPr>
              <w:t>×</w:t>
            </w:r>
            <w:r>
              <w:rPr>
                <w:sz w:val="21"/>
              </w:rPr>
              <w:t>开工后</w:t>
            </w:r>
          </w:p>
        </w:tc>
        <w:tc>
          <w:tcPr>
            <w:tcW w:w="255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0.1597***</w:t>
            </w:r>
            <w:r>
              <w:rPr>
                <w:sz w:val="21"/>
              </w:rPr>
              <w:br/>
            </w:r>
            <w:r>
              <w:rPr>
                <w:sz w:val="21"/>
              </w:rPr>
              <w:t>（</w:t>
            </w:r>
            <w:r>
              <w:rPr>
                <w:sz w:val="21"/>
              </w:rPr>
              <w:t>0.0262</w:t>
            </w:r>
            <w:r>
              <w:rPr>
                <w:sz w:val="21"/>
              </w:rPr>
              <w:t>）</w:t>
            </w:r>
          </w:p>
        </w:tc>
        <w:tc>
          <w:tcPr>
            <w:tcW w:w="255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0.1606***</w:t>
            </w:r>
            <w:r>
              <w:rPr>
                <w:sz w:val="21"/>
              </w:rPr>
              <w:br/>
            </w:r>
            <w:r>
              <w:rPr>
                <w:sz w:val="21"/>
              </w:rPr>
              <w:t>（</w:t>
            </w:r>
            <w:r>
              <w:rPr>
                <w:sz w:val="21"/>
              </w:rPr>
              <w:t>0.0258</w:t>
            </w:r>
            <w:r>
              <w:rPr>
                <w:sz w:val="21"/>
              </w:rPr>
              <w:t>）</w:t>
            </w:r>
          </w:p>
        </w:tc>
      </w:tr>
      <w:tr w:rsidR="0021426D">
        <w:trPr>
          <w:cantSplit/>
          <w:jc w:val="center"/>
        </w:trPr>
        <w:tc>
          <w:tcPr>
            <w:tcW w:w="3402"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21"/>
              </w:rPr>
              <w:t>建筑面积对数</w:t>
            </w:r>
          </w:p>
        </w:tc>
        <w:tc>
          <w:tcPr>
            <w:tcW w:w="255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w:t>
            </w:r>
          </w:p>
        </w:tc>
        <w:tc>
          <w:tcPr>
            <w:tcW w:w="255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-0.0340*</w:t>
            </w:r>
            <w:r>
              <w:rPr>
                <w:sz w:val="21"/>
              </w:rPr>
              <w:br/>
            </w:r>
            <w:r>
              <w:rPr>
                <w:sz w:val="21"/>
              </w:rPr>
              <w:t>（</w:t>
            </w:r>
            <w:r>
              <w:rPr>
                <w:sz w:val="21"/>
              </w:rPr>
              <w:t>0.0197</w:t>
            </w:r>
            <w:r>
              <w:rPr>
                <w:sz w:val="21"/>
              </w:rPr>
              <w:t>）</w:t>
            </w:r>
          </w:p>
        </w:tc>
      </w:tr>
      <w:tr w:rsidR="0021426D">
        <w:trPr>
          <w:cantSplit/>
          <w:jc w:val="center"/>
        </w:trPr>
        <w:tc>
          <w:tcPr>
            <w:tcW w:w="3402"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21"/>
              </w:rPr>
              <w:t>电梯配置</w:t>
            </w:r>
          </w:p>
        </w:tc>
        <w:tc>
          <w:tcPr>
            <w:tcW w:w="255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w:t>
            </w:r>
          </w:p>
        </w:tc>
        <w:tc>
          <w:tcPr>
            <w:tcW w:w="255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-0.0453</w:t>
            </w:r>
            <w:r>
              <w:rPr>
                <w:sz w:val="21"/>
              </w:rPr>
              <w:br/>
            </w:r>
            <w:r>
              <w:rPr>
                <w:sz w:val="21"/>
              </w:rPr>
              <w:t>（</w:t>
            </w:r>
            <w:r>
              <w:rPr>
                <w:sz w:val="21"/>
              </w:rPr>
              <w:t>0.0365</w:t>
            </w:r>
            <w:r>
              <w:rPr>
                <w:sz w:val="21"/>
              </w:rPr>
              <w:t>）</w:t>
            </w:r>
          </w:p>
        </w:tc>
      </w:tr>
      <w:tr w:rsidR="0021426D">
        <w:trPr>
          <w:cantSplit/>
          <w:jc w:val="center"/>
        </w:trPr>
        <w:tc>
          <w:tcPr>
            <w:tcW w:w="3402"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21"/>
              </w:rPr>
              <w:t>小区固定效应</w:t>
            </w:r>
          </w:p>
        </w:tc>
        <w:tc>
          <w:tcPr>
            <w:tcW w:w="255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是</w:t>
            </w:r>
          </w:p>
        </w:tc>
        <w:tc>
          <w:tcPr>
            <w:tcW w:w="255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是</w:t>
            </w:r>
          </w:p>
        </w:tc>
      </w:tr>
      <w:tr w:rsidR="0021426D">
        <w:trPr>
          <w:cantSplit/>
          <w:jc w:val="center"/>
        </w:trPr>
        <w:tc>
          <w:tcPr>
            <w:tcW w:w="3402"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21"/>
              </w:rPr>
              <w:t>季度固定效应</w:t>
            </w:r>
          </w:p>
        </w:tc>
        <w:tc>
          <w:tcPr>
            <w:tcW w:w="255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是</w:t>
            </w:r>
          </w:p>
        </w:tc>
        <w:tc>
          <w:tcPr>
            <w:tcW w:w="255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是</w:t>
            </w:r>
          </w:p>
        </w:tc>
      </w:tr>
      <w:tr w:rsidR="0021426D">
        <w:trPr>
          <w:cantSplit/>
          <w:jc w:val="center"/>
        </w:trPr>
        <w:tc>
          <w:tcPr>
            <w:tcW w:w="3402"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21"/>
              </w:rPr>
              <w:t>成交笔数</w:t>
            </w:r>
          </w:p>
        </w:tc>
        <w:tc>
          <w:tcPr>
            <w:tcW w:w="255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10867</w:t>
            </w:r>
          </w:p>
        </w:tc>
        <w:tc>
          <w:tcPr>
            <w:tcW w:w="255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10867</w:t>
            </w:r>
          </w:p>
        </w:tc>
      </w:tr>
      <w:tr w:rsidR="0021426D">
        <w:trPr>
          <w:cantSplit/>
          <w:jc w:val="center"/>
        </w:trPr>
        <w:tc>
          <w:tcPr>
            <w:tcW w:w="3402"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left"/>
            </w:pPr>
            <w:r>
              <w:rPr>
                <w:sz w:val="21"/>
              </w:rPr>
              <w:t>小区数</w:t>
            </w:r>
          </w:p>
        </w:tc>
        <w:tc>
          <w:tcPr>
            <w:tcW w:w="2551"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rPr>
              <w:t>607</w:t>
            </w:r>
          </w:p>
        </w:tc>
        <w:tc>
          <w:tcPr>
            <w:tcW w:w="2551"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rPr>
              <w:t>607</w:t>
            </w:r>
          </w:p>
        </w:tc>
      </w:tr>
    </w:tbl>
    <w:p w:rsidR="0021426D" w:rsidRDefault="00A661EE">
      <w:pPr>
        <w:keepLines/>
      </w:pPr>
      <w:r>
        <w:lastRenderedPageBreak/>
        <w:t>注：括号内为按小区聚类的标准误，含吸收固定效应秩的有限样本修正。</w:t>
      </w:r>
      <w:r>
        <w:t>***</w:t>
      </w:r>
      <w:r>
        <w:t>、</w:t>
      </w:r>
      <w:r>
        <w:t>**</w:t>
      </w:r>
      <w:r>
        <w:t>、</w:t>
      </w:r>
      <w:r>
        <w:t>*</w:t>
      </w:r>
      <w:r>
        <w:t>分别表示在</w:t>
      </w:r>
      <w:r>
        <w:t>1</w:t>
      </w:r>
      <w:r>
        <w:t>％、</w:t>
      </w:r>
      <w:r>
        <w:t>5</w:t>
      </w:r>
      <w:r>
        <w:t>％、</w:t>
      </w:r>
      <w:r>
        <w:t>10</w:t>
      </w:r>
      <w:r>
        <w:t>％水平上显著。两个规格使用相同成交样本。价格百分比按</w:t>
      </w:r>
      <w:r>
        <w:t>100×</w:t>
      </w:r>
      <w:r>
        <w:t>［</w:t>
      </w:r>
      <w:r>
        <w:t>exp</w:t>
      </w:r>
      <w:r>
        <w:t>（</w:t>
      </w:r>
      <w:r>
        <w:rPr>
          <w:i/>
        </w:rPr>
        <w:t>β</w:t>
      </w:r>
      <w:r>
        <w:t>）</w:t>
      </w:r>
      <w:r>
        <w:t>−</w:t>
      </w:r>
      <w:r>
        <w:t>1</w:t>
      </w:r>
      <w:r>
        <w:t>］换算。单个处理商圈的共同冲击仍需在项目层面的研究设计中辨析。</w:t>
      </w:r>
    </w:p>
    <w:p w:rsidR="0021426D" w:rsidRDefault="00A661EE">
      <w:pPr>
        <w:ind w:firstLineChars="200" w:firstLine="480"/>
      </w:pPr>
      <w:r>
        <w:rPr>
          <w:rFonts w:hint="eastAsia"/>
        </w:rPr>
        <w:t>当前片区试点的基准交互系数为</w:t>
      </w:r>
      <w:r>
        <w:rPr>
          <w:rFonts w:hint="eastAsia"/>
        </w:rPr>
        <w:t>0.1597</w:t>
      </w:r>
      <w:r>
        <w:rPr>
          <w:rFonts w:hint="eastAsia"/>
        </w:rPr>
        <w:t>，加入住房属性后为</w:t>
      </w:r>
      <w:r>
        <w:rPr>
          <w:rFonts w:hint="eastAsia"/>
        </w:rPr>
        <w:t>0.1606</w:t>
      </w:r>
      <w:r>
        <w:rPr>
          <w:rFonts w:hint="eastAsia"/>
        </w:rPr>
        <w:t>，换算为</w:t>
      </w:r>
      <w:r>
        <w:rPr>
          <w:rFonts w:hint="eastAsia"/>
        </w:rPr>
        <w:t>17.42</w:t>
      </w:r>
      <w:r>
        <w:rPr>
          <w:rFonts w:hint="eastAsia"/>
        </w:rPr>
        <w:t>％的事件后相对价格变化，</w:t>
      </w:r>
      <w:r>
        <w:rPr>
          <w:rFonts w:hint="eastAsia"/>
        </w:rPr>
        <w:t>95</w:t>
      </w:r>
      <w:r>
        <w:rPr>
          <w:rFonts w:hint="eastAsia"/>
        </w:rPr>
        <w:t>％置信区间为</w:t>
      </w:r>
      <w:r>
        <w:rPr>
          <w:rFonts w:hint="eastAsia"/>
        </w:rPr>
        <w:t>11.62</w:t>
      </w:r>
      <w:r>
        <w:rPr>
          <w:rFonts w:hint="eastAsia"/>
        </w:rPr>
        <w:t>％至</w:t>
      </w:r>
      <w:r>
        <w:rPr>
          <w:rFonts w:hint="eastAsia"/>
        </w:rPr>
        <w:t>23.52</w:t>
      </w:r>
      <w:r>
        <w:rPr>
          <w:rFonts w:hint="eastAsia"/>
        </w:rPr>
        <w:t>％。固定事件前后均有成交的小区后，估计为</w:t>
      </w:r>
      <w:r>
        <w:rPr>
          <w:rFonts w:hint="eastAsia"/>
        </w:rPr>
        <w:t>17.38</w:t>
      </w:r>
      <w:r>
        <w:rPr>
          <w:rFonts w:hint="eastAsia"/>
        </w:rPr>
        <w:t>％；每侧至少四个季度有成交的小区样本为</w:t>
      </w:r>
      <w:r>
        <w:rPr>
          <w:rFonts w:hint="eastAsia"/>
        </w:rPr>
        <w:t>19.33</w:t>
      </w:r>
      <w:r>
        <w:rPr>
          <w:rFonts w:hint="eastAsia"/>
        </w:rPr>
        <w:t>％；</w:t>
      </w:r>
      <w:r>
        <w:rPr>
          <w:rFonts w:hint="eastAsia"/>
        </w:rPr>
        <w:t>2018</w:t>
      </w:r>
      <w:r>
        <w:rPr>
          <w:rFonts w:hint="eastAsia"/>
        </w:rPr>
        <w:t>—</w:t>
      </w:r>
      <w:r>
        <w:rPr>
          <w:rFonts w:hint="eastAsia"/>
        </w:rPr>
        <w:t>2021</w:t>
      </w:r>
      <w:r>
        <w:rPr>
          <w:rFonts w:hint="eastAsia"/>
        </w:rPr>
        <w:t>年短窗口为</w:t>
      </w:r>
      <w:r>
        <w:rPr>
          <w:rFonts w:hint="eastAsia"/>
        </w:rPr>
        <w:t>16.59</w:t>
      </w:r>
      <w:r>
        <w:rPr>
          <w:rFonts w:hint="eastAsia"/>
        </w:rPr>
        <w:t>％；加入处理片区线性趋势后降为</w:t>
      </w:r>
      <w:r>
        <w:rPr>
          <w:rFonts w:hint="eastAsia"/>
        </w:rPr>
        <w:t>13.33</w:t>
      </w:r>
      <w:r>
        <w:rPr>
          <w:rFonts w:hint="eastAsia"/>
        </w:rPr>
        <w:t>％。这些规格变化说明当前系数对样本与趋势设定的敏感程度，不构成正式项目效应已经稳健成立的证明。其因果解释还需结合下文的事件前诊断、项目事件核验和有效比较组判断。</w:t>
      </w:r>
    </w:p>
    <w:p w:rsidR="0021426D" w:rsidRDefault="00A661EE">
      <w:pPr>
        <w:pStyle w:val="3"/>
        <w:keepNext/>
        <w:spacing w:before="120" w:after="120"/>
        <w:jc w:val="left"/>
      </w:pPr>
      <w:bookmarkStart w:id="24" w:name="_Toc242490935"/>
      <w:r>
        <w:t xml:space="preserve">3.3.3  </w:t>
      </w:r>
      <w:r>
        <w:t>动态走势与事件前检验</w:t>
      </w:r>
      <w:bookmarkEnd w:id="24"/>
    </w:p>
    <w:p w:rsidR="0021426D" w:rsidRDefault="00A661EE">
      <w:pPr>
        <w:ind w:firstLineChars="200" w:firstLine="480"/>
      </w:pPr>
      <w:r>
        <w:t>为了判断基准系数反映的变化在何时形成，季度事件研究以</w:t>
      </w:r>
      <w:r>
        <w:t>2019</w:t>
      </w:r>
      <w:r>
        <w:t>年第四季度为参照，观察各期相对价格路径。值得注意的是，事件前联合检验的</w:t>
      </w:r>
      <w:r>
        <w:t>F</w:t>
      </w:r>
      <w:r>
        <w:t>统计量为</w:t>
      </w:r>
      <w:r>
        <w:t>12.325</w:t>
      </w:r>
      <w:r>
        <w:t>，</w:t>
      </w:r>
      <w:r>
        <w:t>p</w:t>
      </w:r>
      <w:r>
        <w:t>值约为</w:t>
      </w:r>
      <w:r>
        <w:t>3.94×10⁻²¹</w:t>
      </w:r>
      <w:r>
        <w:t>，翠竹与比较商圈在选定开工前已经存在系统性走势差异。将</w:t>
      </w:r>
      <w:r>
        <w:t>2019</w:t>
      </w:r>
      <w:r>
        <w:t>年第一季度设为伪事件、仅使用</w:t>
      </w:r>
      <w:r>
        <w:t>2017—2019</w:t>
      </w:r>
      <w:r>
        <w:t>年成交，也得到</w:t>
      </w:r>
      <w:r>
        <w:t>8.61</w:t>
      </w:r>
      <w:r>
        <w:t>％的相对变化，</w:t>
      </w:r>
      <w:r>
        <w:t>95</w:t>
      </w:r>
      <w:r>
        <w:t>％区间为</w:t>
      </w:r>
      <w:r>
        <w:t>4.77</w:t>
      </w:r>
      <w:r>
        <w:t>％至</w:t>
      </w:r>
      <w:r>
        <w:t>12.59</w:t>
      </w:r>
      <w:r>
        <w:t>％。半年度模型重新估计后，事件前检验仍拒绝系数共同为零，</w:t>
      </w:r>
      <w:r>
        <w:t>F</w:t>
      </w:r>
      <w:r>
        <w:t>为</w:t>
      </w:r>
      <w:r>
        <w:t>17.899</w:t>
      </w:r>
      <w:r>
        <w:t>，</w:t>
      </w:r>
      <w:r>
        <w:t>p</w:t>
      </w:r>
      <w:r>
        <w:t>约为</w:t>
      </w:r>
      <w:r>
        <w:t>1.41×10⁻¹⁶</w:t>
      </w:r>
      <w:r>
        <w:t>。因此，提前变化可能涉及更新预期、片区趋势或同期事项，具体来源需要项目档案与可比样本进一步区分；当前动态证据尚不足以将基准结果归结为拆除重建的因果效应。</w:t>
      </w:r>
    </w:p>
    <w:p w:rsidR="0021426D" w:rsidRDefault="00A661EE">
      <w:pPr>
        <w:jc w:val="center"/>
      </w:pPr>
      <w:r>
        <w:rPr>
          <w:noProof/>
        </w:rPr>
        <w:drawing>
          <wp:inline distT="0" distB="0" distL="0" distR="0">
            <wp:extent cx="5399405" cy="2699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400000" cy="2700000"/>
                    </a:xfrm>
                    <a:prstGeom prst="rect">
                      <a:avLst/>
                    </a:prstGeom>
                  </pic:spPr>
                </pic:pic>
              </a:graphicData>
            </a:graphic>
          </wp:inline>
        </w:drawing>
      </w:r>
    </w:p>
    <w:p w:rsidR="0021426D" w:rsidRDefault="00A661EE">
      <w:pPr>
        <w:jc w:val="center"/>
      </w:pPr>
      <w:r>
        <w:t>图</w:t>
      </w:r>
      <w:r>
        <w:t xml:space="preserve">3-2  </w:t>
      </w:r>
      <w:r>
        <w:t>翠竹片区季度事件研究及</w:t>
      </w:r>
      <w:r>
        <w:t>95</w:t>
      </w:r>
      <w:r>
        <w:t>％置信区间</w:t>
      </w:r>
    </w:p>
    <w:p w:rsidR="0021426D" w:rsidRDefault="00A661EE">
      <w:r>
        <w:lastRenderedPageBreak/>
        <w:t>注：空心点表示</w:t>
      </w:r>
      <w:r>
        <w:t>2019</w:t>
      </w:r>
      <w:r>
        <w:t>年第四季度参照值；事件时间零对应</w:t>
      </w:r>
      <w:r>
        <w:t>2020</w:t>
      </w:r>
      <w:r>
        <w:t>年第二季度。</w:t>
      </w:r>
      <w:r>
        <w:t>2021</w:t>
      </w:r>
      <w:r>
        <w:t>年第四季度缺少翠竹成交记录，该期没有可估计的成交支持。部分季度成交笔数较少，置信区间相应较宽。</w:t>
      </w:r>
    </w:p>
    <w:p w:rsidR="0021426D" w:rsidRDefault="00A661EE">
      <w:pPr>
        <w:pStyle w:val="3"/>
        <w:keepNext/>
        <w:spacing w:before="120" w:after="120"/>
        <w:jc w:val="left"/>
      </w:pPr>
      <w:bookmarkStart w:id="25" w:name="_Toc242490936"/>
      <w:r>
        <w:t xml:space="preserve">3.3.4  </w:t>
      </w:r>
      <w:r>
        <w:t>项目主回归与经济机制的衔接</w:t>
      </w:r>
      <w:bookmarkEnd w:id="25"/>
    </w:p>
    <w:p w:rsidR="0021426D" w:rsidRDefault="00A661EE">
      <w:pPr>
        <w:ind w:firstLineChars="200" w:firstLine="480"/>
      </w:pPr>
      <w:r>
        <w:t>现阶段已完成真实成交清理、片区代理</w:t>
      </w:r>
      <w:r>
        <w:t>DID</w:t>
      </w:r>
      <w:r>
        <w:t>、季度与半年度动态走势、伪事件及样本和规格敏感性检验。当前处理赋值来自商圈标签，而非正式项目红线，结果反映片区相对变化。下一步优先核定拆除范围、分期日期和住宅基期位置，建立项目与周边既有住宅的空间连接，在事件前后有共同支持的样本上估计项目组别</w:t>
      </w:r>
      <w:r>
        <w:t>—</w:t>
      </w:r>
      <w:r>
        <w:t>时期平均处理效应及动态汇总。正式项目</w:t>
      </w:r>
      <w:r>
        <w:t>ATT</w:t>
      </w:r>
      <w:r>
        <w:t>、距离衰减、更新类型差异、服务改善与净供给机制、图测度增量目前均为待完成工作。公告、施工、建成与开放各阶段的解释分别依赖其事件证据；空间和图像测量用于刻画暴露差异，不能替代反事实比较。</w:t>
      </w:r>
    </w:p>
    <w:p w:rsidR="0021426D" w:rsidRDefault="00A661EE">
      <w:pPr>
        <w:ind w:firstLineChars="200" w:firstLine="480"/>
      </w:pPr>
      <w:r>
        <w:t>木头龙与布心一期、二期已分别建立阶段资料。布心商圈在</w:t>
      </w:r>
      <w:r>
        <w:t>2017—2023</w:t>
      </w:r>
      <w:r>
        <w:t>年样本中有</w:t>
      </w:r>
      <w:r>
        <w:t>759</w:t>
      </w:r>
      <w:r>
        <w:t>笔成交、</w:t>
      </w:r>
      <w:r>
        <w:t>63</w:t>
      </w:r>
      <w:r>
        <w:t>个小区，</w:t>
      </w:r>
      <w:r>
        <w:t>28</w:t>
      </w:r>
      <w:r>
        <w:t>个季度均有记录。该商圈标签与一期、二期拆除边界具有不同的空间含义，现有商圈比较用于检验数据和事件窗口，项目效应将在红线与住宅位置连接后估计。</w:t>
      </w:r>
    </w:p>
    <w:p w:rsidR="0021426D" w:rsidRDefault="00A661EE">
      <w:pPr>
        <w:pStyle w:val="3"/>
        <w:keepNext/>
        <w:spacing w:before="120" w:after="120"/>
        <w:jc w:val="left"/>
      </w:pPr>
      <w:bookmarkStart w:id="26" w:name="_Toc242490937"/>
      <w:r>
        <w:t xml:space="preserve">3.3.5  </w:t>
      </w:r>
      <w:r>
        <w:t>布心村</w:t>
      </w:r>
      <w:r>
        <w:rPr>
          <w:rFonts w:hint="eastAsia"/>
        </w:rPr>
        <w:t>、</w:t>
      </w:r>
      <w:r>
        <w:t>水围村阶段回归与事件前检验</w:t>
      </w:r>
      <w:bookmarkEnd w:id="26"/>
    </w:p>
    <w:p w:rsidR="0021426D" w:rsidRDefault="00A661EE">
      <w:pPr>
        <w:ind w:firstLineChars="200" w:firstLine="480"/>
      </w:pPr>
      <w:r>
        <w:t>布心村</w:t>
      </w:r>
      <w:r>
        <w:rPr>
          <w:rFonts w:hint="eastAsia"/>
        </w:rPr>
        <w:t>、</w:t>
      </w:r>
      <w:r>
        <w:t>水围村作为城中村拆除重建案例，</w:t>
      </w:r>
      <w:r>
        <w:rPr>
          <w:rFonts w:hint="eastAsia"/>
        </w:rPr>
        <w:t>为我们</w:t>
      </w:r>
      <w:r>
        <w:t>进一步提供分期事件与周边市场变化的分析场景。初步回归使用</w:t>
      </w:r>
      <w:r>
        <w:t>2017—2023</w:t>
      </w:r>
      <w:r>
        <w:t>年罗湖普通商品住宅成交，以来源商圈标签</w:t>
      </w:r>
      <w:r>
        <w:t>“</w:t>
      </w:r>
      <w:r>
        <w:t>布心</w:t>
      </w:r>
      <w:r>
        <w:t>”</w:t>
      </w:r>
      <w:r>
        <w:t>作为片区处理代理，罗湖其他商圈作为比较样本。布心样本为</w:t>
      </w:r>
      <w:r>
        <w:t>759</w:t>
      </w:r>
      <w:r>
        <w:t>笔成交、</w:t>
      </w:r>
      <w:r>
        <w:t>63</w:t>
      </w:r>
      <w:r>
        <w:t>个小区、</w:t>
      </w:r>
      <w:r>
        <w:t>28</w:t>
      </w:r>
      <w:r>
        <w:t>个季度；完整回归样本随事件切点变化为</w:t>
      </w:r>
      <w:r>
        <w:t>10500</w:t>
      </w:r>
      <w:r>
        <w:t>至</w:t>
      </w:r>
      <w:r>
        <w:t>11096</w:t>
      </w:r>
      <w:r>
        <w:t>笔。事件所在季度单列为过渡期，下一完整季度作为事件后时期，控制成交面积对数、电梯、小区和日历季度固定效应。项目红线与住宅空间归属将进一步核定。</w:t>
      </w:r>
    </w:p>
    <w:p w:rsidR="0021426D" w:rsidRDefault="00A661EE">
      <w:pPr>
        <w:keepNext/>
        <w:jc w:val="center"/>
      </w:pPr>
      <w:r>
        <w:lastRenderedPageBreak/>
        <w:t>表</w:t>
      </w:r>
      <w:r>
        <w:t xml:space="preserve">3-6  </w:t>
      </w:r>
      <w:r>
        <w:t>布心商圈代理</w:t>
      </w:r>
      <w:r>
        <w:t>DID</w:t>
      </w:r>
      <w:r>
        <w:t>结果</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2381"/>
        <w:gridCol w:w="1247"/>
        <w:gridCol w:w="1247"/>
        <w:gridCol w:w="2381"/>
        <w:gridCol w:w="1247"/>
      </w:tblGrid>
      <w:tr w:rsidR="0021426D">
        <w:trPr>
          <w:cantSplit/>
          <w:tblHeader/>
          <w:jc w:val="center"/>
        </w:trPr>
        <w:tc>
          <w:tcPr>
            <w:tcW w:w="2381"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left"/>
            </w:pPr>
            <w:r>
              <w:rPr>
                <w:b/>
                <w:sz w:val="21"/>
              </w:rPr>
              <w:t>事件切点</w:t>
            </w:r>
          </w:p>
        </w:tc>
        <w:tc>
          <w:tcPr>
            <w:tcW w:w="1247"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rPr>
              <w:t>首个完整后季度</w:t>
            </w:r>
          </w:p>
        </w:tc>
        <w:tc>
          <w:tcPr>
            <w:tcW w:w="1247"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rPr>
              <w:t>相对价格变化</w:t>
            </w:r>
          </w:p>
        </w:tc>
        <w:tc>
          <w:tcPr>
            <w:tcW w:w="2381"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rPr>
              <w:t>95</w:t>
            </w:r>
            <w:r>
              <w:rPr>
                <w:b/>
                <w:sz w:val="21"/>
              </w:rPr>
              <w:t>％置信区间</w:t>
            </w:r>
          </w:p>
        </w:tc>
        <w:tc>
          <w:tcPr>
            <w:tcW w:w="1247"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rPr>
              <w:t>回归成交数</w:t>
            </w:r>
          </w:p>
        </w:tc>
      </w:tr>
      <w:tr w:rsidR="0021426D">
        <w:trPr>
          <w:cantSplit/>
          <w:jc w:val="center"/>
        </w:trPr>
        <w:tc>
          <w:tcPr>
            <w:tcW w:w="2381"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21"/>
              </w:rPr>
              <w:t>一期主体确认公示</w:t>
            </w:r>
            <w:r>
              <w:rPr>
                <w:sz w:val="21"/>
              </w:rPr>
              <w:t xml:space="preserve"> 2020-08-28</w:t>
            </w:r>
          </w:p>
        </w:tc>
        <w:tc>
          <w:tcPr>
            <w:tcW w:w="1247"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2020Q4</w:t>
            </w:r>
          </w:p>
        </w:tc>
        <w:tc>
          <w:tcPr>
            <w:tcW w:w="1247"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+3.67</w:t>
            </w:r>
            <w:r>
              <w:rPr>
                <w:sz w:val="21"/>
              </w:rPr>
              <w:t>％</w:t>
            </w:r>
          </w:p>
        </w:tc>
        <w:tc>
          <w:tcPr>
            <w:tcW w:w="238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-0.02</w:t>
            </w:r>
            <w:r>
              <w:rPr>
                <w:sz w:val="21"/>
              </w:rPr>
              <w:t>％至</w:t>
            </w:r>
            <w:r>
              <w:rPr>
                <w:sz w:val="21"/>
              </w:rPr>
              <w:t>+7.50</w:t>
            </w:r>
            <w:r>
              <w:rPr>
                <w:sz w:val="21"/>
              </w:rPr>
              <w:t>％</w:t>
            </w:r>
          </w:p>
        </w:tc>
        <w:tc>
          <w:tcPr>
            <w:tcW w:w="1247"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10500</w:t>
            </w:r>
          </w:p>
        </w:tc>
      </w:tr>
      <w:tr w:rsidR="0021426D">
        <w:trPr>
          <w:cantSplit/>
          <w:jc w:val="center"/>
        </w:trPr>
        <w:tc>
          <w:tcPr>
            <w:tcW w:w="2381"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21"/>
              </w:rPr>
              <w:t>一期集中开工活动</w:t>
            </w:r>
            <w:r>
              <w:rPr>
                <w:sz w:val="21"/>
              </w:rPr>
              <w:t xml:space="preserve"> 2021-02-24</w:t>
            </w:r>
          </w:p>
        </w:tc>
        <w:tc>
          <w:tcPr>
            <w:tcW w:w="1247"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2021Q2</w:t>
            </w:r>
          </w:p>
        </w:tc>
        <w:tc>
          <w:tcPr>
            <w:tcW w:w="1247"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+1.17</w:t>
            </w:r>
            <w:r>
              <w:rPr>
                <w:sz w:val="21"/>
              </w:rPr>
              <w:t>％</w:t>
            </w:r>
          </w:p>
        </w:tc>
        <w:tc>
          <w:tcPr>
            <w:tcW w:w="238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-1.30</w:t>
            </w:r>
            <w:r>
              <w:rPr>
                <w:sz w:val="21"/>
              </w:rPr>
              <w:t>％至</w:t>
            </w:r>
            <w:r>
              <w:rPr>
                <w:sz w:val="21"/>
              </w:rPr>
              <w:t>+3.69</w:t>
            </w:r>
            <w:r>
              <w:rPr>
                <w:sz w:val="21"/>
              </w:rPr>
              <w:t>％</w:t>
            </w:r>
          </w:p>
        </w:tc>
        <w:tc>
          <w:tcPr>
            <w:tcW w:w="1247"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10674</w:t>
            </w:r>
          </w:p>
        </w:tc>
      </w:tr>
      <w:tr w:rsidR="0021426D">
        <w:trPr>
          <w:cantSplit/>
          <w:jc w:val="center"/>
        </w:trPr>
        <w:tc>
          <w:tcPr>
            <w:tcW w:w="2381"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21"/>
              </w:rPr>
              <w:t>二期主体确认公示</w:t>
            </w:r>
            <w:r>
              <w:rPr>
                <w:sz w:val="21"/>
              </w:rPr>
              <w:t xml:space="preserve"> 2021-04-09</w:t>
            </w:r>
          </w:p>
        </w:tc>
        <w:tc>
          <w:tcPr>
            <w:tcW w:w="1247"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2021Q3</w:t>
            </w:r>
          </w:p>
        </w:tc>
        <w:tc>
          <w:tcPr>
            <w:tcW w:w="1247"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-0.14</w:t>
            </w:r>
            <w:r>
              <w:rPr>
                <w:sz w:val="21"/>
              </w:rPr>
              <w:t>％</w:t>
            </w:r>
          </w:p>
        </w:tc>
        <w:tc>
          <w:tcPr>
            <w:tcW w:w="2381"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-2.56</w:t>
            </w:r>
            <w:r>
              <w:rPr>
                <w:sz w:val="21"/>
              </w:rPr>
              <w:t>％至</w:t>
            </w:r>
            <w:r>
              <w:rPr>
                <w:sz w:val="21"/>
              </w:rPr>
              <w:t>+2.34</w:t>
            </w:r>
            <w:r>
              <w:rPr>
                <w:sz w:val="21"/>
              </w:rPr>
              <w:t>％</w:t>
            </w:r>
          </w:p>
        </w:tc>
        <w:tc>
          <w:tcPr>
            <w:tcW w:w="1247"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rPr>
              <w:t>10942</w:t>
            </w:r>
          </w:p>
        </w:tc>
      </w:tr>
      <w:tr w:rsidR="0021426D">
        <w:trPr>
          <w:cantSplit/>
          <w:jc w:val="center"/>
        </w:trPr>
        <w:tc>
          <w:tcPr>
            <w:tcW w:w="2381"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left"/>
            </w:pPr>
            <w:r>
              <w:rPr>
                <w:sz w:val="21"/>
              </w:rPr>
              <w:t>二期施工日期线索</w:t>
            </w:r>
            <w:r>
              <w:rPr>
                <w:sz w:val="21"/>
              </w:rPr>
              <w:t xml:space="preserve"> 2021-07-08</w:t>
            </w:r>
          </w:p>
        </w:tc>
        <w:tc>
          <w:tcPr>
            <w:tcW w:w="1247"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rPr>
              <w:t>2021Q4</w:t>
            </w:r>
          </w:p>
        </w:tc>
        <w:tc>
          <w:tcPr>
            <w:tcW w:w="1247"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rPr>
              <w:t>-0.15</w:t>
            </w:r>
            <w:r>
              <w:rPr>
                <w:sz w:val="21"/>
              </w:rPr>
              <w:t>％</w:t>
            </w:r>
          </w:p>
        </w:tc>
        <w:tc>
          <w:tcPr>
            <w:tcW w:w="2381"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rPr>
              <w:t>-2.61</w:t>
            </w:r>
            <w:r>
              <w:rPr>
                <w:sz w:val="21"/>
              </w:rPr>
              <w:t>％至</w:t>
            </w:r>
            <w:r>
              <w:rPr>
                <w:sz w:val="21"/>
              </w:rPr>
              <w:t>+2.36</w:t>
            </w:r>
            <w:r>
              <w:rPr>
                <w:sz w:val="21"/>
              </w:rPr>
              <w:t>％</w:t>
            </w:r>
          </w:p>
        </w:tc>
        <w:tc>
          <w:tcPr>
            <w:tcW w:w="1247"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rPr>
              <w:t>11096</w:t>
            </w:r>
          </w:p>
        </w:tc>
      </w:tr>
    </w:tbl>
    <w:p w:rsidR="0021426D" w:rsidRDefault="00A661EE">
      <w:pPr>
        <w:ind w:firstLineChars="200" w:firstLine="480"/>
      </w:pPr>
      <w:r>
        <w:t>四个事件切点的交互项区间均覆盖零。将布心商圈视作整体处理区域后，主体确认和集中开工阶段的平均价格变化分别为</w:t>
      </w:r>
      <w:r>
        <w:t>3.67</w:t>
      </w:r>
      <w:r>
        <w:t>％和</w:t>
      </w:r>
      <w:r>
        <w:t>1.17</w:t>
      </w:r>
      <w:r>
        <w:t>％，二期两个阶段接近零。结果与简单的切点前后均值不同，说明控制罗湖共同季度变化和小区固定属性后，商圈平均价格差异明显缩小。</w:t>
      </w:r>
    </w:p>
    <w:p w:rsidR="0021426D" w:rsidRDefault="00A661EE">
      <w:pPr>
        <w:ind w:firstLineChars="200" w:firstLine="480"/>
      </w:pPr>
      <w:r>
        <w:rPr>
          <w:rFonts w:hint="eastAsia"/>
        </w:rPr>
        <w:t>同时，</w:t>
      </w:r>
      <w:r>
        <w:rPr>
          <w:rFonts w:hint="eastAsia"/>
        </w:rPr>
        <w:t>与翠竹的诊断相呼应</w:t>
      </w:r>
      <w:r>
        <w:rPr>
          <w:rFonts w:hint="eastAsia"/>
        </w:rPr>
        <w:t>的是</w:t>
      </w:r>
      <w:r>
        <w:rPr>
          <w:rFonts w:hint="eastAsia"/>
        </w:rPr>
        <w:t>，布心</w:t>
      </w:r>
      <w:r>
        <w:rPr>
          <w:rFonts w:hint="eastAsia"/>
        </w:rPr>
        <w:t>村</w:t>
      </w:r>
      <w:r>
        <w:rPr>
          <w:rFonts w:hint="eastAsia"/>
        </w:rPr>
        <w:t>的事件前路径也提示比较条件需要进一步核定。使用全部事件前季度时，四个切点的联合检验</w:t>
      </w:r>
      <w:r>
        <w:rPr>
          <w:rFonts w:hint="eastAsia"/>
        </w:rPr>
        <w:t>p</w:t>
      </w:r>
      <w:r>
        <w:rPr>
          <w:rFonts w:hint="eastAsia"/>
        </w:rPr>
        <w:t>值分别为</w:t>
      </w:r>
      <w:r>
        <w:rPr>
          <w:rFonts w:hint="eastAsia"/>
        </w:rPr>
        <w:t>0.025</w:t>
      </w:r>
      <w:r>
        <w:rPr>
          <w:rFonts w:hint="eastAsia"/>
        </w:rPr>
        <w:t>、约</w:t>
      </w:r>
      <w:r>
        <w:rPr>
          <w:rFonts w:hint="eastAsia"/>
        </w:rPr>
        <w:t>0.000006</w:t>
      </w:r>
      <w:r>
        <w:rPr>
          <w:rFonts w:hint="eastAsia"/>
        </w:rPr>
        <w:t>、约</w:t>
      </w:r>
      <w:r>
        <w:rPr>
          <w:rFonts w:hint="eastAsia"/>
        </w:rPr>
        <w:t>0.000002</w:t>
      </w:r>
      <w:r>
        <w:rPr>
          <w:rFonts w:hint="eastAsia"/>
        </w:rPr>
        <w:t>和约</w:t>
      </w:r>
      <w:r>
        <w:rPr>
          <w:rFonts w:hint="eastAsia"/>
        </w:rPr>
        <w:t>0.000004</w:t>
      </w:r>
      <w:r>
        <w:rPr>
          <w:rFonts w:hint="eastAsia"/>
        </w:rPr>
        <w:t>；限定最近四个事件前季度后，仍分别为</w:t>
      </w:r>
      <w:r>
        <w:rPr>
          <w:rFonts w:hint="eastAsia"/>
        </w:rPr>
        <w:t>0.034</w:t>
      </w:r>
      <w:r>
        <w:rPr>
          <w:rFonts w:hint="eastAsia"/>
        </w:rPr>
        <w:t>、</w:t>
      </w:r>
      <w:r>
        <w:rPr>
          <w:rFonts w:hint="eastAsia"/>
        </w:rPr>
        <w:t>0.000623</w:t>
      </w:r>
      <w:r>
        <w:rPr>
          <w:rFonts w:hint="eastAsia"/>
        </w:rPr>
        <w:t>、</w:t>
      </w:r>
      <w:r>
        <w:rPr>
          <w:rFonts w:hint="eastAsia"/>
        </w:rPr>
        <w:t>0.001017</w:t>
      </w:r>
      <w:r>
        <w:rPr>
          <w:rFonts w:hint="eastAsia"/>
        </w:rPr>
        <w:t>和</w:t>
      </w:r>
      <w:r>
        <w:rPr>
          <w:rFonts w:hint="eastAsia"/>
        </w:rPr>
        <w:t>0.01068</w:t>
      </w:r>
      <w:r>
        <w:rPr>
          <w:rFonts w:hint="eastAsia"/>
        </w:rPr>
        <w:t>。换言之，改变事件前窗口并未消除相对走势差异。布心结果因而主要用于识别候选阶段、检查数据支持并改进项目样本设计，正式估计将按一期、二期拆除范围与住宅基期位置重新组织。</w:t>
      </w:r>
    </w:p>
    <w:p w:rsidR="0021426D" w:rsidRDefault="00A661EE">
      <w:pPr>
        <w:pStyle w:val="3"/>
        <w:keepNext/>
        <w:spacing w:before="120" w:after="120"/>
        <w:jc w:val="left"/>
      </w:pPr>
      <w:bookmarkStart w:id="27" w:name="_Toc242490938"/>
      <w:r>
        <w:t xml:space="preserve">3.3.6  </w:t>
      </w:r>
      <w:r>
        <w:t>追加检验与空间识别进展</w:t>
      </w:r>
      <w:bookmarkEnd w:id="27"/>
    </w:p>
    <w:p w:rsidR="0021426D" w:rsidRDefault="00A661EE">
      <w:pPr>
        <w:ind w:firstLineChars="200" w:firstLine="480"/>
      </w:pPr>
      <w:r>
        <w:rPr>
          <w:rFonts w:hint="eastAsia"/>
        </w:rPr>
        <w:t>具体而言，</w:t>
      </w:r>
      <w:r>
        <w:t>新增动态汇总按季度等权比较翠竹相对价格路径。</w:t>
      </w:r>
      <w:r>
        <w:t>2020</w:t>
      </w:r>
      <w:r>
        <w:t>年第二季度至</w:t>
      </w:r>
      <w:r>
        <w:t>2021</w:t>
      </w:r>
      <w:r>
        <w:t>年第一季度相对</w:t>
      </w:r>
      <w:r>
        <w:t>2019</w:t>
      </w:r>
      <w:r>
        <w:t>年第四季度的汇总变化为</w:t>
      </w:r>
      <w:r>
        <w:t>9.59</w:t>
      </w:r>
      <w:r>
        <w:t>％，</w:t>
      </w:r>
      <w:r>
        <w:t>95</w:t>
      </w:r>
      <w:r>
        <w:t>％区间为</w:t>
      </w:r>
      <w:r>
        <w:t>3.28</w:t>
      </w:r>
      <w:r>
        <w:t>％至</w:t>
      </w:r>
      <w:r>
        <w:t>16.28</w:t>
      </w:r>
      <w:r>
        <w:t>％；</w:t>
      </w:r>
      <w:r>
        <w:t>2022</w:t>
      </w:r>
      <w:r>
        <w:t>年第二季度至</w:t>
      </w:r>
      <w:r>
        <w:t>2023</w:t>
      </w:r>
      <w:r>
        <w:t>年第四季度为</w:t>
      </w:r>
      <w:r>
        <w:t>4.69</w:t>
      </w:r>
      <w:r>
        <w:t>％，区间为</w:t>
      </w:r>
      <w:r>
        <w:t>0.83</w:t>
      </w:r>
      <w:r>
        <w:t>％至</w:t>
      </w:r>
      <w:r>
        <w:t>8.71</w:t>
      </w:r>
      <w:r>
        <w:t>％。两段对数效应差异的</w:t>
      </w:r>
      <w:r>
        <w:rPr>
          <w:i/>
        </w:rPr>
        <w:t>p</w:t>
      </w:r>
      <w:r>
        <w:t>值为</w:t>
      </w:r>
      <w:r>
        <w:t>0.116</w:t>
      </w:r>
      <w:r>
        <w:t>，现有精度尚不足以确认阶段差异。基期楼龄检验以事件前小区建成年代中位数确定</w:t>
      </w:r>
      <w:r>
        <w:t>2019</w:t>
      </w:r>
      <w:r>
        <w:t>年楼龄，以</w:t>
      </w:r>
      <w:r>
        <w:t>21</w:t>
      </w:r>
      <w:r>
        <w:t>年划分组别，并控制楼龄组别与季度交互固定效应。较新、较老组的相对变化分别为</w:t>
      </w:r>
      <w:r>
        <w:t>15.50</w:t>
      </w:r>
      <w:r>
        <w:t>％和</w:t>
      </w:r>
      <w:r>
        <w:t>20.19</w:t>
      </w:r>
      <w:r>
        <w:t>％，组间对数差异系数为</w:t>
      </w:r>
      <w:r>
        <w:t>0.0397</w:t>
      </w:r>
      <w:r>
        <w:t>，</w:t>
      </w:r>
      <w:r>
        <w:t>95</w:t>
      </w:r>
      <w:r>
        <w:t>％区间为</w:t>
      </w:r>
      <w:r>
        <w:t>−</w:t>
      </w:r>
      <w:r>
        <w:t>0.0453</w:t>
      </w:r>
      <w:r>
        <w:t>至</w:t>
      </w:r>
      <w:r>
        <w:t>0.1247</w:t>
      </w:r>
      <w:r>
        <w:t>，</w:t>
      </w:r>
      <w:r>
        <w:rPr>
          <w:i/>
        </w:rPr>
        <w:t>p</w:t>
      </w:r>
      <w:r>
        <w:t>值为</w:t>
      </w:r>
      <w:r>
        <w:t>0.359</w:t>
      </w:r>
      <w:r>
        <w:t>。该检验反映住宅楼龄差异，老旧住宅区与城中村的项目类型检验仍待项目样本建立。</w:t>
      </w:r>
    </w:p>
    <w:p w:rsidR="0021426D" w:rsidRDefault="00A661EE">
      <w:pPr>
        <w:ind w:firstLineChars="200" w:firstLine="480"/>
      </w:pPr>
      <w:r>
        <w:rPr>
          <w:rFonts w:hint="eastAsia"/>
        </w:rPr>
        <w:t>值得注意的是，我们的</w:t>
      </w:r>
      <w:r>
        <w:t>空间工作已从官方一期、二期范围图提取拆除填色轮廓，得到两个图件坐标下的有效面。一期来自嵌入图像及透明通道，二期来自原生填色面。</w:t>
      </w:r>
      <w:r>
        <w:rPr>
          <w:rFonts w:hint="eastAsia"/>
        </w:rPr>
        <w:t>比较可惜的是，由于条件受限，片区</w:t>
      </w:r>
      <w:r>
        <w:t>当前</w:t>
      </w:r>
      <w:r>
        <w:rPr>
          <w:rFonts w:hint="eastAsia"/>
        </w:rPr>
        <w:t>的</w:t>
      </w:r>
      <w:r>
        <w:t>轮廓仍处于页面坐标，地</w:t>
      </w:r>
      <w:r>
        <w:lastRenderedPageBreak/>
        <w:t>理配准尚未完成。</w:t>
      </w:r>
      <w:r>
        <w:rPr>
          <w:rFonts w:hint="eastAsia"/>
        </w:rPr>
        <w:t>但是，</w:t>
      </w:r>
      <w:r>
        <w:t>621</w:t>
      </w:r>
      <w:r>
        <w:t>个住宅小区的位置已建立来源登记，独立坐标核验继续推进。道路、参照地物、控制点与住宅资料已经接入</w:t>
      </w:r>
      <w:r>
        <w:t>QGIS</w:t>
      </w:r>
      <w:r>
        <w:t>工程，真实边界距离和各距离档成交支持将随配准与住宅位置核验计算。</w:t>
      </w:r>
    </w:p>
    <w:p w:rsidR="0021426D" w:rsidRDefault="00A661EE">
      <w:pPr>
        <w:ind w:firstLineChars="200" w:firstLine="480"/>
      </w:pPr>
      <w:r>
        <w:rPr>
          <w:rFonts w:hint="eastAsia"/>
        </w:rPr>
        <w:t>截至本轮，正式项目</w:t>
      </w:r>
      <w:r>
        <w:rPr>
          <w:rFonts w:hint="eastAsia"/>
        </w:rPr>
        <w:t>ATT</w:t>
      </w:r>
      <w:r>
        <w:rPr>
          <w:rFonts w:hint="eastAsia"/>
        </w:rPr>
        <w:t>、距离衰减、项目类型异质性、服务改善、净供给机制及图神经网络增量均处于待估计阶段。已完成的真实价格回归、动态诊断和来源核验，为明确下一阶段的比较对象与数据需求提供了依据。</w:t>
      </w:r>
    </w:p>
    <w:p w:rsidR="0021426D" w:rsidRDefault="00A661EE">
      <w:pPr>
        <w:pStyle w:val="3"/>
        <w:keepNext/>
        <w:spacing w:before="120" w:after="120"/>
        <w:jc w:val="left"/>
      </w:pPr>
      <w:bookmarkStart w:id="28" w:name="_Toc242490939"/>
      <w:r>
        <w:t xml:space="preserve">3.3.7  </w:t>
      </w:r>
      <w:r>
        <w:t>项目身份与服务供给证据</w:t>
      </w:r>
      <w:bookmarkEnd w:id="28"/>
    </w:p>
    <w:p w:rsidR="0021426D" w:rsidRDefault="00A661EE">
      <w:pPr>
        <w:ind w:firstLine="480"/>
      </w:pPr>
      <w:r>
        <w:t>本轮通过官方物业查询、用地公开表、规划许可证与已有深圳土地记录，连接天珺府、天韵府和璟誉府三个名称及对应宗地。三者的建设主体均核定为深圳市京基房地产股份有限公司，物业管理单位另列为深圳市京基物业管理有限公司。项目名称用于建设身份与事件连接，周边既有住宅仍按事件前建成状态和边界外位置确定。</w:t>
      </w:r>
    </w:p>
    <w:p w:rsidR="0021426D" w:rsidRDefault="00A661EE">
      <w:pPr>
        <w:keepNext/>
        <w:jc w:val="center"/>
      </w:pPr>
      <w:r>
        <w:t>表</w:t>
      </w:r>
      <w:r>
        <w:t xml:space="preserve">3-7  </w:t>
      </w:r>
      <w:r>
        <w:t>布心更新项目名称与宗地核定</w:t>
      </w:r>
    </w:p>
    <w:tbl>
      <w:tblPr>
        <w:tblW w:w="8505" w:type="dxa"/>
        <w:jc w:val="center"/>
        <w:tblBorders>
          <w:top w:val="single" w:sz="8" w:space="0" w:color="auto"/>
          <w:bottom w:val="single" w:sz="8" w:space="0" w:color="auto"/>
        </w:tblBorders>
        <w:tblLayout w:type="fixed"/>
        <w:tblLook w:val="04A0" w:firstRow="1" w:lastRow="0" w:firstColumn="1" w:lastColumn="0" w:noHBand="0" w:noVBand="1"/>
      </w:tblPr>
      <w:tblGrid>
        <w:gridCol w:w="1000"/>
        <w:gridCol w:w="1200"/>
        <w:gridCol w:w="1600"/>
        <w:gridCol w:w="2300"/>
        <w:gridCol w:w="2405"/>
      </w:tblGrid>
      <w:tr w:rsidR="0021426D">
        <w:trPr>
          <w:cantSplit/>
          <w:tblHeader/>
          <w:jc w:val="center"/>
        </w:trPr>
        <w:tc>
          <w:tcPr>
            <w:tcW w:w="1000"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left"/>
            </w:pPr>
            <w:r>
              <w:rPr>
                <w:b/>
                <w:sz w:val="21"/>
                <w:szCs w:val="20"/>
              </w:rPr>
              <w:t>更新</w:t>
            </w:r>
            <w:r>
              <w:rPr>
                <w:b/>
                <w:sz w:val="21"/>
              </w:rPr>
              <w:br/>
            </w:r>
            <w:r>
              <w:rPr>
                <w:b/>
                <w:sz w:val="21"/>
                <w:szCs w:val="20"/>
              </w:rPr>
              <w:t>分期</w:t>
            </w:r>
          </w:p>
        </w:tc>
        <w:tc>
          <w:tcPr>
            <w:tcW w:w="1200"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szCs w:val="20"/>
              </w:rPr>
              <w:t>建设地块</w:t>
            </w:r>
          </w:p>
        </w:tc>
        <w:tc>
          <w:tcPr>
            <w:tcW w:w="1600"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szCs w:val="20"/>
              </w:rPr>
              <w:t>楼盘名称</w:t>
            </w:r>
          </w:p>
        </w:tc>
        <w:tc>
          <w:tcPr>
            <w:tcW w:w="2300"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szCs w:val="20"/>
              </w:rPr>
              <w:t>宗地号</w:t>
            </w:r>
          </w:p>
        </w:tc>
        <w:tc>
          <w:tcPr>
            <w:tcW w:w="2405"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szCs w:val="20"/>
              </w:rPr>
              <w:t>用地面积／平方米</w:t>
            </w:r>
          </w:p>
        </w:tc>
      </w:tr>
      <w:tr w:rsidR="0021426D">
        <w:trPr>
          <w:cantSplit/>
          <w:jc w:val="center"/>
        </w:trPr>
        <w:tc>
          <w:tcPr>
            <w:tcW w:w="1000"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21"/>
                <w:szCs w:val="20"/>
              </w:rPr>
              <w:t>一期</w:t>
            </w:r>
          </w:p>
        </w:tc>
        <w:tc>
          <w:tcPr>
            <w:tcW w:w="120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01-02</w:t>
            </w:r>
          </w:p>
        </w:tc>
        <w:tc>
          <w:tcPr>
            <w:tcW w:w="160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天珺府</w:t>
            </w:r>
          </w:p>
        </w:tc>
        <w:tc>
          <w:tcPr>
            <w:tcW w:w="230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H410-0083</w:t>
            </w:r>
          </w:p>
        </w:tc>
        <w:tc>
          <w:tcPr>
            <w:tcW w:w="2405"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12058.68</w:t>
            </w:r>
          </w:p>
        </w:tc>
      </w:tr>
      <w:tr w:rsidR="0021426D">
        <w:trPr>
          <w:cantSplit/>
          <w:jc w:val="center"/>
        </w:trPr>
        <w:tc>
          <w:tcPr>
            <w:tcW w:w="1000"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21"/>
                <w:szCs w:val="20"/>
              </w:rPr>
              <w:t>一期</w:t>
            </w:r>
          </w:p>
        </w:tc>
        <w:tc>
          <w:tcPr>
            <w:tcW w:w="120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01-01</w:t>
            </w:r>
          </w:p>
        </w:tc>
        <w:tc>
          <w:tcPr>
            <w:tcW w:w="160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天韵府</w:t>
            </w:r>
          </w:p>
        </w:tc>
        <w:tc>
          <w:tcPr>
            <w:tcW w:w="230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H410-0080</w:t>
            </w:r>
          </w:p>
        </w:tc>
        <w:tc>
          <w:tcPr>
            <w:tcW w:w="2405"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19457.94</w:t>
            </w:r>
          </w:p>
        </w:tc>
      </w:tr>
      <w:tr w:rsidR="0021426D">
        <w:trPr>
          <w:cantSplit/>
          <w:jc w:val="center"/>
        </w:trPr>
        <w:tc>
          <w:tcPr>
            <w:tcW w:w="1000"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left"/>
            </w:pPr>
            <w:r>
              <w:rPr>
                <w:sz w:val="21"/>
                <w:szCs w:val="20"/>
              </w:rPr>
              <w:t>二期</w:t>
            </w:r>
          </w:p>
        </w:tc>
        <w:tc>
          <w:tcPr>
            <w:tcW w:w="1200"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szCs w:val="20"/>
              </w:rPr>
              <w:t>02-01</w:t>
            </w:r>
          </w:p>
        </w:tc>
        <w:tc>
          <w:tcPr>
            <w:tcW w:w="1600"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szCs w:val="20"/>
              </w:rPr>
              <w:t>璟誉府</w:t>
            </w:r>
          </w:p>
        </w:tc>
        <w:tc>
          <w:tcPr>
            <w:tcW w:w="2300"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szCs w:val="20"/>
              </w:rPr>
              <w:t>H410-0085</w:t>
            </w:r>
          </w:p>
        </w:tc>
        <w:tc>
          <w:tcPr>
            <w:tcW w:w="2405"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szCs w:val="20"/>
              </w:rPr>
              <w:t>27616.69</w:t>
            </w:r>
          </w:p>
        </w:tc>
      </w:tr>
    </w:tbl>
    <w:p w:rsidR="0021426D" w:rsidRDefault="00A661EE">
      <w:pPr>
        <w:keepLines/>
      </w:pPr>
      <w:r>
        <w:t>资料来源：深圳市住房和建设局官方物业查询、罗湖区用地信息公开表及建设工程规划许可证。面积为建设地块口径。璟誉府物业接口中的建设单位为空，其建设主体由用地公开表与许可证交叉核定。</w:t>
      </w:r>
    </w:p>
    <w:p w:rsidR="0021426D" w:rsidRDefault="00A661EE">
      <w:pPr>
        <w:ind w:firstLine="480"/>
      </w:pPr>
      <w:r>
        <w:t>布心二期拆除用地面积为</w:t>
      </w:r>
      <w:r>
        <w:t>34383</w:t>
      </w:r>
      <w:r>
        <w:t>平方米，</w:t>
      </w:r>
      <w:r>
        <w:t>02-01</w:t>
      </w:r>
      <w:r>
        <w:t>建设地块为</w:t>
      </w:r>
      <w:r>
        <w:t>27616.69</w:t>
      </w:r>
      <w:r>
        <w:t>平方米，两者相差</w:t>
      </w:r>
      <w:r>
        <w:t>6766.31</w:t>
      </w:r>
      <w:r>
        <w:t>平方米。</w:t>
      </w:r>
      <w:r>
        <w:t>HG-2023-0001</w:t>
      </w:r>
      <w:r>
        <w:t>许可具体对应二期</w:t>
      </w:r>
      <w:r>
        <w:t>02-01</w:t>
      </w:r>
      <w:r>
        <w:t>地块的一期建设子项。拆除影响范围、建设宗地与报建子项据此分别建立连接，处理住宅的边界距离以核定拆除范围为依据。</w:t>
      </w:r>
    </w:p>
    <w:p w:rsidR="0021426D" w:rsidRDefault="00A661EE">
      <w:pPr>
        <w:ind w:firstLine="480"/>
      </w:pPr>
      <w:r>
        <w:t>服务改善方面，</w:t>
      </w:r>
      <w:r>
        <w:t>H410-0085</w:t>
      </w:r>
      <w:r>
        <w:t>许可列有</w:t>
      </w:r>
      <w:r>
        <w:t>14800</w:t>
      </w:r>
      <w:r>
        <w:t>平方米政府产权公共配套，由社区配套</w:t>
      </w:r>
      <w:r>
        <w:t>3150</w:t>
      </w:r>
      <w:r>
        <w:t>、幼儿园</w:t>
      </w:r>
      <w:r>
        <w:t>4800</w:t>
      </w:r>
      <w:r>
        <w:t>、公交首末站</w:t>
      </w:r>
      <w:r>
        <w:t>2700</w:t>
      </w:r>
      <w:r>
        <w:t>、公共充电站</w:t>
      </w:r>
      <w:r>
        <w:t>1100</w:t>
      </w:r>
      <w:r>
        <w:t>、社康</w:t>
      </w:r>
      <w:r>
        <w:t>2000</w:t>
      </w:r>
      <w:r>
        <w:t>、老年日间照料</w:t>
      </w:r>
      <w:r>
        <w:t>1000</w:t>
      </w:r>
      <w:r>
        <w:t>及警务室</w:t>
      </w:r>
      <w:r>
        <w:t>50</w:t>
      </w:r>
      <w:r>
        <w:t>平方米组成，另列</w:t>
      </w:r>
      <w:r>
        <w:t>1120</w:t>
      </w:r>
      <w:r>
        <w:t>平方米公共开放空间和</w:t>
      </w:r>
      <w:r>
        <w:t>1500</w:t>
      </w:r>
      <w:r>
        <w:t>平方米社区体育活动场地。上述数值属于</w:t>
      </w:r>
      <w:r>
        <w:t>2023</w:t>
      </w:r>
      <w:r>
        <w:t>年</w:t>
      </w:r>
      <w:r>
        <w:t>8</w:t>
      </w:r>
      <w:r>
        <w:t>月</w:t>
      </w:r>
      <w:r>
        <w:t>3</w:t>
      </w:r>
      <w:r>
        <w:t>日核发许可证的规划指标，设施实际开放日期、入口与准入条件继续核验。</w:t>
      </w:r>
    </w:p>
    <w:p w:rsidR="0021426D" w:rsidRDefault="00A661EE">
      <w:pPr>
        <w:ind w:firstLine="480"/>
      </w:pPr>
      <w:r>
        <w:t>住房供给方面，</w:t>
      </w:r>
      <w:r>
        <w:t>H410-0083</w:t>
      </w:r>
      <w:r>
        <w:t>许可分别列有</w:t>
      </w:r>
      <w:r>
        <w:t>52920</w:t>
      </w:r>
      <w:r>
        <w:t>平方米人才住房及保障性住房、</w:t>
      </w:r>
      <w:r>
        <w:t>38030</w:t>
      </w:r>
      <w:r>
        <w:t>平方米商务公寓和住宅户型比例表中的</w:t>
      </w:r>
      <w:r>
        <w:t>22</w:t>
      </w:r>
      <w:r>
        <w:t>户。罗湖区住房和建设局</w:t>
      </w:r>
      <w:r>
        <w:t>2025</w:t>
      </w:r>
      <w:r>
        <w:t>年</w:t>
      </w:r>
      <w:r>
        <w:lastRenderedPageBreak/>
        <w:t>11</w:t>
      </w:r>
      <w:r>
        <w:t>月</w:t>
      </w:r>
      <w:r>
        <w:t>24</w:t>
      </w:r>
      <w:r>
        <w:t>日配租公告中的京基天珺府共有</w:t>
      </w:r>
      <w:r>
        <w:t>995</w:t>
      </w:r>
      <w:r>
        <w:t>套单房、</w:t>
      </w:r>
      <w:r>
        <w:t>220</w:t>
      </w:r>
      <w:r>
        <w:t>套二房和</w:t>
      </w:r>
      <w:r>
        <w:t>56</w:t>
      </w:r>
      <w:r>
        <w:t>套三房，合计</w:t>
      </w:r>
      <w:r>
        <w:t>1271</w:t>
      </w:r>
      <w:r>
        <w:t>套公租房。许可户型表和配租公告的用途、范围与时间不同，实际子项及宗地覆盖仍需对齐。净供给竞争指标还需要核定拆除数量、可交易新增住房及替代关系，当前资料先用于区分供给构成。</w:t>
      </w:r>
    </w:p>
    <w:p w:rsidR="0021426D" w:rsidRDefault="00A661EE">
      <w:pPr>
        <w:keepLines/>
        <w:ind w:firstLineChars="200" w:firstLine="480"/>
      </w:pPr>
      <w:r>
        <w:t>资料来源</w:t>
      </w:r>
      <w:r>
        <w:rPr>
          <w:rFonts w:hint="eastAsia"/>
        </w:rPr>
        <w:t>为</w:t>
      </w:r>
      <w:r>
        <w:t>H410-0085</w:t>
      </w:r>
      <w:r>
        <w:t>规划许可证、</w:t>
      </w:r>
      <w:r>
        <w:t>H410-0083</w:t>
      </w:r>
      <w:r>
        <w:t>规划许可改</w:t>
      </w:r>
      <w:r>
        <w:t>2</w:t>
      </w:r>
      <w:r>
        <w:t>及罗湖区</w:t>
      </w:r>
      <w:r>
        <w:t>2025</w:t>
      </w:r>
      <w:r>
        <w:t>年第二批公租房配租通告。官方物业接口所报套数为零，</w:t>
      </w:r>
      <w:r>
        <w:rPr>
          <w:rFonts w:hint="eastAsia"/>
        </w:rPr>
        <w:t>等待官方通过数据接口的授权。</w:t>
      </w:r>
    </w:p>
    <w:p w:rsidR="0021426D" w:rsidRDefault="00A661EE">
      <w:pPr>
        <w:pStyle w:val="3"/>
        <w:keepNext/>
        <w:spacing w:before="120" w:after="120"/>
        <w:jc w:val="left"/>
      </w:pPr>
      <w:bookmarkStart w:id="29" w:name="_Toc242490940"/>
      <w:r>
        <w:t xml:space="preserve">3.3.8  </w:t>
      </w:r>
      <w:r>
        <w:t>事件事项与成交时间支持</w:t>
      </w:r>
      <w:bookmarkEnd w:id="29"/>
    </w:p>
    <w:p w:rsidR="0021426D" w:rsidRDefault="00A661EE">
      <w:pPr>
        <w:ind w:firstLine="480"/>
      </w:pPr>
      <w:r>
        <w:t>长期价格路径需要足够长的事件后成交窗口。现有清洗样本覆盖</w:t>
      </w:r>
      <w:r>
        <w:t>2017—2023</w:t>
      </w:r>
      <w:r>
        <w:t>年，本轮按真实日历季度核对</w:t>
      </w:r>
      <w:r>
        <w:t>11</w:t>
      </w:r>
      <w:r>
        <w:t>项项目事项的事前、过渡和事后记录。事件当季单列，下一季度作为首个完整事后季度；季度表同时列示没有成交的时期。表</w:t>
      </w:r>
      <w:r>
        <w:t>3-8</w:t>
      </w:r>
      <w:r>
        <w:t>展示部分事项的时间覆盖，布心计数仍为来源商圈口径。</w:t>
      </w:r>
    </w:p>
    <w:p w:rsidR="0021426D" w:rsidRDefault="00A661EE">
      <w:pPr>
        <w:keepNext/>
        <w:jc w:val="center"/>
      </w:pPr>
      <w:r>
        <w:t>表</w:t>
      </w:r>
      <w:r>
        <w:t xml:space="preserve">3-8  </w:t>
      </w:r>
      <w:r>
        <w:t>项目事项与现有清洗样本的事后成交支持</w:t>
      </w:r>
    </w:p>
    <w:tbl>
      <w:tblPr>
        <w:tblW w:w="8505" w:type="dxa"/>
        <w:jc w:val="center"/>
        <w:tblBorders>
          <w:top w:val="single" w:sz="8" w:space="0" w:color="auto"/>
          <w:bottom w:val="single" w:sz="8" w:space="0" w:color="auto"/>
        </w:tblBorders>
        <w:tblLayout w:type="fixed"/>
        <w:tblLook w:val="04A0" w:firstRow="1" w:lastRow="0" w:firstColumn="1" w:lastColumn="0" w:noHBand="0" w:noVBand="1"/>
      </w:tblPr>
      <w:tblGrid>
        <w:gridCol w:w="3105"/>
        <w:gridCol w:w="1350"/>
        <w:gridCol w:w="1150"/>
        <w:gridCol w:w="1450"/>
        <w:gridCol w:w="1450"/>
      </w:tblGrid>
      <w:tr w:rsidR="0021426D">
        <w:trPr>
          <w:cantSplit/>
          <w:tblHeader/>
          <w:jc w:val="center"/>
        </w:trPr>
        <w:tc>
          <w:tcPr>
            <w:tcW w:w="3105"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left"/>
            </w:pPr>
            <w:r>
              <w:rPr>
                <w:b/>
                <w:sz w:val="21"/>
                <w:szCs w:val="20"/>
              </w:rPr>
              <w:t>事项及日期</w:t>
            </w:r>
          </w:p>
        </w:tc>
        <w:tc>
          <w:tcPr>
            <w:tcW w:w="1350"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szCs w:val="20"/>
              </w:rPr>
              <w:t>首个完整</w:t>
            </w:r>
            <w:r>
              <w:rPr>
                <w:b/>
                <w:sz w:val="21"/>
              </w:rPr>
              <w:br/>
            </w:r>
            <w:r>
              <w:rPr>
                <w:b/>
                <w:sz w:val="21"/>
                <w:szCs w:val="20"/>
              </w:rPr>
              <w:t>事后季度</w:t>
            </w:r>
          </w:p>
        </w:tc>
        <w:tc>
          <w:tcPr>
            <w:tcW w:w="1150"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szCs w:val="20"/>
              </w:rPr>
              <w:t>完整事后</w:t>
            </w:r>
            <w:r>
              <w:rPr>
                <w:b/>
                <w:sz w:val="21"/>
              </w:rPr>
              <w:br/>
            </w:r>
            <w:r>
              <w:rPr>
                <w:b/>
                <w:sz w:val="21"/>
                <w:szCs w:val="20"/>
              </w:rPr>
              <w:t>季度数</w:t>
            </w:r>
          </w:p>
        </w:tc>
        <w:tc>
          <w:tcPr>
            <w:tcW w:w="1450"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szCs w:val="20"/>
              </w:rPr>
              <w:t>罗湖事后</w:t>
            </w:r>
            <w:r>
              <w:rPr>
                <w:b/>
                <w:sz w:val="21"/>
              </w:rPr>
              <w:br/>
            </w:r>
            <w:r>
              <w:rPr>
                <w:b/>
                <w:sz w:val="21"/>
                <w:szCs w:val="20"/>
              </w:rPr>
              <w:t>成交笔数</w:t>
            </w:r>
          </w:p>
        </w:tc>
        <w:tc>
          <w:tcPr>
            <w:tcW w:w="1450" w:type="dxa"/>
            <w:tcBorders>
              <w:top w:val="single" w:sz="12" w:space="0" w:color="000000"/>
              <w:left w:val="nil"/>
              <w:bottom w:val="single" w:sz="6" w:space="0" w:color="000000"/>
              <w:right w:val="nil"/>
            </w:tcBorders>
            <w:shd w:val="clear" w:color="auto" w:fill="FFFFFF"/>
            <w:vAlign w:val="center"/>
          </w:tcPr>
          <w:p w:rsidR="0021426D" w:rsidRDefault="00A661EE">
            <w:pPr>
              <w:keepNext/>
              <w:keepLines/>
              <w:spacing w:after="40" w:line="276" w:lineRule="auto"/>
              <w:jc w:val="center"/>
            </w:pPr>
            <w:r>
              <w:rPr>
                <w:b/>
                <w:sz w:val="21"/>
                <w:szCs w:val="20"/>
              </w:rPr>
              <w:t>布心商圈</w:t>
            </w:r>
            <w:r>
              <w:rPr>
                <w:b/>
                <w:sz w:val="21"/>
              </w:rPr>
              <w:br/>
            </w:r>
            <w:r>
              <w:rPr>
                <w:b/>
                <w:sz w:val="21"/>
                <w:szCs w:val="20"/>
              </w:rPr>
              <w:t>事后成交数</w:t>
            </w:r>
          </w:p>
        </w:tc>
      </w:tr>
      <w:tr w:rsidR="0021426D">
        <w:trPr>
          <w:cantSplit/>
          <w:jc w:val="center"/>
        </w:trPr>
        <w:tc>
          <w:tcPr>
            <w:tcW w:w="3105"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21"/>
                <w:szCs w:val="20"/>
              </w:rPr>
              <w:t>一期主体确认公示</w:t>
            </w:r>
            <w:r>
              <w:rPr>
                <w:sz w:val="21"/>
                <w:szCs w:val="20"/>
              </w:rPr>
              <w:t xml:space="preserve"> 2020-08-28</w:t>
            </w:r>
          </w:p>
        </w:tc>
        <w:tc>
          <w:tcPr>
            <w:tcW w:w="135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2020Q4</w:t>
            </w:r>
          </w:p>
        </w:tc>
        <w:tc>
          <w:tcPr>
            <w:tcW w:w="115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13</w:t>
            </w:r>
          </w:p>
        </w:tc>
        <w:tc>
          <w:tcPr>
            <w:tcW w:w="145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3654</w:t>
            </w:r>
          </w:p>
        </w:tc>
        <w:tc>
          <w:tcPr>
            <w:tcW w:w="145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278</w:t>
            </w:r>
          </w:p>
        </w:tc>
      </w:tr>
      <w:tr w:rsidR="0021426D">
        <w:trPr>
          <w:cantSplit/>
          <w:jc w:val="center"/>
        </w:trPr>
        <w:tc>
          <w:tcPr>
            <w:tcW w:w="3105"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21"/>
                <w:szCs w:val="20"/>
              </w:rPr>
              <w:t>一期集中开工活动</w:t>
            </w:r>
            <w:r>
              <w:rPr>
                <w:sz w:val="21"/>
                <w:szCs w:val="20"/>
              </w:rPr>
              <w:t xml:space="preserve"> 2021-02-24</w:t>
            </w:r>
          </w:p>
        </w:tc>
        <w:tc>
          <w:tcPr>
            <w:tcW w:w="135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2021Q2</w:t>
            </w:r>
          </w:p>
        </w:tc>
        <w:tc>
          <w:tcPr>
            <w:tcW w:w="115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11</w:t>
            </w:r>
          </w:p>
        </w:tc>
        <w:tc>
          <w:tcPr>
            <w:tcW w:w="145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2435</w:t>
            </w:r>
          </w:p>
        </w:tc>
        <w:tc>
          <w:tcPr>
            <w:tcW w:w="145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209</w:t>
            </w:r>
          </w:p>
        </w:tc>
      </w:tr>
      <w:tr w:rsidR="0021426D">
        <w:trPr>
          <w:cantSplit/>
          <w:jc w:val="center"/>
        </w:trPr>
        <w:tc>
          <w:tcPr>
            <w:tcW w:w="3105"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21"/>
                <w:szCs w:val="20"/>
              </w:rPr>
              <w:t>二期用地批复</w:t>
            </w:r>
            <w:r>
              <w:rPr>
                <w:sz w:val="21"/>
                <w:szCs w:val="20"/>
              </w:rPr>
              <w:t xml:space="preserve"> 2023-05-24</w:t>
            </w:r>
          </w:p>
        </w:tc>
        <w:tc>
          <w:tcPr>
            <w:tcW w:w="135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2023Q3</w:t>
            </w:r>
          </w:p>
        </w:tc>
        <w:tc>
          <w:tcPr>
            <w:tcW w:w="115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2</w:t>
            </w:r>
          </w:p>
        </w:tc>
        <w:tc>
          <w:tcPr>
            <w:tcW w:w="145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626</w:t>
            </w:r>
          </w:p>
        </w:tc>
        <w:tc>
          <w:tcPr>
            <w:tcW w:w="145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78</w:t>
            </w:r>
          </w:p>
        </w:tc>
      </w:tr>
      <w:tr w:rsidR="0021426D">
        <w:trPr>
          <w:cantSplit/>
          <w:jc w:val="center"/>
        </w:trPr>
        <w:tc>
          <w:tcPr>
            <w:tcW w:w="3105" w:type="dxa"/>
            <w:tcBorders>
              <w:top w:val="nil"/>
              <w:left w:val="nil"/>
              <w:bottom w:val="nil"/>
              <w:right w:val="nil"/>
            </w:tcBorders>
            <w:shd w:val="clear" w:color="auto" w:fill="FFFFFF"/>
            <w:vAlign w:val="center"/>
          </w:tcPr>
          <w:p w:rsidR="0021426D" w:rsidRDefault="00A661EE">
            <w:pPr>
              <w:keepNext/>
              <w:keepLines/>
              <w:spacing w:after="40" w:line="276" w:lineRule="auto"/>
              <w:jc w:val="left"/>
            </w:pPr>
            <w:r>
              <w:rPr>
                <w:sz w:val="21"/>
                <w:szCs w:val="20"/>
              </w:rPr>
              <w:t>二期建设子项规划许可</w:t>
            </w:r>
            <w:r>
              <w:rPr>
                <w:sz w:val="21"/>
                <w:szCs w:val="20"/>
              </w:rPr>
              <w:t xml:space="preserve"> 2023-08-03</w:t>
            </w:r>
          </w:p>
        </w:tc>
        <w:tc>
          <w:tcPr>
            <w:tcW w:w="135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2023Q4</w:t>
            </w:r>
          </w:p>
        </w:tc>
        <w:tc>
          <w:tcPr>
            <w:tcW w:w="115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1</w:t>
            </w:r>
          </w:p>
        </w:tc>
        <w:tc>
          <w:tcPr>
            <w:tcW w:w="145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366</w:t>
            </w:r>
          </w:p>
        </w:tc>
        <w:tc>
          <w:tcPr>
            <w:tcW w:w="1450" w:type="dxa"/>
            <w:tcBorders>
              <w:top w:val="nil"/>
              <w:left w:val="nil"/>
              <w:bottom w:val="nil"/>
              <w:right w:val="nil"/>
            </w:tcBorders>
            <w:shd w:val="clear" w:color="auto" w:fill="FFFFFF"/>
            <w:vAlign w:val="center"/>
          </w:tcPr>
          <w:p w:rsidR="0021426D" w:rsidRDefault="00A661EE">
            <w:pPr>
              <w:keepNext/>
              <w:keepLines/>
              <w:spacing w:after="40" w:line="276" w:lineRule="auto"/>
              <w:jc w:val="center"/>
            </w:pPr>
            <w:r>
              <w:rPr>
                <w:sz w:val="21"/>
                <w:szCs w:val="20"/>
              </w:rPr>
              <w:t>51</w:t>
            </w:r>
          </w:p>
        </w:tc>
      </w:tr>
      <w:tr w:rsidR="0021426D">
        <w:trPr>
          <w:cantSplit/>
          <w:jc w:val="center"/>
        </w:trPr>
        <w:tc>
          <w:tcPr>
            <w:tcW w:w="3105"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left"/>
            </w:pPr>
            <w:r>
              <w:rPr>
                <w:sz w:val="21"/>
                <w:szCs w:val="20"/>
              </w:rPr>
              <w:t>天珺府公租房配租公告</w:t>
            </w:r>
            <w:r>
              <w:rPr>
                <w:sz w:val="21"/>
                <w:szCs w:val="20"/>
              </w:rPr>
              <w:t xml:space="preserve"> 2025-11-24</w:t>
            </w:r>
          </w:p>
        </w:tc>
        <w:tc>
          <w:tcPr>
            <w:tcW w:w="1350"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szCs w:val="20"/>
              </w:rPr>
              <w:t>2026Q1</w:t>
            </w:r>
          </w:p>
        </w:tc>
        <w:tc>
          <w:tcPr>
            <w:tcW w:w="1150"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szCs w:val="20"/>
              </w:rPr>
              <w:t>0</w:t>
            </w:r>
          </w:p>
        </w:tc>
        <w:tc>
          <w:tcPr>
            <w:tcW w:w="1450"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szCs w:val="20"/>
              </w:rPr>
              <w:t>0</w:t>
            </w:r>
          </w:p>
        </w:tc>
        <w:tc>
          <w:tcPr>
            <w:tcW w:w="1450" w:type="dxa"/>
            <w:tcBorders>
              <w:top w:val="nil"/>
              <w:left w:val="nil"/>
              <w:bottom w:val="single" w:sz="12" w:space="0" w:color="000000"/>
              <w:right w:val="nil"/>
            </w:tcBorders>
            <w:shd w:val="clear" w:color="auto" w:fill="FFFFFF"/>
            <w:vAlign w:val="center"/>
          </w:tcPr>
          <w:p w:rsidR="0021426D" w:rsidRDefault="00A661EE">
            <w:pPr>
              <w:keepLines/>
              <w:spacing w:after="40" w:line="276" w:lineRule="auto"/>
              <w:jc w:val="center"/>
            </w:pPr>
            <w:r>
              <w:rPr>
                <w:sz w:val="21"/>
                <w:szCs w:val="20"/>
              </w:rPr>
              <w:t>0</w:t>
            </w:r>
          </w:p>
        </w:tc>
      </w:tr>
    </w:tbl>
    <w:p w:rsidR="0021426D" w:rsidRDefault="00A661EE">
      <w:pPr>
        <w:keepLines/>
      </w:pPr>
      <w:r>
        <w:t>注：统计使用保留过渡期的</w:t>
      </w:r>
      <w:r>
        <w:t>11231</w:t>
      </w:r>
      <w:r>
        <w:t>笔罗湖清洗样本及其中</w:t>
      </w:r>
      <w:r>
        <w:t>759</w:t>
      </w:r>
      <w:r>
        <w:t>笔布心商圈记录。事项日期反映各自来源的确认、活动、审批或配租阶段，实际施工与开放日期另行核验。商圈计数描述数据的时间覆盖，项目处理组与比较组</w:t>
      </w:r>
      <w:r>
        <w:rPr>
          <w:rFonts w:hint="eastAsia"/>
        </w:rPr>
        <w:t>将</w:t>
      </w:r>
      <w:r>
        <w:t>完成空间赋值。</w:t>
      </w:r>
    </w:p>
    <w:p w:rsidR="0021426D" w:rsidRDefault="00A661EE">
      <w:pPr>
        <w:ind w:firstLine="480"/>
      </w:pPr>
      <w:r>
        <w:t>以</w:t>
      </w:r>
      <w:r>
        <w:t>2023</w:t>
      </w:r>
      <w:r>
        <w:t>年</w:t>
      </w:r>
      <w:r>
        <w:t>8</w:t>
      </w:r>
      <w:r>
        <w:t>月</w:t>
      </w:r>
      <w:r>
        <w:t>3</w:t>
      </w:r>
      <w:r>
        <w:t>日规划许可事项划分，当前清洗样本只有</w:t>
      </w:r>
      <w:r>
        <w:t>2023</w:t>
      </w:r>
      <w:r>
        <w:t>年第四季度一个完整事后季度，罗湖为</w:t>
      </w:r>
      <w:r>
        <w:t>366</w:t>
      </w:r>
      <w:r>
        <w:t>笔，布心商圈为</w:t>
      </w:r>
      <w:r>
        <w:t>51</w:t>
      </w:r>
      <w:r>
        <w:t>笔、</w:t>
      </w:r>
      <w:r>
        <w:t>22</w:t>
      </w:r>
      <w:r>
        <w:t>个小区。</w:t>
      </w:r>
      <w:r>
        <w:t>2025</w:t>
      </w:r>
      <w:r>
        <w:t>年</w:t>
      </w:r>
      <w:r>
        <w:t>11</w:t>
      </w:r>
      <w:r>
        <w:t>月</w:t>
      </w:r>
      <w:r>
        <w:t>24</w:t>
      </w:r>
      <w:r>
        <w:t>日配租公告晚于原始文件的最后成交日期，公告后价格观察缺失。许可事项后的短窗口主要用于资料与样本诊断，交付和配套开放的持续价格影响需要补充更晚年份的成交序列。</w:t>
      </w:r>
    </w:p>
    <w:p w:rsidR="0021426D" w:rsidRDefault="00A661EE">
      <w:pPr>
        <w:pStyle w:val="2"/>
        <w:keepNext/>
        <w:spacing w:before="120" w:after="120"/>
        <w:jc w:val="left"/>
        <w:rPr>
          <w:rFonts w:hint="eastAsia"/>
        </w:rPr>
      </w:pPr>
      <w:bookmarkStart w:id="30" w:name="_Toc242490941"/>
      <w:r>
        <w:lastRenderedPageBreak/>
        <w:t xml:space="preserve">3.4  </w:t>
      </w:r>
      <w:r>
        <w:t>实证扩展及后续研究工作</w:t>
      </w:r>
      <w:bookmarkEnd w:id="30"/>
    </w:p>
    <w:p w:rsidR="0021426D" w:rsidRDefault="00A661EE">
      <w:pPr>
        <w:pStyle w:val="3"/>
        <w:keepNext/>
        <w:spacing w:before="120" w:after="120"/>
        <w:jc w:val="left"/>
      </w:pPr>
      <w:bookmarkStart w:id="31" w:name="_Toc242490942"/>
      <w:r>
        <w:t xml:space="preserve">3.4.1  </w:t>
      </w:r>
      <w:r>
        <w:t>组间样本构成与季度支持</w:t>
      </w:r>
      <w:bookmarkEnd w:id="31"/>
    </w:p>
    <w:p w:rsidR="0021426D" w:rsidRDefault="00A661EE">
      <w:pPr>
        <w:ind w:firstLine="480"/>
      </w:pPr>
      <w:r>
        <w:t>开工前组间构成采用同一主回归样本的</w:t>
      </w:r>
      <w:r>
        <w:t>2017—2019</w:t>
      </w:r>
      <w:r>
        <w:t>年观察。翠竹片区有</w:t>
      </w:r>
      <w:r>
        <w:t>261</w:t>
      </w:r>
      <w:r>
        <w:t>笔、</w:t>
      </w:r>
      <w:r>
        <w:t>31</w:t>
      </w:r>
      <w:r>
        <w:t>个小区，其他罗湖商圈有</w:t>
      </w:r>
      <w:r>
        <w:t>5123</w:t>
      </w:r>
      <w:r>
        <w:t>笔、</w:t>
      </w:r>
      <w:r>
        <w:t>464</w:t>
      </w:r>
      <w:r>
        <w:t>个小区。房龄按成交年份减建成年份计算，标准化均值差采用两组均值之差除以两组方差均值的平方根。价格水平、面积、楼龄和电梯的差异，为调整成交构成与选择可比住宅提供依据。</w:t>
      </w:r>
    </w:p>
    <w:p w:rsidR="0021426D" w:rsidRDefault="00A661EE">
      <w:pPr>
        <w:keepNext/>
        <w:jc w:val="center"/>
      </w:pPr>
      <w:r>
        <w:t>表</w:t>
      </w:r>
      <w:r>
        <w:t xml:space="preserve">3-9  </w:t>
      </w:r>
      <w:r>
        <w:t>开工前组间描述性统计与标准化差异</w:t>
      </w:r>
    </w:p>
    <w:tbl>
      <w:tblPr>
        <w:tblW w:w="0" w:type="auto"/>
        <w:jc w:val="center"/>
        <w:tblBorders>
          <w:top w:val="single" w:sz="6" w:space="0" w:color="auto"/>
          <w:bottom w:val="single" w:sz="6" w:space="0" w:color="auto"/>
        </w:tblBorders>
        <w:tblLayout w:type="fixed"/>
        <w:tblLook w:val="04A0" w:firstRow="1" w:lastRow="0" w:firstColumn="1" w:lastColumn="0" w:noHBand="0" w:noVBand="1"/>
      </w:tblPr>
      <w:tblGrid>
        <w:gridCol w:w="2098"/>
        <w:gridCol w:w="1814"/>
        <w:gridCol w:w="1928"/>
        <w:gridCol w:w="1304"/>
        <w:gridCol w:w="1304"/>
      </w:tblGrid>
      <w:tr w:rsidR="0021426D">
        <w:trPr>
          <w:cantSplit/>
          <w:tblHeader/>
          <w:jc w:val="center"/>
        </w:trPr>
        <w:tc>
          <w:tcPr>
            <w:tcW w:w="2098"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left"/>
            </w:pPr>
            <w:r>
              <w:rPr>
                <w:b/>
                <w:sz w:val="21"/>
              </w:rPr>
              <w:t>变量</w:t>
            </w:r>
          </w:p>
        </w:tc>
        <w:tc>
          <w:tcPr>
            <w:tcW w:w="1814"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翠竹片区</w:t>
            </w:r>
          </w:p>
        </w:tc>
        <w:tc>
          <w:tcPr>
            <w:tcW w:w="1928"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其他罗湖商圈</w:t>
            </w:r>
          </w:p>
        </w:tc>
        <w:tc>
          <w:tcPr>
            <w:tcW w:w="1304"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均值差</w:t>
            </w:r>
          </w:p>
        </w:tc>
        <w:tc>
          <w:tcPr>
            <w:tcW w:w="1304"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标准化差异</w:t>
            </w:r>
          </w:p>
        </w:tc>
      </w:tr>
      <w:tr w:rsidR="0021426D">
        <w:trPr>
          <w:cantSplit/>
          <w:jc w:val="center"/>
        </w:trPr>
        <w:tc>
          <w:tcPr>
            <w:tcW w:w="2098"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21"/>
              </w:rPr>
              <w:t>单价／元每平方米</w:t>
            </w:r>
          </w:p>
        </w:tc>
        <w:tc>
          <w:tcPr>
            <w:tcW w:w="181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75982</w:t>
            </w:r>
            <w:r>
              <w:rPr>
                <w:sz w:val="21"/>
              </w:rPr>
              <w:t>（</w:t>
            </w:r>
            <w:r>
              <w:rPr>
                <w:sz w:val="21"/>
              </w:rPr>
              <w:t>18899</w:t>
            </w:r>
            <w:r>
              <w:rPr>
                <w:sz w:val="21"/>
              </w:rPr>
              <w:t>）</w:t>
            </w:r>
          </w:p>
        </w:tc>
        <w:tc>
          <w:tcPr>
            <w:tcW w:w="1928"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52124</w:t>
            </w:r>
            <w:r>
              <w:rPr>
                <w:sz w:val="21"/>
              </w:rPr>
              <w:t>（</w:t>
            </w:r>
            <w:r>
              <w:rPr>
                <w:sz w:val="21"/>
              </w:rPr>
              <w:t>11218</w:t>
            </w:r>
            <w:r>
              <w:rPr>
                <w:sz w:val="21"/>
              </w:rPr>
              <w:t>）</w:t>
            </w:r>
          </w:p>
        </w:tc>
        <w:tc>
          <w:tcPr>
            <w:tcW w:w="130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23858</w:t>
            </w:r>
          </w:p>
        </w:tc>
        <w:tc>
          <w:tcPr>
            <w:tcW w:w="130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1.535</w:t>
            </w:r>
          </w:p>
        </w:tc>
      </w:tr>
      <w:tr w:rsidR="0021426D">
        <w:trPr>
          <w:cantSplit/>
          <w:jc w:val="center"/>
        </w:trPr>
        <w:tc>
          <w:tcPr>
            <w:tcW w:w="2098"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21"/>
              </w:rPr>
              <w:t>单价自然对数</w:t>
            </w:r>
          </w:p>
        </w:tc>
        <w:tc>
          <w:tcPr>
            <w:tcW w:w="181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11.21</w:t>
            </w:r>
            <w:r>
              <w:rPr>
                <w:sz w:val="21"/>
              </w:rPr>
              <w:t>（</w:t>
            </w:r>
            <w:r>
              <w:rPr>
                <w:sz w:val="21"/>
              </w:rPr>
              <w:t>0.26</w:t>
            </w:r>
            <w:r>
              <w:rPr>
                <w:sz w:val="21"/>
              </w:rPr>
              <w:t>）</w:t>
            </w:r>
          </w:p>
        </w:tc>
        <w:tc>
          <w:tcPr>
            <w:tcW w:w="1928"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10.84</w:t>
            </w:r>
            <w:r>
              <w:rPr>
                <w:sz w:val="21"/>
              </w:rPr>
              <w:t>（</w:t>
            </w:r>
            <w:r>
              <w:rPr>
                <w:sz w:val="21"/>
              </w:rPr>
              <w:t>0.21</w:t>
            </w:r>
            <w:r>
              <w:rPr>
                <w:sz w:val="21"/>
              </w:rPr>
              <w:t>）</w:t>
            </w:r>
          </w:p>
        </w:tc>
        <w:tc>
          <w:tcPr>
            <w:tcW w:w="130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0.37</w:t>
            </w:r>
          </w:p>
        </w:tc>
        <w:tc>
          <w:tcPr>
            <w:tcW w:w="130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1.568</w:t>
            </w:r>
          </w:p>
        </w:tc>
      </w:tr>
      <w:tr w:rsidR="0021426D">
        <w:trPr>
          <w:cantSplit/>
          <w:jc w:val="center"/>
        </w:trPr>
        <w:tc>
          <w:tcPr>
            <w:tcW w:w="2098"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21"/>
              </w:rPr>
              <w:t>面积／平方米</w:t>
            </w:r>
          </w:p>
        </w:tc>
        <w:tc>
          <w:tcPr>
            <w:tcW w:w="181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55.33</w:t>
            </w:r>
            <w:r>
              <w:rPr>
                <w:sz w:val="21"/>
              </w:rPr>
              <w:t>（</w:t>
            </w:r>
            <w:r>
              <w:rPr>
                <w:sz w:val="21"/>
              </w:rPr>
              <w:t>26.10</w:t>
            </w:r>
            <w:r>
              <w:rPr>
                <w:sz w:val="21"/>
              </w:rPr>
              <w:t>）</w:t>
            </w:r>
          </w:p>
        </w:tc>
        <w:tc>
          <w:tcPr>
            <w:tcW w:w="1928"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59.80</w:t>
            </w:r>
            <w:r>
              <w:rPr>
                <w:sz w:val="21"/>
              </w:rPr>
              <w:t>（</w:t>
            </w:r>
            <w:r>
              <w:rPr>
                <w:sz w:val="21"/>
              </w:rPr>
              <w:t>30.18</w:t>
            </w:r>
            <w:r>
              <w:rPr>
                <w:sz w:val="21"/>
              </w:rPr>
              <w:t>）</w:t>
            </w:r>
          </w:p>
        </w:tc>
        <w:tc>
          <w:tcPr>
            <w:tcW w:w="130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-4.48</w:t>
            </w:r>
          </w:p>
        </w:tc>
        <w:tc>
          <w:tcPr>
            <w:tcW w:w="130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-0.159</w:t>
            </w:r>
          </w:p>
        </w:tc>
      </w:tr>
      <w:tr w:rsidR="0021426D">
        <w:trPr>
          <w:cantSplit/>
          <w:jc w:val="center"/>
        </w:trPr>
        <w:tc>
          <w:tcPr>
            <w:tcW w:w="2098"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21"/>
              </w:rPr>
              <w:t>成交时房龄／年</w:t>
            </w:r>
          </w:p>
        </w:tc>
        <w:tc>
          <w:tcPr>
            <w:tcW w:w="181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19.04</w:t>
            </w:r>
            <w:r>
              <w:rPr>
                <w:sz w:val="21"/>
              </w:rPr>
              <w:t>（</w:t>
            </w:r>
            <w:r>
              <w:rPr>
                <w:sz w:val="21"/>
              </w:rPr>
              <w:t>6.59</w:t>
            </w:r>
            <w:r>
              <w:rPr>
                <w:sz w:val="21"/>
              </w:rPr>
              <w:t>）</w:t>
            </w:r>
          </w:p>
        </w:tc>
        <w:tc>
          <w:tcPr>
            <w:tcW w:w="1928"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17.01</w:t>
            </w:r>
            <w:r>
              <w:rPr>
                <w:sz w:val="21"/>
              </w:rPr>
              <w:t>（</w:t>
            </w:r>
            <w:r>
              <w:rPr>
                <w:sz w:val="21"/>
              </w:rPr>
              <w:t>6.50</w:t>
            </w:r>
            <w:r>
              <w:rPr>
                <w:sz w:val="21"/>
              </w:rPr>
              <w:t>）</w:t>
            </w:r>
          </w:p>
        </w:tc>
        <w:tc>
          <w:tcPr>
            <w:tcW w:w="130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2.03</w:t>
            </w:r>
          </w:p>
        </w:tc>
        <w:tc>
          <w:tcPr>
            <w:tcW w:w="130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0.310</w:t>
            </w:r>
          </w:p>
        </w:tc>
      </w:tr>
      <w:tr w:rsidR="0021426D">
        <w:trPr>
          <w:cantSplit/>
          <w:jc w:val="center"/>
        </w:trPr>
        <w:tc>
          <w:tcPr>
            <w:tcW w:w="2098" w:type="dxa"/>
            <w:tcBorders>
              <w:top w:val="nil"/>
              <w:left w:val="nil"/>
              <w:bottom w:val="single" w:sz="12" w:space="0" w:color="000000"/>
              <w:right w:val="nil"/>
            </w:tcBorders>
            <w:shd w:val="clear" w:color="auto" w:fill="FFFFFF"/>
            <w:vAlign w:val="center"/>
          </w:tcPr>
          <w:p w:rsidR="0021426D" w:rsidRDefault="00A661EE">
            <w:pPr>
              <w:spacing w:after="40" w:line="276" w:lineRule="auto"/>
              <w:jc w:val="left"/>
            </w:pPr>
            <w:r>
              <w:rPr>
                <w:sz w:val="21"/>
              </w:rPr>
              <w:t>电梯配置比例</w:t>
            </w:r>
          </w:p>
        </w:tc>
        <w:tc>
          <w:tcPr>
            <w:tcW w:w="1814"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0.76</w:t>
            </w:r>
            <w:r>
              <w:rPr>
                <w:sz w:val="21"/>
              </w:rPr>
              <w:t>（</w:t>
            </w:r>
            <w:r>
              <w:rPr>
                <w:sz w:val="21"/>
              </w:rPr>
              <w:t>0.43</w:t>
            </w:r>
            <w:r>
              <w:rPr>
                <w:sz w:val="21"/>
              </w:rPr>
              <w:t>）</w:t>
            </w:r>
          </w:p>
        </w:tc>
        <w:tc>
          <w:tcPr>
            <w:tcW w:w="1928"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0.89</w:t>
            </w:r>
            <w:r>
              <w:rPr>
                <w:sz w:val="21"/>
              </w:rPr>
              <w:t>（</w:t>
            </w:r>
            <w:r>
              <w:rPr>
                <w:sz w:val="21"/>
              </w:rPr>
              <w:t>0.31</w:t>
            </w:r>
            <w:r>
              <w:rPr>
                <w:sz w:val="21"/>
              </w:rPr>
              <w:t>）</w:t>
            </w:r>
          </w:p>
        </w:tc>
        <w:tc>
          <w:tcPr>
            <w:tcW w:w="1304"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-0.13</w:t>
            </w:r>
          </w:p>
        </w:tc>
        <w:tc>
          <w:tcPr>
            <w:tcW w:w="1304"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-0.342</w:t>
            </w:r>
          </w:p>
        </w:tc>
      </w:tr>
    </w:tbl>
    <w:p w:rsidR="0021426D" w:rsidRDefault="00A661EE">
      <w:pPr>
        <w:ind w:firstLine="480"/>
      </w:pPr>
      <w:r>
        <w:t>表中括号为标准差，统计按逐笔成交计算。小区固定效应吸收稳定区位差异，面积与电梯控制调整已观测成交属性；这些调整的有效性还需要动态走势及共同支持检验。季度记录显示翠竹</w:t>
      </w:r>
      <w:r>
        <w:t>2021</w:t>
      </w:r>
      <w:r>
        <w:t>年第三季度只有</w:t>
      </w:r>
      <w:r>
        <w:t>2</w:t>
      </w:r>
      <w:r>
        <w:t>笔，第四季度为零，事件图据实保留缺口。成交笔数描述采集文件的支持，市场总体交易活跃度还需要完整覆盖数据。</w:t>
      </w:r>
    </w:p>
    <w:p w:rsidR="0021426D" w:rsidRDefault="00A661EE">
      <w:pPr>
        <w:keepNext/>
        <w:jc w:val="center"/>
      </w:pPr>
      <w:r>
        <w:t>表</w:t>
      </w:r>
      <w:r>
        <w:t xml:space="preserve">3-10  </w:t>
      </w:r>
      <w:r>
        <w:t>每季度成交记录支持</w:t>
      </w:r>
    </w:p>
    <w:tbl>
      <w:tblPr>
        <w:tblW w:w="0" w:type="auto"/>
        <w:jc w:val="center"/>
        <w:tblBorders>
          <w:top w:val="single" w:sz="6" w:space="0" w:color="auto"/>
          <w:bottom w:val="single" w:sz="6" w:space="0" w:color="auto"/>
        </w:tblBorders>
        <w:tblLayout w:type="fixed"/>
        <w:tblLook w:val="04A0" w:firstRow="1" w:lastRow="0" w:firstColumn="1" w:lastColumn="0" w:noHBand="0" w:noVBand="1"/>
      </w:tblPr>
      <w:tblGrid>
        <w:gridCol w:w="850"/>
        <w:gridCol w:w="950"/>
        <w:gridCol w:w="950"/>
        <w:gridCol w:w="950"/>
        <w:gridCol w:w="950"/>
        <w:gridCol w:w="950"/>
        <w:gridCol w:w="950"/>
        <w:gridCol w:w="950"/>
        <w:gridCol w:w="950"/>
      </w:tblGrid>
      <w:tr w:rsidR="0021426D">
        <w:trPr>
          <w:cantSplit/>
          <w:tblHeader/>
          <w:jc w:val="center"/>
        </w:trPr>
        <w:tc>
          <w:tcPr>
            <w:tcW w:w="850"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left"/>
            </w:pPr>
            <w:r>
              <w:rPr>
                <w:b/>
                <w:sz w:val="18"/>
              </w:rPr>
              <w:t>年份</w:t>
            </w:r>
          </w:p>
        </w:tc>
        <w:tc>
          <w:tcPr>
            <w:tcW w:w="950"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18"/>
              </w:rPr>
              <w:t>翠竹</w:t>
            </w:r>
            <w:r>
              <w:rPr>
                <w:b/>
                <w:sz w:val="18"/>
              </w:rPr>
              <w:t>Q1</w:t>
            </w:r>
          </w:p>
        </w:tc>
        <w:tc>
          <w:tcPr>
            <w:tcW w:w="950"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18"/>
              </w:rPr>
              <w:t>Q2</w:t>
            </w:r>
          </w:p>
        </w:tc>
        <w:tc>
          <w:tcPr>
            <w:tcW w:w="950"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18"/>
              </w:rPr>
              <w:t>Q3</w:t>
            </w:r>
          </w:p>
        </w:tc>
        <w:tc>
          <w:tcPr>
            <w:tcW w:w="950"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18"/>
              </w:rPr>
              <w:t>Q4</w:t>
            </w:r>
          </w:p>
        </w:tc>
        <w:tc>
          <w:tcPr>
            <w:tcW w:w="950"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18"/>
              </w:rPr>
              <w:t>其他</w:t>
            </w:r>
            <w:r>
              <w:rPr>
                <w:b/>
                <w:sz w:val="18"/>
              </w:rPr>
              <w:t>Q1</w:t>
            </w:r>
          </w:p>
        </w:tc>
        <w:tc>
          <w:tcPr>
            <w:tcW w:w="950"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18"/>
              </w:rPr>
              <w:t>Q2</w:t>
            </w:r>
          </w:p>
        </w:tc>
        <w:tc>
          <w:tcPr>
            <w:tcW w:w="950"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18"/>
              </w:rPr>
              <w:t>Q3</w:t>
            </w:r>
          </w:p>
        </w:tc>
        <w:tc>
          <w:tcPr>
            <w:tcW w:w="950"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18"/>
              </w:rPr>
              <w:t>Q4</w:t>
            </w:r>
          </w:p>
        </w:tc>
      </w:tr>
      <w:tr w:rsidR="0021426D">
        <w:trPr>
          <w:cantSplit/>
          <w:jc w:val="center"/>
        </w:trPr>
        <w:tc>
          <w:tcPr>
            <w:tcW w:w="850"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18"/>
              </w:rPr>
              <w:t>2017</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11</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12</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20</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26</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297</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382</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427</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407</w:t>
            </w:r>
          </w:p>
        </w:tc>
      </w:tr>
      <w:tr w:rsidR="0021426D">
        <w:trPr>
          <w:cantSplit/>
          <w:jc w:val="center"/>
        </w:trPr>
        <w:tc>
          <w:tcPr>
            <w:tcW w:w="850"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18"/>
              </w:rPr>
              <w:t>2018</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18</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21</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16</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9</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409</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446</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276</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253</w:t>
            </w:r>
          </w:p>
        </w:tc>
      </w:tr>
      <w:tr w:rsidR="0021426D">
        <w:trPr>
          <w:cantSplit/>
          <w:jc w:val="center"/>
        </w:trPr>
        <w:tc>
          <w:tcPr>
            <w:tcW w:w="850"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18"/>
              </w:rPr>
              <w:t>2019</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21</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29</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34</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44</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394</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470</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586</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776</w:t>
            </w:r>
          </w:p>
        </w:tc>
      </w:tr>
      <w:tr w:rsidR="0021426D">
        <w:trPr>
          <w:cantSplit/>
          <w:jc w:val="center"/>
        </w:trPr>
        <w:tc>
          <w:tcPr>
            <w:tcW w:w="850"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18"/>
              </w:rPr>
              <w:t>2020</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14</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46</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32</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27</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350</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1052</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699</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635</w:t>
            </w:r>
          </w:p>
        </w:tc>
      </w:tr>
      <w:tr w:rsidR="0021426D">
        <w:trPr>
          <w:cantSplit/>
          <w:jc w:val="center"/>
        </w:trPr>
        <w:tc>
          <w:tcPr>
            <w:tcW w:w="850"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18"/>
              </w:rPr>
              <w:t>2021</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17</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14</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2</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0</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540</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275</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133</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143</w:t>
            </w:r>
          </w:p>
        </w:tc>
      </w:tr>
      <w:tr w:rsidR="0021426D">
        <w:trPr>
          <w:cantSplit/>
          <w:jc w:val="center"/>
        </w:trPr>
        <w:tc>
          <w:tcPr>
            <w:tcW w:w="850"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18"/>
              </w:rPr>
              <w:t>2022</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11</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4</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14</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12</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95</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161</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137</w:t>
            </w:r>
          </w:p>
        </w:tc>
        <w:tc>
          <w:tcPr>
            <w:tcW w:w="950"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18"/>
              </w:rPr>
              <w:t>169</w:t>
            </w:r>
          </w:p>
        </w:tc>
      </w:tr>
      <w:tr w:rsidR="0021426D">
        <w:trPr>
          <w:cantSplit/>
          <w:jc w:val="center"/>
        </w:trPr>
        <w:tc>
          <w:tcPr>
            <w:tcW w:w="850" w:type="dxa"/>
            <w:tcBorders>
              <w:top w:val="nil"/>
              <w:left w:val="nil"/>
              <w:bottom w:val="single" w:sz="12" w:space="0" w:color="000000"/>
              <w:right w:val="nil"/>
            </w:tcBorders>
            <w:shd w:val="clear" w:color="auto" w:fill="FFFFFF"/>
            <w:vAlign w:val="center"/>
          </w:tcPr>
          <w:p w:rsidR="0021426D" w:rsidRDefault="00A661EE">
            <w:pPr>
              <w:spacing w:after="40" w:line="276" w:lineRule="auto"/>
              <w:jc w:val="left"/>
            </w:pPr>
            <w:r>
              <w:rPr>
                <w:sz w:val="18"/>
              </w:rPr>
              <w:t>2023</w:t>
            </w:r>
          </w:p>
        </w:tc>
        <w:tc>
          <w:tcPr>
            <w:tcW w:w="950"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18"/>
              </w:rPr>
              <w:t>35</w:t>
            </w:r>
          </w:p>
        </w:tc>
        <w:tc>
          <w:tcPr>
            <w:tcW w:w="950"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18"/>
              </w:rPr>
              <w:t>22</w:t>
            </w:r>
          </w:p>
        </w:tc>
        <w:tc>
          <w:tcPr>
            <w:tcW w:w="950"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18"/>
              </w:rPr>
              <w:t>24</w:t>
            </w:r>
          </w:p>
        </w:tc>
        <w:tc>
          <w:tcPr>
            <w:tcW w:w="950"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18"/>
              </w:rPr>
              <w:t>37</w:t>
            </w:r>
          </w:p>
        </w:tc>
        <w:tc>
          <w:tcPr>
            <w:tcW w:w="950"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18"/>
              </w:rPr>
              <w:t>329</w:t>
            </w:r>
          </w:p>
        </w:tc>
        <w:tc>
          <w:tcPr>
            <w:tcW w:w="950"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18"/>
              </w:rPr>
              <w:t>253</w:t>
            </w:r>
          </w:p>
        </w:tc>
        <w:tc>
          <w:tcPr>
            <w:tcW w:w="950"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18"/>
              </w:rPr>
              <w:t>236</w:t>
            </w:r>
          </w:p>
        </w:tc>
        <w:tc>
          <w:tcPr>
            <w:tcW w:w="950"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18"/>
              </w:rPr>
              <w:t>329</w:t>
            </w:r>
          </w:p>
        </w:tc>
      </w:tr>
    </w:tbl>
    <w:p w:rsidR="0021426D" w:rsidRDefault="00A661EE">
      <w:pPr>
        <w:ind w:firstLine="480"/>
      </w:pPr>
      <w:r>
        <w:t>2020</w:t>
      </w:r>
      <w:r>
        <w:t>年第一季度单列为过渡期，共有翠竹</w:t>
      </w:r>
      <w:r>
        <w:t>14</w:t>
      </w:r>
      <w:r>
        <w:t>笔、其他商圈</w:t>
      </w:r>
      <w:r>
        <w:t>350</w:t>
      </w:r>
      <w:r>
        <w:t>笔。主回归排除这</w:t>
      </w:r>
      <w:r>
        <w:t>364</w:t>
      </w:r>
      <w:r>
        <w:t>笔，动态路径保留该季度。后续项目研究将以相同方法逐项目、逐距离档核查记录支持，依据实际数据密度确定动态窗口。</w:t>
      </w:r>
    </w:p>
    <w:p w:rsidR="0021426D" w:rsidRDefault="00A661EE">
      <w:pPr>
        <w:pStyle w:val="3"/>
        <w:keepNext/>
        <w:spacing w:before="120" w:after="120"/>
        <w:jc w:val="left"/>
      </w:pPr>
      <w:bookmarkStart w:id="32" w:name="_Toc242490943"/>
      <w:r>
        <w:lastRenderedPageBreak/>
        <w:t xml:space="preserve">3.4.2  </w:t>
      </w:r>
      <w:r>
        <w:t>规格敏感性与异质性诊断</w:t>
      </w:r>
      <w:bookmarkEnd w:id="32"/>
    </w:p>
    <w:p w:rsidR="0021426D" w:rsidRDefault="00A661EE">
      <w:pPr>
        <w:keepNext/>
        <w:jc w:val="center"/>
      </w:pPr>
      <w:r>
        <w:t>表</w:t>
      </w:r>
      <w:r>
        <w:t xml:space="preserve">3-11  </w:t>
      </w:r>
      <w:r>
        <w:t>翠竹片区相对变化的补充规格</w:t>
      </w:r>
    </w:p>
    <w:tbl>
      <w:tblPr>
        <w:tblW w:w="0" w:type="auto"/>
        <w:jc w:val="center"/>
        <w:tblBorders>
          <w:top w:val="single" w:sz="6" w:space="0" w:color="auto"/>
          <w:bottom w:val="single" w:sz="6" w:space="0" w:color="auto"/>
        </w:tblBorders>
        <w:tblLayout w:type="fixed"/>
        <w:tblLook w:val="04A0" w:firstRow="1" w:lastRow="0" w:firstColumn="1" w:lastColumn="0" w:noHBand="0" w:noVBand="1"/>
      </w:tblPr>
      <w:tblGrid>
        <w:gridCol w:w="2438"/>
        <w:gridCol w:w="1191"/>
        <w:gridCol w:w="1361"/>
        <w:gridCol w:w="3458"/>
      </w:tblGrid>
      <w:tr w:rsidR="0021426D">
        <w:trPr>
          <w:cantSplit/>
          <w:tblHeader/>
          <w:jc w:val="center"/>
        </w:trPr>
        <w:tc>
          <w:tcPr>
            <w:tcW w:w="2438"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left"/>
            </w:pPr>
            <w:r>
              <w:rPr>
                <w:b/>
                <w:sz w:val="21"/>
              </w:rPr>
              <w:t>规格</w:t>
            </w:r>
          </w:p>
        </w:tc>
        <w:tc>
          <w:tcPr>
            <w:tcW w:w="1191"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成交数</w:t>
            </w:r>
          </w:p>
        </w:tc>
        <w:tc>
          <w:tcPr>
            <w:tcW w:w="1361"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相对变化</w:t>
            </w:r>
          </w:p>
        </w:tc>
        <w:tc>
          <w:tcPr>
            <w:tcW w:w="3458"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95</w:t>
            </w:r>
            <w:r>
              <w:rPr>
                <w:b/>
                <w:sz w:val="21"/>
              </w:rPr>
              <w:t>％区间</w:t>
            </w:r>
          </w:p>
        </w:tc>
      </w:tr>
      <w:tr w:rsidR="0021426D">
        <w:trPr>
          <w:cantSplit/>
          <w:jc w:val="center"/>
        </w:trPr>
        <w:tc>
          <w:tcPr>
            <w:tcW w:w="2438"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21"/>
              </w:rPr>
              <w:t>住房属性控制</w:t>
            </w:r>
          </w:p>
        </w:tc>
        <w:tc>
          <w:tcPr>
            <w:tcW w:w="1191"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10867</w:t>
            </w:r>
          </w:p>
        </w:tc>
        <w:tc>
          <w:tcPr>
            <w:tcW w:w="1361"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17.42</w:t>
            </w:r>
            <w:r>
              <w:rPr>
                <w:sz w:val="21"/>
              </w:rPr>
              <w:t>％</w:t>
            </w:r>
          </w:p>
        </w:tc>
        <w:tc>
          <w:tcPr>
            <w:tcW w:w="3458"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11.62</w:t>
            </w:r>
            <w:r>
              <w:rPr>
                <w:sz w:val="21"/>
              </w:rPr>
              <w:t>％至</w:t>
            </w:r>
            <w:r>
              <w:rPr>
                <w:sz w:val="21"/>
              </w:rPr>
              <w:t>23.52</w:t>
            </w:r>
            <w:r>
              <w:rPr>
                <w:sz w:val="21"/>
              </w:rPr>
              <w:t>％</w:t>
            </w:r>
          </w:p>
        </w:tc>
      </w:tr>
      <w:tr w:rsidR="0021426D">
        <w:trPr>
          <w:cantSplit/>
          <w:jc w:val="center"/>
        </w:trPr>
        <w:tc>
          <w:tcPr>
            <w:tcW w:w="2438"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21"/>
              </w:rPr>
              <w:t>片区线性趋势</w:t>
            </w:r>
          </w:p>
        </w:tc>
        <w:tc>
          <w:tcPr>
            <w:tcW w:w="1191"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10867</w:t>
            </w:r>
          </w:p>
        </w:tc>
        <w:tc>
          <w:tcPr>
            <w:tcW w:w="1361"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13.33</w:t>
            </w:r>
            <w:r>
              <w:rPr>
                <w:sz w:val="21"/>
              </w:rPr>
              <w:t>％</w:t>
            </w:r>
          </w:p>
        </w:tc>
        <w:tc>
          <w:tcPr>
            <w:tcW w:w="3458"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5.18</w:t>
            </w:r>
            <w:r>
              <w:rPr>
                <w:sz w:val="21"/>
              </w:rPr>
              <w:t>％至</w:t>
            </w:r>
            <w:r>
              <w:rPr>
                <w:sz w:val="21"/>
              </w:rPr>
              <w:t>22.12</w:t>
            </w:r>
            <w:r>
              <w:rPr>
                <w:sz w:val="21"/>
              </w:rPr>
              <w:t>％</w:t>
            </w:r>
          </w:p>
        </w:tc>
      </w:tr>
      <w:tr w:rsidR="0021426D">
        <w:trPr>
          <w:cantSplit/>
          <w:jc w:val="center"/>
        </w:trPr>
        <w:tc>
          <w:tcPr>
            <w:tcW w:w="2438"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21"/>
              </w:rPr>
              <w:t>排除</w:t>
            </w:r>
            <w:r>
              <w:rPr>
                <w:sz w:val="21"/>
              </w:rPr>
              <w:t>2020</w:t>
            </w:r>
            <w:r>
              <w:rPr>
                <w:sz w:val="21"/>
              </w:rPr>
              <w:t>年</w:t>
            </w:r>
          </w:p>
        </w:tc>
        <w:tc>
          <w:tcPr>
            <w:tcW w:w="1191"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8376</w:t>
            </w:r>
          </w:p>
        </w:tc>
        <w:tc>
          <w:tcPr>
            <w:tcW w:w="1361"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16.29</w:t>
            </w:r>
            <w:r>
              <w:rPr>
                <w:sz w:val="21"/>
              </w:rPr>
              <w:t>％</w:t>
            </w:r>
          </w:p>
        </w:tc>
        <w:tc>
          <w:tcPr>
            <w:tcW w:w="3458"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10.98</w:t>
            </w:r>
            <w:r>
              <w:rPr>
                <w:sz w:val="21"/>
              </w:rPr>
              <w:t>％至</w:t>
            </w:r>
            <w:r>
              <w:rPr>
                <w:sz w:val="21"/>
              </w:rPr>
              <w:t>21.86</w:t>
            </w:r>
            <w:r>
              <w:rPr>
                <w:sz w:val="21"/>
              </w:rPr>
              <w:t>％</w:t>
            </w:r>
          </w:p>
        </w:tc>
      </w:tr>
      <w:tr w:rsidR="0021426D">
        <w:trPr>
          <w:cantSplit/>
          <w:jc w:val="center"/>
        </w:trPr>
        <w:tc>
          <w:tcPr>
            <w:tcW w:w="2438"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21"/>
              </w:rPr>
              <w:t>2017—2021</w:t>
            </w:r>
            <w:r>
              <w:rPr>
                <w:sz w:val="21"/>
              </w:rPr>
              <w:t>年</w:t>
            </w:r>
          </w:p>
        </w:tc>
        <w:tc>
          <w:tcPr>
            <w:tcW w:w="1191"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8999</w:t>
            </w:r>
          </w:p>
        </w:tc>
        <w:tc>
          <w:tcPr>
            <w:tcW w:w="1361"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18.45</w:t>
            </w:r>
            <w:r>
              <w:rPr>
                <w:sz w:val="21"/>
              </w:rPr>
              <w:t>％</w:t>
            </w:r>
          </w:p>
        </w:tc>
        <w:tc>
          <w:tcPr>
            <w:tcW w:w="3458"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10.05</w:t>
            </w:r>
            <w:r>
              <w:rPr>
                <w:sz w:val="21"/>
              </w:rPr>
              <w:t>％至</w:t>
            </w:r>
            <w:r>
              <w:rPr>
                <w:sz w:val="21"/>
              </w:rPr>
              <w:t>27.49</w:t>
            </w:r>
            <w:r>
              <w:rPr>
                <w:sz w:val="21"/>
              </w:rPr>
              <w:t>％</w:t>
            </w:r>
          </w:p>
        </w:tc>
      </w:tr>
      <w:tr w:rsidR="0021426D">
        <w:trPr>
          <w:cantSplit/>
          <w:jc w:val="center"/>
        </w:trPr>
        <w:tc>
          <w:tcPr>
            <w:tcW w:w="2438" w:type="dxa"/>
            <w:tcBorders>
              <w:top w:val="nil"/>
              <w:left w:val="nil"/>
              <w:bottom w:val="single" w:sz="12" w:space="0" w:color="000000"/>
              <w:right w:val="nil"/>
            </w:tcBorders>
            <w:shd w:val="clear" w:color="auto" w:fill="FFFFFF"/>
            <w:vAlign w:val="center"/>
          </w:tcPr>
          <w:p w:rsidR="0021426D" w:rsidRDefault="00A661EE">
            <w:pPr>
              <w:spacing w:after="40" w:line="276" w:lineRule="auto"/>
              <w:jc w:val="left"/>
            </w:pPr>
            <w:r>
              <w:rPr>
                <w:sz w:val="21"/>
              </w:rPr>
              <w:t>2019—2023</w:t>
            </w:r>
            <w:r>
              <w:rPr>
                <w:sz w:val="21"/>
              </w:rPr>
              <w:t>年</w:t>
            </w:r>
          </w:p>
        </w:tc>
        <w:tc>
          <w:tcPr>
            <w:tcW w:w="1191"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7837</w:t>
            </w:r>
          </w:p>
        </w:tc>
        <w:tc>
          <w:tcPr>
            <w:tcW w:w="1361"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12.03</w:t>
            </w:r>
            <w:r>
              <w:rPr>
                <w:sz w:val="21"/>
              </w:rPr>
              <w:t>％</w:t>
            </w:r>
          </w:p>
        </w:tc>
        <w:tc>
          <w:tcPr>
            <w:tcW w:w="3458"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7.23</w:t>
            </w:r>
            <w:r>
              <w:rPr>
                <w:sz w:val="21"/>
              </w:rPr>
              <w:t>％至</w:t>
            </w:r>
            <w:r>
              <w:rPr>
                <w:sz w:val="21"/>
              </w:rPr>
              <w:t>17.05</w:t>
            </w:r>
            <w:r>
              <w:rPr>
                <w:sz w:val="21"/>
              </w:rPr>
              <w:t>％</w:t>
            </w:r>
          </w:p>
        </w:tc>
      </w:tr>
    </w:tbl>
    <w:p w:rsidR="0021426D" w:rsidRDefault="00A661EE">
      <w:pPr>
        <w:ind w:firstLine="480"/>
      </w:pPr>
      <w:r>
        <w:t>从表</w:t>
      </w:r>
      <w:r>
        <w:t>3-11</w:t>
      </w:r>
      <w:r>
        <w:t>可以看出，事件窗口与趋势设定改变了估计幅度。处理侧线性趋势规格对应</w:t>
      </w:r>
      <w:r>
        <w:t>13.33</w:t>
      </w:r>
      <w:r>
        <w:t>％，其他窗口下约为</w:t>
      </w:r>
      <w:r>
        <w:t>12.03</w:t>
      </w:r>
      <w:r>
        <w:t>％至</w:t>
      </w:r>
      <w:r>
        <w:t>18.45</w:t>
      </w:r>
      <w:r>
        <w:t>％，各规格的观察量和小区覆盖也随之变化。图</w:t>
      </w:r>
      <w:r>
        <w:t>3-3</w:t>
      </w:r>
      <w:r>
        <w:t>将点估计与</w:t>
      </w:r>
      <w:r>
        <w:t>95</w:t>
      </w:r>
      <w:r>
        <w:t>％区间并列，便于同时观察幅度、精度及模型依赖。总体而言，正的片区相对变化在这些规格下仍可观察，但事件前差异尚待解释；敏感性结果服务于识别诊断，不能仅凭符号一致或显著性认定项目因果效应。</w:t>
      </w:r>
    </w:p>
    <w:p w:rsidR="0021426D" w:rsidRDefault="00A661EE">
      <w:pPr>
        <w:keepNext/>
        <w:jc w:val="center"/>
      </w:pPr>
      <w:r>
        <w:rPr>
          <w:noProof/>
        </w:rPr>
        <w:drawing>
          <wp:inline distT="0" distB="0" distL="0" distR="0">
            <wp:extent cx="5471795" cy="24618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3"/>
                    <a:stretch>
                      <a:fillRect/>
                    </a:stretch>
                  </pic:blipFill>
                  <pic:spPr>
                    <a:xfrm>
                      <a:off x="0" y="0"/>
                      <a:ext cx="5472000" cy="2462400"/>
                    </a:xfrm>
                    <a:prstGeom prst="rect">
                      <a:avLst/>
                    </a:prstGeom>
                  </pic:spPr>
                </pic:pic>
              </a:graphicData>
            </a:graphic>
          </wp:inline>
        </w:drawing>
      </w:r>
    </w:p>
    <w:p w:rsidR="0021426D" w:rsidRDefault="00A661EE">
      <w:pPr>
        <w:jc w:val="center"/>
      </w:pPr>
      <w:r>
        <w:t>图</w:t>
      </w:r>
      <w:r>
        <w:t xml:space="preserve">3-3  </w:t>
      </w:r>
      <w:r>
        <w:t>翠竹片区规格敏感性与</w:t>
      </w:r>
      <w:r>
        <w:t>95</w:t>
      </w:r>
      <w:r>
        <w:t>％置信区间</w:t>
      </w:r>
    </w:p>
    <w:p w:rsidR="0021426D" w:rsidRDefault="00A661EE">
      <w:r>
        <w:rPr>
          <w:sz w:val="18"/>
        </w:rPr>
        <w:t>注：根据本研究已执行的补充规格估计绘制，点和横线分别为比例换算后的估计及</w:t>
      </w:r>
      <w:r>
        <w:rPr>
          <w:sz w:val="18"/>
        </w:rPr>
        <w:t>95</w:t>
      </w:r>
      <w:r>
        <w:rPr>
          <w:sz w:val="18"/>
        </w:rPr>
        <w:t>％区间。各规格样本随窗口改变，详细结果见表</w:t>
      </w:r>
      <w:r>
        <w:rPr>
          <w:sz w:val="18"/>
        </w:rPr>
        <w:t>3-11</w:t>
      </w:r>
      <w:r>
        <w:rPr>
          <w:sz w:val="18"/>
        </w:rPr>
        <w:t>。当前处理定义为商圈代理，事件前差异仍需解释。</w:t>
      </w:r>
    </w:p>
    <w:p w:rsidR="0021426D" w:rsidRDefault="00A661EE">
      <w:pPr>
        <w:keepNext/>
        <w:jc w:val="center"/>
      </w:pPr>
      <w:r>
        <w:t>表</w:t>
      </w:r>
      <w:r>
        <w:t xml:space="preserve">3-12  </w:t>
      </w:r>
      <w:r>
        <w:t>季度等权动态汇总</w:t>
      </w:r>
    </w:p>
    <w:tbl>
      <w:tblPr>
        <w:tblW w:w="0" w:type="auto"/>
        <w:jc w:val="center"/>
        <w:tblBorders>
          <w:top w:val="single" w:sz="6" w:space="0" w:color="auto"/>
          <w:bottom w:val="single" w:sz="6" w:space="0" w:color="auto"/>
        </w:tblBorders>
        <w:tblLayout w:type="fixed"/>
        <w:tblLook w:val="04A0" w:firstRow="1" w:lastRow="0" w:firstColumn="1" w:lastColumn="0" w:noHBand="0" w:noVBand="1"/>
      </w:tblPr>
      <w:tblGrid>
        <w:gridCol w:w="2154"/>
        <w:gridCol w:w="1134"/>
        <w:gridCol w:w="1304"/>
        <w:gridCol w:w="2721"/>
        <w:gridCol w:w="1134"/>
      </w:tblGrid>
      <w:tr w:rsidR="0021426D">
        <w:trPr>
          <w:cantSplit/>
          <w:tblHeader/>
          <w:jc w:val="center"/>
        </w:trPr>
        <w:tc>
          <w:tcPr>
            <w:tcW w:w="2154"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left"/>
            </w:pPr>
            <w:r>
              <w:rPr>
                <w:b/>
                <w:sz w:val="21"/>
              </w:rPr>
              <w:t>时期对比</w:t>
            </w:r>
          </w:p>
        </w:tc>
        <w:tc>
          <w:tcPr>
            <w:tcW w:w="1134"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对数效应</w:t>
            </w:r>
          </w:p>
        </w:tc>
        <w:tc>
          <w:tcPr>
            <w:tcW w:w="1304"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比例换算</w:t>
            </w:r>
          </w:p>
        </w:tc>
        <w:tc>
          <w:tcPr>
            <w:tcW w:w="2721"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95</w:t>
            </w:r>
            <w:r>
              <w:rPr>
                <w:b/>
                <w:sz w:val="21"/>
              </w:rPr>
              <w:t>％区间</w:t>
            </w:r>
          </w:p>
        </w:tc>
        <w:tc>
          <w:tcPr>
            <w:tcW w:w="1134"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p</w:t>
            </w:r>
            <w:r>
              <w:rPr>
                <w:b/>
                <w:sz w:val="21"/>
              </w:rPr>
              <w:t>值</w:t>
            </w:r>
          </w:p>
        </w:tc>
      </w:tr>
      <w:tr w:rsidR="0021426D">
        <w:trPr>
          <w:cantSplit/>
          <w:jc w:val="center"/>
        </w:trPr>
        <w:tc>
          <w:tcPr>
            <w:tcW w:w="2154"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21"/>
              </w:rPr>
              <w:t>2020Q2—2021Q1</w:t>
            </w:r>
          </w:p>
        </w:tc>
        <w:tc>
          <w:tcPr>
            <w:tcW w:w="113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0.0916</w:t>
            </w:r>
          </w:p>
        </w:tc>
        <w:tc>
          <w:tcPr>
            <w:tcW w:w="130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9.59</w:t>
            </w:r>
            <w:r>
              <w:rPr>
                <w:sz w:val="21"/>
              </w:rPr>
              <w:t>％</w:t>
            </w:r>
          </w:p>
        </w:tc>
        <w:tc>
          <w:tcPr>
            <w:tcW w:w="2721"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3.28</w:t>
            </w:r>
            <w:r>
              <w:rPr>
                <w:sz w:val="21"/>
              </w:rPr>
              <w:t>％至</w:t>
            </w:r>
            <w:r>
              <w:rPr>
                <w:sz w:val="21"/>
              </w:rPr>
              <w:t>16.28</w:t>
            </w:r>
            <w:r>
              <w:rPr>
                <w:sz w:val="21"/>
              </w:rPr>
              <w:t>％</w:t>
            </w:r>
          </w:p>
        </w:tc>
        <w:tc>
          <w:tcPr>
            <w:tcW w:w="113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0.003</w:t>
            </w:r>
          </w:p>
        </w:tc>
      </w:tr>
      <w:tr w:rsidR="0021426D">
        <w:trPr>
          <w:cantSplit/>
          <w:jc w:val="center"/>
        </w:trPr>
        <w:tc>
          <w:tcPr>
            <w:tcW w:w="2154"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21"/>
              </w:rPr>
              <w:t>2022Q2—2023Q4</w:t>
            </w:r>
          </w:p>
        </w:tc>
        <w:tc>
          <w:tcPr>
            <w:tcW w:w="113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0.0459</w:t>
            </w:r>
          </w:p>
        </w:tc>
        <w:tc>
          <w:tcPr>
            <w:tcW w:w="130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4.69</w:t>
            </w:r>
            <w:r>
              <w:rPr>
                <w:sz w:val="21"/>
              </w:rPr>
              <w:t>％</w:t>
            </w:r>
          </w:p>
        </w:tc>
        <w:tc>
          <w:tcPr>
            <w:tcW w:w="2721"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0.83</w:t>
            </w:r>
            <w:r>
              <w:rPr>
                <w:sz w:val="21"/>
              </w:rPr>
              <w:t>％至</w:t>
            </w:r>
            <w:r>
              <w:rPr>
                <w:sz w:val="21"/>
              </w:rPr>
              <w:t>8.71</w:t>
            </w:r>
            <w:r>
              <w:rPr>
                <w:sz w:val="21"/>
              </w:rPr>
              <w:t>％</w:t>
            </w:r>
          </w:p>
        </w:tc>
        <w:tc>
          <w:tcPr>
            <w:tcW w:w="113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0.017</w:t>
            </w:r>
          </w:p>
        </w:tc>
      </w:tr>
      <w:tr w:rsidR="0021426D">
        <w:trPr>
          <w:cantSplit/>
          <w:jc w:val="center"/>
        </w:trPr>
        <w:tc>
          <w:tcPr>
            <w:tcW w:w="2154" w:type="dxa"/>
            <w:tcBorders>
              <w:top w:val="nil"/>
              <w:left w:val="nil"/>
              <w:bottom w:val="single" w:sz="12" w:space="0" w:color="000000"/>
              <w:right w:val="nil"/>
            </w:tcBorders>
            <w:shd w:val="clear" w:color="auto" w:fill="FFFFFF"/>
            <w:vAlign w:val="center"/>
          </w:tcPr>
          <w:p w:rsidR="0021426D" w:rsidRDefault="00A661EE">
            <w:pPr>
              <w:spacing w:after="40" w:line="276" w:lineRule="auto"/>
              <w:jc w:val="left"/>
            </w:pPr>
            <w:r>
              <w:rPr>
                <w:sz w:val="21"/>
              </w:rPr>
              <w:t>后段减前段</w:t>
            </w:r>
          </w:p>
        </w:tc>
        <w:tc>
          <w:tcPr>
            <w:tcW w:w="1134"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-0.0457</w:t>
            </w:r>
          </w:p>
        </w:tc>
        <w:tc>
          <w:tcPr>
            <w:tcW w:w="1304"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-4.47</w:t>
            </w:r>
            <w:r>
              <w:rPr>
                <w:sz w:val="21"/>
              </w:rPr>
              <w:t>％</w:t>
            </w:r>
          </w:p>
        </w:tc>
        <w:tc>
          <w:tcPr>
            <w:tcW w:w="2721"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-9.76</w:t>
            </w:r>
            <w:r>
              <w:rPr>
                <w:sz w:val="21"/>
              </w:rPr>
              <w:t>％至</w:t>
            </w:r>
            <w:r>
              <w:rPr>
                <w:sz w:val="21"/>
              </w:rPr>
              <w:t>1.13</w:t>
            </w:r>
            <w:r>
              <w:rPr>
                <w:sz w:val="21"/>
              </w:rPr>
              <w:t>％</w:t>
            </w:r>
          </w:p>
        </w:tc>
        <w:tc>
          <w:tcPr>
            <w:tcW w:w="1134"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0.116</w:t>
            </w:r>
          </w:p>
        </w:tc>
      </w:tr>
    </w:tbl>
    <w:p w:rsidR="0021426D" w:rsidRDefault="00A661EE">
      <w:pPr>
        <w:ind w:firstLine="480"/>
      </w:pPr>
      <w:r>
        <w:t>在时间路径之外，表</w:t>
      </w:r>
      <w:r>
        <w:t>3-12</w:t>
      </w:r>
      <w:r>
        <w:t>进一步比较选定阶段的平均响应。汇总先在对数尺</w:t>
      </w:r>
      <w:r>
        <w:lastRenderedPageBreak/>
        <w:t>度上按季度等权聚合，再换算为比例变化，使各阶段具有明确的权重含义。早段相对变化为</w:t>
      </w:r>
      <w:r>
        <w:t>9.59</w:t>
      </w:r>
      <w:r>
        <w:t>％，后段为</w:t>
      </w:r>
      <w:r>
        <w:t>4.69</w:t>
      </w:r>
      <w:r>
        <w:t>％，两段差异的</w:t>
      </w:r>
      <w:r>
        <w:t>p</w:t>
      </w:r>
      <w:r>
        <w:t>值为</w:t>
      </w:r>
      <w:r>
        <w:t>0.116</w:t>
      </w:r>
      <w:r>
        <w:t>。虽然点估计有所回落，现有精度仍不足以确认阶段差异。这也提示，单个阶段的区间和阶段间差异检验应共同报告。</w:t>
      </w:r>
      <w:r>
        <w:rPr>
          <w:rFonts w:hint="eastAsia"/>
        </w:rPr>
        <w:t>但是，</w:t>
      </w:r>
      <w:r>
        <w:t>当前汇总对应片区代理，正式项目</w:t>
      </w:r>
      <w:r>
        <w:t>ATT</w:t>
      </w:r>
      <w:r>
        <w:t>将随红线、队列与可比住宅的确定另行估计。</w:t>
      </w:r>
    </w:p>
    <w:p w:rsidR="0021426D" w:rsidRDefault="00A661EE">
      <w:pPr>
        <w:keepNext/>
        <w:jc w:val="center"/>
      </w:pPr>
      <w:r>
        <w:t>表</w:t>
      </w:r>
      <w:r>
        <w:t xml:space="preserve">3-13  </w:t>
      </w:r>
      <w:r>
        <w:t>基期楼龄交互比较</w:t>
      </w:r>
    </w:p>
    <w:tbl>
      <w:tblPr>
        <w:tblW w:w="0" w:type="auto"/>
        <w:jc w:val="center"/>
        <w:tblBorders>
          <w:top w:val="single" w:sz="6" w:space="0" w:color="auto"/>
          <w:bottom w:val="single" w:sz="6" w:space="0" w:color="auto"/>
        </w:tblBorders>
        <w:tblLayout w:type="fixed"/>
        <w:tblLook w:val="04A0" w:firstRow="1" w:lastRow="0" w:firstColumn="1" w:lastColumn="0" w:noHBand="0" w:noVBand="1"/>
      </w:tblPr>
      <w:tblGrid>
        <w:gridCol w:w="1701"/>
        <w:gridCol w:w="1134"/>
        <w:gridCol w:w="2835"/>
        <w:gridCol w:w="1644"/>
        <w:gridCol w:w="1134"/>
      </w:tblGrid>
      <w:tr w:rsidR="0021426D">
        <w:trPr>
          <w:cantSplit/>
          <w:tblHeader/>
          <w:jc w:val="center"/>
        </w:trPr>
        <w:tc>
          <w:tcPr>
            <w:tcW w:w="1701"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left"/>
            </w:pPr>
            <w:r>
              <w:rPr>
                <w:b/>
                <w:sz w:val="21"/>
              </w:rPr>
              <w:t>比较</w:t>
            </w:r>
          </w:p>
        </w:tc>
        <w:tc>
          <w:tcPr>
            <w:tcW w:w="1134"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对数效应</w:t>
            </w:r>
          </w:p>
        </w:tc>
        <w:tc>
          <w:tcPr>
            <w:tcW w:w="2835"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95</w:t>
            </w:r>
            <w:r>
              <w:rPr>
                <w:b/>
                <w:sz w:val="21"/>
              </w:rPr>
              <w:t>％对数区间</w:t>
            </w:r>
          </w:p>
        </w:tc>
        <w:tc>
          <w:tcPr>
            <w:tcW w:w="1644"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比例换算</w:t>
            </w:r>
          </w:p>
        </w:tc>
        <w:tc>
          <w:tcPr>
            <w:tcW w:w="1134"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p</w:t>
            </w:r>
            <w:r>
              <w:rPr>
                <w:b/>
                <w:sz w:val="21"/>
              </w:rPr>
              <w:t>值</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21"/>
              </w:rPr>
              <w:t>较新组</w:t>
            </w:r>
          </w:p>
        </w:tc>
        <w:tc>
          <w:tcPr>
            <w:tcW w:w="113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0.1441</w:t>
            </w:r>
          </w:p>
        </w:tc>
        <w:tc>
          <w:tcPr>
            <w:tcW w:w="2835"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0.0762</w:t>
            </w:r>
            <w:r>
              <w:rPr>
                <w:sz w:val="21"/>
              </w:rPr>
              <w:t>至</w:t>
            </w:r>
            <w:r>
              <w:rPr>
                <w:sz w:val="21"/>
              </w:rPr>
              <w:t>0.2121</w:t>
            </w:r>
          </w:p>
        </w:tc>
        <w:tc>
          <w:tcPr>
            <w:tcW w:w="164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15.50</w:t>
            </w:r>
            <w:r>
              <w:rPr>
                <w:sz w:val="21"/>
              </w:rPr>
              <w:t>％</w:t>
            </w:r>
          </w:p>
        </w:tc>
        <w:tc>
          <w:tcPr>
            <w:tcW w:w="113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3.61e-05</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spacing w:after="40" w:line="276" w:lineRule="auto"/>
              <w:jc w:val="left"/>
            </w:pPr>
            <w:r>
              <w:rPr>
                <w:sz w:val="21"/>
              </w:rPr>
              <w:t>较老组</w:t>
            </w:r>
          </w:p>
        </w:tc>
        <w:tc>
          <w:tcPr>
            <w:tcW w:w="113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0.1839</w:t>
            </w:r>
          </w:p>
        </w:tc>
        <w:tc>
          <w:tcPr>
            <w:tcW w:w="2835"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0.1328</w:t>
            </w:r>
            <w:r>
              <w:rPr>
                <w:sz w:val="21"/>
              </w:rPr>
              <w:t>至</w:t>
            </w:r>
            <w:r>
              <w:rPr>
                <w:sz w:val="21"/>
              </w:rPr>
              <w:t>0.2349</w:t>
            </w:r>
          </w:p>
        </w:tc>
        <w:tc>
          <w:tcPr>
            <w:tcW w:w="164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20.19</w:t>
            </w:r>
            <w:r>
              <w:rPr>
                <w:sz w:val="21"/>
              </w:rPr>
              <w:t>％</w:t>
            </w:r>
          </w:p>
        </w:tc>
        <w:tc>
          <w:tcPr>
            <w:tcW w:w="1134"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5.04e-12</w:t>
            </w:r>
          </w:p>
        </w:tc>
      </w:tr>
      <w:tr w:rsidR="0021426D">
        <w:trPr>
          <w:cantSplit/>
          <w:jc w:val="center"/>
        </w:trPr>
        <w:tc>
          <w:tcPr>
            <w:tcW w:w="1701" w:type="dxa"/>
            <w:tcBorders>
              <w:top w:val="nil"/>
              <w:left w:val="nil"/>
              <w:bottom w:val="single" w:sz="12" w:space="0" w:color="000000"/>
              <w:right w:val="nil"/>
            </w:tcBorders>
            <w:shd w:val="clear" w:color="auto" w:fill="FFFFFF"/>
            <w:vAlign w:val="center"/>
          </w:tcPr>
          <w:p w:rsidR="0021426D" w:rsidRDefault="00A661EE">
            <w:pPr>
              <w:spacing w:after="40" w:line="276" w:lineRule="auto"/>
              <w:jc w:val="left"/>
            </w:pPr>
            <w:r>
              <w:rPr>
                <w:sz w:val="21"/>
              </w:rPr>
              <w:t>较老减较新</w:t>
            </w:r>
          </w:p>
        </w:tc>
        <w:tc>
          <w:tcPr>
            <w:tcW w:w="1134"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0.0397</w:t>
            </w:r>
          </w:p>
        </w:tc>
        <w:tc>
          <w:tcPr>
            <w:tcW w:w="2835"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-0.0453</w:t>
            </w:r>
            <w:r>
              <w:rPr>
                <w:sz w:val="21"/>
              </w:rPr>
              <w:t>至</w:t>
            </w:r>
            <w:r>
              <w:rPr>
                <w:sz w:val="21"/>
              </w:rPr>
              <w:t>0.1247</w:t>
            </w:r>
          </w:p>
        </w:tc>
        <w:tc>
          <w:tcPr>
            <w:tcW w:w="1644"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4.05</w:t>
            </w:r>
            <w:r>
              <w:rPr>
                <w:sz w:val="21"/>
              </w:rPr>
              <w:t>％</w:t>
            </w:r>
          </w:p>
        </w:tc>
        <w:tc>
          <w:tcPr>
            <w:tcW w:w="1134"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0.359</w:t>
            </w:r>
          </w:p>
        </w:tc>
      </w:tr>
    </w:tbl>
    <w:p w:rsidR="0021426D" w:rsidRDefault="00A661EE">
      <w:pPr>
        <w:ind w:firstLine="480"/>
      </w:pPr>
      <w:r>
        <w:t>进一步地，表</w:t>
      </w:r>
      <w:r>
        <w:t>3-13</w:t>
      </w:r>
      <w:r>
        <w:t>考察基期楼龄是否对应不同的价格响应。研究以事件前小区建成年代中位数形成</w:t>
      </w:r>
      <w:r>
        <w:t>2019</w:t>
      </w:r>
      <w:r>
        <w:t>年基期楼龄，按</w:t>
      </w:r>
      <w:r>
        <w:t>21</w:t>
      </w:r>
      <w:r>
        <w:t>年阈值分组，并吸收楼龄组别与季度交互固定效应。样本为</w:t>
      </w:r>
      <w:r>
        <w:t>10607</w:t>
      </w:r>
      <w:r>
        <w:t>笔、</w:t>
      </w:r>
      <w:r>
        <w:t>495</w:t>
      </w:r>
      <w:r>
        <w:t>个小区，较年轻组与较老组的点估计分别为</w:t>
      </w:r>
      <w:r>
        <w:t>15.50</w:t>
      </w:r>
      <w:r>
        <w:t>％和</w:t>
      </w:r>
      <w:r>
        <w:t>20.19</w:t>
      </w:r>
      <w:r>
        <w:t>％；然而，组间交互差异的</w:t>
      </w:r>
      <w:r>
        <w:t>p</w:t>
      </w:r>
      <w:r>
        <w:t>值为</w:t>
      </w:r>
      <w:r>
        <w:t>0.359</w:t>
      </w:r>
      <w:r>
        <w:t>，区间覆盖零。图</w:t>
      </w:r>
      <w:r>
        <w:t>3-4</w:t>
      </w:r>
      <w:r>
        <w:t>将组别响应与差异估计分开呈现，避免将两个组别各自显著误读为组间差异显著。这属于住宅属性的探索性异质性，项目类型、距离和实施状态的比较仍需正式项目样本。</w:t>
      </w:r>
    </w:p>
    <w:p w:rsidR="0021426D" w:rsidRDefault="00A661EE">
      <w:pPr>
        <w:keepNext/>
        <w:jc w:val="center"/>
      </w:pPr>
      <w:r>
        <w:rPr>
          <w:noProof/>
        </w:rPr>
        <w:drawing>
          <wp:inline distT="0" distB="0" distL="0" distR="0">
            <wp:extent cx="5471795" cy="24618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4"/>
                    <a:stretch>
                      <a:fillRect/>
                    </a:stretch>
                  </pic:blipFill>
                  <pic:spPr>
                    <a:xfrm>
                      <a:off x="0" y="0"/>
                      <a:ext cx="5472000" cy="2462400"/>
                    </a:xfrm>
                    <a:prstGeom prst="rect">
                      <a:avLst/>
                    </a:prstGeom>
                  </pic:spPr>
                </pic:pic>
              </a:graphicData>
            </a:graphic>
          </wp:inline>
        </w:drawing>
      </w:r>
    </w:p>
    <w:p w:rsidR="0021426D" w:rsidRDefault="00A661EE">
      <w:pPr>
        <w:jc w:val="center"/>
      </w:pPr>
      <w:r>
        <w:t>图</w:t>
      </w:r>
      <w:r>
        <w:t xml:space="preserve">3-4  </w:t>
      </w:r>
      <w:r>
        <w:t>基期楼龄响应与组间交互差异</w:t>
      </w:r>
    </w:p>
    <w:p w:rsidR="0021426D" w:rsidRDefault="00A661EE">
      <w:r>
        <w:rPr>
          <w:sz w:val="18"/>
        </w:rPr>
        <w:t>注：同一模型样本为</w:t>
      </w:r>
      <w:r>
        <w:rPr>
          <w:sz w:val="18"/>
        </w:rPr>
        <w:t>10607</w:t>
      </w:r>
      <w:r>
        <w:rPr>
          <w:sz w:val="18"/>
        </w:rPr>
        <w:t>笔、</w:t>
      </w:r>
      <w:r>
        <w:rPr>
          <w:sz w:val="18"/>
        </w:rPr>
        <w:t>495</w:t>
      </w:r>
      <w:r>
        <w:rPr>
          <w:sz w:val="18"/>
        </w:rPr>
        <w:t>个小区，基期楼龄阈值为</w:t>
      </w:r>
      <w:r>
        <w:rPr>
          <w:sz w:val="18"/>
        </w:rPr>
        <w:t>21</w:t>
      </w:r>
      <w:r>
        <w:rPr>
          <w:sz w:val="18"/>
        </w:rPr>
        <w:t>年。差异行为组间交互系数的指数换算，区别于两组百分比的直接相减。该差异的</w:t>
      </w:r>
      <w:r>
        <w:rPr>
          <w:sz w:val="18"/>
        </w:rPr>
        <w:t>p</w:t>
      </w:r>
      <w:r>
        <w:rPr>
          <w:sz w:val="18"/>
        </w:rPr>
        <w:t>值为</w:t>
      </w:r>
      <w:r>
        <w:rPr>
          <w:sz w:val="18"/>
        </w:rPr>
        <w:t>0.359</w:t>
      </w:r>
      <w:r>
        <w:rPr>
          <w:sz w:val="18"/>
        </w:rPr>
        <w:t>，</w:t>
      </w:r>
      <w:r>
        <w:rPr>
          <w:sz w:val="18"/>
        </w:rPr>
        <w:t>95</w:t>
      </w:r>
      <w:r>
        <w:rPr>
          <w:sz w:val="18"/>
        </w:rPr>
        <w:t>％区间覆盖零。</w:t>
      </w:r>
    </w:p>
    <w:p w:rsidR="0021426D" w:rsidRDefault="00A661EE">
      <w:pPr>
        <w:pStyle w:val="3"/>
        <w:keepNext/>
        <w:spacing w:before="120" w:after="120"/>
        <w:jc w:val="left"/>
      </w:pPr>
      <w:bookmarkStart w:id="33" w:name="_Toc242490944"/>
      <w:r>
        <w:t xml:space="preserve">3.4.3  </w:t>
      </w:r>
      <w:r>
        <w:t>空间联系与图暴露的实现安排</w:t>
      </w:r>
      <w:bookmarkEnd w:id="33"/>
    </w:p>
    <w:p w:rsidR="0021426D" w:rsidRDefault="00A661EE">
      <w:pPr>
        <w:ind w:firstLine="480"/>
      </w:pPr>
      <w:r>
        <w:t>空间测量先明确对象。住宅位置到经核定拆除边界的最短直线距离用于组织近邻与远邻比较；住宅到设施入口的最短可通行路径用于服务联系。道路阻隔、</w:t>
      </w:r>
      <w:r>
        <w:lastRenderedPageBreak/>
        <w:t>穿越点与设施准入在对应年份登记，以实际路径与参考路径比值的自然对数描述绕行。边界内外身份与距离值分别核验。</w:t>
      </w:r>
    </w:p>
    <w:p w:rsidR="0021426D" w:rsidRDefault="00A661EE">
      <w:pPr>
        <w:ind w:firstLine="480"/>
      </w:pPr>
      <w:r>
        <w:t>重力联系模型将</w:t>
      </w:r>
      <w:r>
        <w:t>OD</w:t>
      </w:r>
      <w:r>
        <w:t>权重的条件均值写成起点规模、终点吸引力、网络距离及绕行的函数，使用</w:t>
      </w:r>
      <w:r>
        <w:t>PPML</w:t>
      </w:r>
      <w:r>
        <w:t>直接拟合非负均值并保留真实零流量。对规模项标准化后，再根据距离衰减关系反解产生同等联系强度的等价距离。其经济解释是通行联系的阻抗，参数方向、共线性和观测支持需要实际估计。</w:t>
      </w:r>
      <w:r>
        <w:t>2022</w:t>
      </w:r>
      <w:r>
        <w:t>年</w:t>
      </w:r>
      <w:r>
        <w:t>OD</w:t>
      </w:r>
      <w:r>
        <w:t>目前用于截面校准，历史基期暴露以相应日期资料核定。</w:t>
      </w:r>
    </w:p>
    <w:p w:rsidR="0021426D" w:rsidRDefault="00A661EE">
      <w:pPr>
        <w:ind w:firstLine="480"/>
      </w:pPr>
      <w:r>
        <w:t>街景与遥感特征、住宅属性及可达性形成节点输入。道路相连、空间邻近和可视关系采用不同的关系矩阵与边权，聚合为图表征。图修正以乘法形式接到重力均值，训练同时考察</w:t>
      </w:r>
      <w:r>
        <w:t>OD</w:t>
      </w:r>
      <w:r>
        <w:t>准似然损失与独立环境标签损失；扰动暴露与服务可达性分别输出，避免相反的经济通道合成无明确方向的总分。</w:t>
      </w:r>
    </w:p>
    <w:p w:rsidR="0021426D" w:rsidRDefault="00A661EE">
      <w:pPr>
        <w:ind w:firstLine="480"/>
      </w:pPr>
      <w:r>
        <w:t>测度验证将先固定距离、路网和重力基线，逐步加入图像与关系聚合。人工标签检查围挡、入口、遮挡和绿化概念，独立项目留出检查跨项目稳定性；同一编码器、标准化参数和映射用于跨期比较。基期图暴露用于分层，阶段变化用于解释成本与服务兑现。目前尚未取得可报告的</w:t>
      </w:r>
      <w:r>
        <w:t>PPML</w:t>
      </w:r>
      <w:r>
        <w:t>系数、独立标签误差或</w:t>
      </w:r>
      <w:r>
        <w:t>GNN</w:t>
      </w:r>
      <w:r>
        <w:t>增量，后续结果按真实实验保存。</w:t>
      </w:r>
    </w:p>
    <w:p w:rsidR="0021426D" w:rsidRDefault="00A661EE">
      <w:pPr>
        <w:ind w:firstLine="480"/>
      </w:pPr>
      <w:r>
        <w:t>正式价格估计按目标事件形成队列，在条件平行趋势、有效比较住宅和相应提前预期设定下，估计各基期暴露层的组别</w:t>
      </w:r>
      <w:r>
        <w:t>—</w:t>
      </w:r>
      <w:r>
        <w:t>时期</w:t>
      </w:r>
      <w:r>
        <w:t>ATT</w:t>
      </w:r>
      <w:r>
        <w:t>。采用共同可观察队列与非负权重聚合动态路径，再比较同项目、同距离档高低暴露层的差异。该差异首先表示项目效应异质性，暴露本身的结构因果作用还需额外识别条件。</w:t>
      </w:r>
    </w:p>
    <w:p w:rsidR="0021426D" w:rsidRDefault="00A661EE">
      <w:pPr>
        <w:pStyle w:val="3"/>
        <w:keepNext/>
        <w:spacing w:before="120" w:after="120"/>
        <w:jc w:val="left"/>
      </w:pPr>
      <w:bookmarkStart w:id="34" w:name="_Toc242490945"/>
      <w:r>
        <w:t xml:space="preserve">3.4.4  </w:t>
      </w:r>
      <w:r>
        <w:t>项目</w:t>
      </w:r>
      <w:r>
        <w:t>ATT</w:t>
      </w:r>
      <w:r>
        <w:t>与长期机制的工作衔接</w:t>
      </w:r>
      <w:bookmarkEnd w:id="34"/>
    </w:p>
    <w:p w:rsidR="0021426D" w:rsidRDefault="00A661EE">
      <w:pPr>
        <w:ind w:firstLine="480"/>
      </w:pPr>
      <w:r>
        <w:t>现有工作已经建立了从真实成交到价格诊断的完整证据链。原始文件、清理样本、描述统计与相关性，以及翠竹两列固定效应回归均已保存；季度和半年事件研究、事件前联合检验、伪事件、趋势与窗口敏感性、基期楼龄交互和布心四切点代理</w:t>
      </w:r>
      <w:r>
        <w:t>DID</w:t>
      </w:r>
      <w:r>
        <w:t>也已实际执行。主规格另以独立固定效应投影与小区聚类协方差计算复核，结果文件保留系数、协方差、样本支持与来源哈希。与此同时，宗地、开发商、住房用途、配套规划指标及事项时间支持已经形成档案。两类工作分别提供估计基础和项目核定依据，共同决定后续分析可以推进到哪一步。</w:t>
      </w:r>
    </w:p>
    <w:p w:rsidR="0021426D" w:rsidRDefault="00A661EE">
      <w:pPr>
        <w:ind w:firstLine="480"/>
      </w:pPr>
      <w:r>
        <w:t>上述准备尚需通过地理配准转化为正式项目处理定义。下一阶段将优先取得官方拆除范围的坐标基准或可追溯同名地物，结合独立控制点核验配准误差与官方面积，再与住宅位置连接。由此计算边界距离、距离档和其他项目重叠暴露，固定事件前已存在且位于边界外的住宅身份。当前已提取的有效轮廓仍处于图件</w:t>
      </w:r>
      <w:r>
        <w:lastRenderedPageBreak/>
        <w:t>页面坐标，部分地理模板几何为空；这些状态表明资料获取与地理赋值处于不同阶段。完成连接后，再逐项目核查事件前后成交支持，形成有效的处理侧与比较侧。</w:t>
      </w:r>
    </w:p>
    <w:p w:rsidR="0021426D" w:rsidRDefault="00A661EE">
      <w:pPr>
        <w:ind w:firstLine="480"/>
      </w:pPr>
      <w:r>
        <w:t>在空间归属之外，长期机制还受到成交窗口的约束。当前价格文件无法观察</w:t>
      </w:r>
      <w:r>
        <w:t>2025</w:t>
      </w:r>
      <w:r>
        <w:t>年配租事项之后的市场反应，因而需要补充更晚成交及实际交付、入住和服务开放日期。后续将把建设子项、宗地和拆除分期分别连接，以处理前方案刻画预期，以入口、准入和实际容量刻画服务兑现，以拆旧与新增可替代住房刻画竞争。政府产权配套面积、配租套数与商品住宅供给具有不同经济含义，机制变量随各自来源核验形成。只有对应时期的价格和服务资料齐备，才能比较长期收益是否兑现。</w:t>
      </w:r>
    </w:p>
    <w:p w:rsidR="0021426D" w:rsidRDefault="00A661EE">
      <w:pPr>
        <w:ind w:firstLine="480"/>
      </w:pPr>
      <w:r>
        <w:t>对照住宅将结合基期价格与属性、地区趋势、其他更新项目及同期交通学区信息选择。报告逐队列的事前事后成交支持、有效住宅及项目数，并以替代事件、距离环带、限定比较组和空间相关推断检验敏感性。</w:t>
      </w:r>
    </w:p>
    <w:p w:rsidR="0021426D" w:rsidRDefault="00A661EE">
      <w:pPr>
        <w:ind w:firstLine="480"/>
      </w:pPr>
      <w:r>
        <w:t>在此基础上，后续分析将形成与假设逐项对应的成果。正式项目基准表先报告处理定义、控制项、有效项目数及成交量；平均处理效应采用明确队列与时期权重，动态路径同时列示事件前联合检验。距离衰减按核定边界距离构造环带，项目类型及实施状态的比较则在共同事件窗口和有效支持下开展。各分析均报告点估计、置信区间和样本覆盖，结果是否显著由实际数据决定。</w:t>
      </w:r>
    </w:p>
    <w:p w:rsidR="0021426D" w:rsidRDefault="00A661EE">
      <w:pPr>
        <w:ind w:firstLine="480"/>
      </w:pPr>
      <w:r>
        <w:t>服务改善检验将连接设施实际开放、入口准入、路径变化和服务容量，并与公告阶段的方案预期比较。供给竞争检验将结合拆旧、新增可交易住房、产权与产品替代性，在预售和交付阶段分别观察。图测度增量以独立环境标签、留出项目和基线消融为依据，价格异质性作为另一层经济证据。现阶段这些分析已形成模型与字段方案，尚需完成空间赋值、历史指标和更长成交窗口；本报告据此同时呈现已执行结果和可推进的研究任务。</w:t>
      </w:r>
    </w:p>
    <w:p w:rsidR="0021426D" w:rsidRDefault="00A661EE">
      <w:pPr>
        <w:pStyle w:val="2"/>
        <w:keepNext/>
        <w:spacing w:before="120" w:after="120"/>
        <w:jc w:val="left"/>
        <w:rPr>
          <w:rFonts w:hint="eastAsia"/>
        </w:rPr>
      </w:pPr>
      <w:bookmarkStart w:id="35" w:name="_Toc242490946"/>
      <w:r>
        <w:t xml:space="preserve">3.5  </w:t>
      </w:r>
      <w:r>
        <w:t>空间测度模型与证据图表</w:t>
      </w:r>
      <w:bookmarkEnd w:id="35"/>
    </w:p>
    <w:p w:rsidR="0021426D" w:rsidRDefault="00A661EE">
      <w:pPr>
        <w:pStyle w:val="3"/>
        <w:keepNext/>
        <w:spacing w:before="120" w:after="120"/>
        <w:jc w:val="left"/>
      </w:pPr>
      <w:bookmarkStart w:id="36" w:name="_Toc242490947"/>
      <w:r>
        <w:t xml:space="preserve">3.5.1  </w:t>
      </w:r>
      <w:r>
        <w:t>项目阶段、空间参照与资料连接</w:t>
      </w:r>
      <w:bookmarkEnd w:id="36"/>
    </w:p>
    <w:p w:rsidR="0021426D" w:rsidRDefault="00A661EE">
      <w:pPr>
        <w:ind w:firstLine="480"/>
      </w:pPr>
      <w:r>
        <w:t>项目事件、住宅身份与空间测量分别建立连接。公告、拆除、实际施工、竣工、交付及设施开放改变的信息不同，事件档案保存来源、日期精度和实施属性。木头龙时间轴展示不同来源所指向的阶段，候选日期仍需与目标事件逐项核定。</w:t>
      </w:r>
    </w:p>
    <w:p w:rsidR="0021426D" w:rsidRDefault="00A661EE">
      <w:pPr>
        <w:keepNext/>
        <w:jc w:val="center"/>
      </w:pPr>
      <w:r>
        <w:rPr>
          <w:noProof/>
        </w:rPr>
        <w:lastRenderedPageBreak/>
        <w:drawing>
          <wp:inline distT="0" distB="0" distL="0" distR="0">
            <wp:extent cx="5399405" cy="30213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5400000" cy="3021521"/>
                    </a:xfrm>
                    <a:prstGeom prst="rect">
                      <a:avLst/>
                    </a:prstGeom>
                  </pic:spPr>
                </pic:pic>
              </a:graphicData>
            </a:graphic>
          </wp:inline>
        </w:drawing>
      </w:r>
    </w:p>
    <w:p w:rsidR="0021426D" w:rsidRDefault="00A661EE">
      <w:pPr>
        <w:keepNext/>
        <w:jc w:val="center"/>
      </w:pPr>
      <w:r>
        <w:t>图</w:t>
      </w:r>
      <w:r>
        <w:t xml:space="preserve">3-5  </w:t>
      </w:r>
      <w:r>
        <w:t>木头龙事项与项目阶段时间轴</w:t>
      </w:r>
    </w:p>
    <w:p w:rsidR="0021426D" w:rsidRDefault="00A661EE">
      <w:pPr>
        <w:ind w:firstLine="480"/>
      </w:pPr>
      <w:r>
        <w:t>来源：本项目事件资料整理。时间轴包含公告、实施、许可、影像及其他事项；发布日期、约定日期与实际发生日期按来源角色分别登记。历史影像用于核查状态，新增拆除日期需要具体事件证据。</w:t>
      </w:r>
    </w:p>
    <w:p w:rsidR="0021426D" w:rsidRDefault="00A661EE">
      <w:pPr>
        <w:keepNext/>
        <w:jc w:val="center"/>
      </w:pPr>
      <w:r>
        <w:rPr>
          <w:noProof/>
        </w:rPr>
        <w:drawing>
          <wp:inline distT="0" distB="0" distL="0" distR="0">
            <wp:extent cx="4967605" cy="3335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4968000" cy="3335064"/>
                    </a:xfrm>
                    <a:prstGeom prst="rect">
                      <a:avLst/>
                    </a:prstGeom>
                  </pic:spPr>
                </pic:pic>
              </a:graphicData>
            </a:graphic>
          </wp:inline>
        </w:drawing>
      </w:r>
    </w:p>
    <w:p w:rsidR="0021426D" w:rsidRDefault="00A661EE">
      <w:pPr>
        <w:keepNext/>
        <w:jc w:val="center"/>
      </w:pPr>
      <w:r>
        <w:t>图</w:t>
      </w:r>
      <w:r>
        <w:t xml:space="preserve">3-6  </w:t>
      </w:r>
      <w:r>
        <w:t>罗湖住宅、轨道站点与木头龙活动位置参照</w:t>
      </w:r>
    </w:p>
    <w:p w:rsidR="0021426D" w:rsidRDefault="00A661EE">
      <w:pPr>
        <w:ind w:firstLine="480"/>
      </w:pPr>
      <w:r>
        <w:t>来源：已有罗湖空间参照图。图中点位和</w:t>
      </w:r>
      <w:r>
        <w:t>670</w:t>
      </w:r>
      <w:r>
        <w:t>个小区、</w:t>
      </w:r>
      <w:r>
        <w:t>16432</w:t>
      </w:r>
      <w:r>
        <w:t>笔的原标注对应早期筛选层，当前属性清理层为</w:t>
      </w:r>
      <w:r>
        <w:t>621</w:t>
      </w:r>
      <w:r>
        <w:t>个小区、</w:t>
      </w:r>
      <w:r>
        <w:t>16199</w:t>
      </w:r>
      <w:r>
        <w:t>笔。星形点是项目活动定位依</w:t>
      </w:r>
      <w:r>
        <w:lastRenderedPageBreak/>
        <w:t>据，独立坐标与拆除边界核验仍在推进；该图用于空间概览。</w:t>
      </w:r>
    </w:p>
    <w:p w:rsidR="0021426D" w:rsidRDefault="00A661EE">
      <w:pPr>
        <w:keepNext/>
        <w:jc w:val="center"/>
      </w:pPr>
      <w:r>
        <w:rPr>
          <w:noProof/>
        </w:rPr>
        <w:drawing>
          <wp:inline distT="0" distB="0" distL="0" distR="0">
            <wp:extent cx="3059430" cy="3594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3060000" cy="3595300"/>
                    </a:xfrm>
                    <a:prstGeom prst="rect">
                      <a:avLst/>
                    </a:prstGeom>
                  </pic:spPr>
                </pic:pic>
              </a:graphicData>
            </a:graphic>
          </wp:inline>
        </w:drawing>
      </w:r>
    </w:p>
    <w:p w:rsidR="0021426D" w:rsidRDefault="00A661EE">
      <w:pPr>
        <w:keepNext/>
        <w:jc w:val="center"/>
      </w:pPr>
      <w:r>
        <w:t>图</w:t>
      </w:r>
      <w:r>
        <w:t xml:space="preserve">3-7  </w:t>
      </w:r>
      <w:r>
        <w:t>布心片区道路与村域参照</w:t>
      </w:r>
    </w:p>
    <w:p w:rsidR="0021426D" w:rsidRDefault="00A661EE">
      <w:pPr>
        <w:ind w:firstLine="480"/>
      </w:pPr>
      <w:r>
        <w:t>来源：罗湖道路和村域资料。村域是参照范围，与官方一期、二期拆除范围分别登记。道路、村域和活动点共同帮助核查同名地物，正式距离仍依据配准后的拆除边界计算。</w:t>
      </w:r>
    </w:p>
    <w:p w:rsidR="0021426D" w:rsidRDefault="00A661EE">
      <w:pPr>
        <w:keepNext/>
        <w:jc w:val="center"/>
      </w:pPr>
      <w:r>
        <w:rPr>
          <w:noProof/>
        </w:rPr>
        <w:drawing>
          <wp:inline distT="0" distB="0" distL="0" distR="0">
            <wp:extent cx="5399405" cy="1651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5400000" cy="1651852"/>
                    </a:xfrm>
                    <a:prstGeom prst="rect">
                      <a:avLst/>
                    </a:prstGeom>
                  </pic:spPr>
                </pic:pic>
              </a:graphicData>
            </a:graphic>
          </wp:inline>
        </w:drawing>
      </w:r>
    </w:p>
    <w:p w:rsidR="0021426D" w:rsidRDefault="00A661EE">
      <w:pPr>
        <w:keepNext/>
        <w:jc w:val="center"/>
      </w:pPr>
      <w:r>
        <w:t>图</w:t>
      </w:r>
      <w:r>
        <w:t xml:space="preserve">3-8  </w:t>
      </w:r>
      <w:r>
        <w:t>遥感形态、道路现状与</w:t>
      </w:r>
      <w:r>
        <w:t>OD</w:t>
      </w:r>
      <w:r>
        <w:t>联系的多尺度对照</w:t>
      </w:r>
    </w:p>
    <w:p w:rsidR="0021426D" w:rsidRDefault="00A661EE">
      <w:pPr>
        <w:ind w:firstLine="480"/>
      </w:pPr>
      <w:r>
        <w:t>三幅图分别观察同一片区的俯视形态、道路现状与出行联系，展示距离相近而通行联系不同的测量动机。</w:t>
      </w:r>
      <w:r>
        <w:t>OD</w:t>
      </w:r>
      <w:r>
        <w:t>是已获得时点的联系资料，历史事件前表征仍需对应年份的信息。</w:t>
      </w:r>
    </w:p>
    <w:p w:rsidR="0021426D" w:rsidRDefault="00A661EE">
      <w:pPr>
        <w:jc w:val="center"/>
      </w:pPr>
      <w:r>
        <w:t>表</w:t>
      </w:r>
      <w:r>
        <w:t xml:space="preserve">3-14  </w:t>
      </w:r>
      <w:r>
        <w:t>资料来源、当前覆盖与分析用途</w:t>
      </w:r>
    </w:p>
    <w:tbl>
      <w:tblPr>
        <w:tblW w:w="0" w:type="auto"/>
        <w:jc w:val="center"/>
        <w:tblBorders>
          <w:top w:val="single" w:sz="6" w:space="0" w:color="auto"/>
          <w:bottom w:val="single" w:sz="6" w:space="0" w:color="auto"/>
        </w:tblBorders>
        <w:tblLayout w:type="fixed"/>
        <w:tblLook w:val="04A0" w:firstRow="1" w:lastRow="0" w:firstColumn="1" w:lastColumn="0" w:noHBand="0" w:noVBand="1"/>
      </w:tblPr>
      <w:tblGrid>
        <w:gridCol w:w="1701"/>
        <w:gridCol w:w="2835"/>
        <w:gridCol w:w="3969"/>
      </w:tblGrid>
      <w:tr w:rsidR="0021426D">
        <w:trPr>
          <w:cantSplit/>
          <w:tblHeader/>
          <w:jc w:val="center"/>
        </w:trPr>
        <w:tc>
          <w:tcPr>
            <w:tcW w:w="1701"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left"/>
            </w:pPr>
            <w:r>
              <w:rPr>
                <w:b/>
                <w:sz w:val="21"/>
              </w:rPr>
              <w:lastRenderedPageBreak/>
              <w:t>资料</w:t>
            </w:r>
          </w:p>
        </w:tc>
        <w:tc>
          <w:tcPr>
            <w:tcW w:w="2835"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来源及覆盖</w:t>
            </w:r>
          </w:p>
        </w:tc>
        <w:tc>
          <w:tcPr>
            <w:tcW w:w="3969"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分析用途与实际进展</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住宅成交与属性</w:t>
            </w:r>
          </w:p>
        </w:tc>
        <w:tc>
          <w:tcPr>
            <w:tcW w:w="2835"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贝壳逐笔成交，</w:t>
            </w:r>
            <w:r>
              <w:rPr>
                <w:sz w:val="21"/>
              </w:rPr>
              <w:t>2010</w:t>
            </w:r>
            <w:r>
              <w:rPr>
                <w:sz w:val="21"/>
              </w:rPr>
              <w:t>年至</w:t>
            </w:r>
            <w:r>
              <w:rPr>
                <w:sz w:val="21"/>
              </w:rPr>
              <w:t>2024</w:t>
            </w:r>
            <w:r>
              <w:rPr>
                <w:sz w:val="21"/>
              </w:rPr>
              <w:t>年</w:t>
            </w:r>
            <w:r>
              <w:rPr>
                <w:sz w:val="21"/>
              </w:rPr>
              <w:t>4</w:t>
            </w:r>
            <w:r>
              <w:rPr>
                <w:sz w:val="21"/>
              </w:rPr>
              <w:t>月</w:t>
            </w:r>
          </w:p>
        </w:tc>
        <w:tc>
          <w:tcPr>
            <w:tcW w:w="3969"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2017—2023</w:t>
            </w:r>
            <w:r>
              <w:rPr>
                <w:sz w:val="21"/>
              </w:rPr>
              <w:t>年试点；控制面积、电梯、小区与季度</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分期及事件</w:t>
            </w:r>
          </w:p>
        </w:tc>
        <w:tc>
          <w:tcPr>
            <w:tcW w:w="2835"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政府公示、规划许可和项目档案</w:t>
            </w:r>
          </w:p>
        </w:tc>
        <w:tc>
          <w:tcPr>
            <w:tcW w:w="3969"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公告、实际施工、交付、开放分别核定</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道路与村域</w:t>
            </w:r>
          </w:p>
        </w:tc>
        <w:tc>
          <w:tcPr>
            <w:tcW w:w="2835"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罗湖</w:t>
            </w:r>
            <w:r>
              <w:rPr>
                <w:sz w:val="21"/>
              </w:rPr>
              <w:t>GIS</w:t>
            </w:r>
            <w:r>
              <w:rPr>
                <w:sz w:val="21"/>
              </w:rPr>
              <w:t>图层，</w:t>
            </w:r>
            <w:r>
              <w:rPr>
                <w:sz w:val="21"/>
              </w:rPr>
              <w:t>EPSG</w:t>
            </w:r>
            <w:r>
              <w:rPr>
                <w:sz w:val="21"/>
              </w:rPr>
              <w:t>：</w:t>
            </w:r>
            <w:r>
              <w:rPr>
                <w:sz w:val="21"/>
              </w:rPr>
              <w:t>4547</w:t>
            </w:r>
          </w:p>
        </w:tc>
        <w:tc>
          <w:tcPr>
            <w:tcW w:w="3969"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空间参照、路径与阻隔；红线尚待配准</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OD</w:t>
            </w:r>
            <w:r>
              <w:rPr>
                <w:sz w:val="21"/>
              </w:rPr>
              <w:t>出行联系</w:t>
            </w:r>
          </w:p>
        </w:tc>
        <w:tc>
          <w:tcPr>
            <w:tcW w:w="2835"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2022</w:t>
            </w:r>
            <w:r>
              <w:rPr>
                <w:sz w:val="21"/>
              </w:rPr>
              <w:t>年社区间起点与终点联系</w:t>
            </w:r>
          </w:p>
        </w:tc>
        <w:tc>
          <w:tcPr>
            <w:tcW w:w="3969"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截面重力和图校准；历史暴露另行核查</w:t>
            </w:r>
          </w:p>
        </w:tc>
      </w:tr>
      <w:tr w:rsidR="0021426D">
        <w:trPr>
          <w:cantSplit/>
          <w:jc w:val="center"/>
        </w:trPr>
        <w:tc>
          <w:tcPr>
            <w:tcW w:w="1701"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街景与遥感</w:t>
            </w:r>
          </w:p>
        </w:tc>
        <w:tc>
          <w:tcPr>
            <w:tcW w:w="2835"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已整理若干</w:t>
            </w:r>
            <w:r>
              <w:rPr>
                <w:sz w:val="21"/>
              </w:rPr>
              <w:t>2019</w:t>
            </w:r>
            <w:r>
              <w:rPr>
                <w:sz w:val="21"/>
              </w:rPr>
              <w:t>、</w:t>
            </w:r>
            <w:r>
              <w:rPr>
                <w:sz w:val="21"/>
              </w:rPr>
              <w:t>2022</w:t>
            </w:r>
            <w:r>
              <w:rPr>
                <w:sz w:val="21"/>
              </w:rPr>
              <w:t>、</w:t>
            </w:r>
            <w:r>
              <w:rPr>
                <w:sz w:val="21"/>
              </w:rPr>
              <w:t>2025</w:t>
            </w:r>
            <w:r>
              <w:rPr>
                <w:sz w:val="21"/>
              </w:rPr>
              <w:t>时点资料</w:t>
            </w:r>
          </w:p>
        </w:tc>
        <w:tc>
          <w:tcPr>
            <w:tcW w:w="3969"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逐张核验日期、方向和尺度；基期与阶段变化</w:t>
            </w:r>
          </w:p>
        </w:tc>
      </w:tr>
      <w:tr w:rsidR="0021426D">
        <w:trPr>
          <w:cantSplit/>
          <w:jc w:val="center"/>
        </w:trPr>
        <w:tc>
          <w:tcPr>
            <w:tcW w:w="1701"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供给和开发商</w:t>
            </w:r>
          </w:p>
        </w:tc>
        <w:tc>
          <w:tcPr>
            <w:tcW w:w="2835"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深圳土地、官方许可和指标</w:t>
            </w:r>
          </w:p>
        </w:tc>
        <w:tc>
          <w:tcPr>
            <w:tcW w:w="3969"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宗地、主体、用途、拆旧及新增规模</w:t>
            </w:r>
          </w:p>
        </w:tc>
      </w:tr>
    </w:tbl>
    <w:p w:rsidR="0021426D" w:rsidRDefault="00A661EE">
      <w:pPr>
        <w:ind w:firstLine="480"/>
      </w:pPr>
      <w:r>
        <w:t>图像日期表示已整理的观察时点，全年连续覆盖及每个项目的可用状态继续核验。土地与许可资料用于项目身份和建设内容连接，价格结果取自真实住宅交易。</w:t>
      </w:r>
    </w:p>
    <w:p w:rsidR="0021426D" w:rsidRDefault="00A661EE">
      <w:pPr>
        <w:keepNext/>
        <w:jc w:val="center"/>
      </w:pPr>
      <w:r>
        <w:rPr>
          <w:noProof/>
        </w:rPr>
        <w:lastRenderedPageBreak/>
        <w:drawing>
          <wp:inline distT="0" distB="0" distL="0" distR="0">
            <wp:extent cx="3887470" cy="4653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3888000" cy="4653818"/>
                    </a:xfrm>
                    <a:prstGeom prst="rect">
                      <a:avLst/>
                    </a:prstGeom>
                  </pic:spPr>
                </pic:pic>
              </a:graphicData>
            </a:graphic>
          </wp:inline>
        </w:drawing>
      </w:r>
    </w:p>
    <w:p w:rsidR="0021426D" w:rsidRDefault="00A661EE">
      <w:pPr>
        <w:keepNext/>
        <w:jc w:val="center"/>
      </w:pPr>
      <w:r>
        <w:t>图</w:t>
      </w:r>
      <w:r>
        <w:t xml:space="preserve">3-9  </w:t>
      </w:r>
      <w:r>
        <w:t>住宅属性、成交与项目事件的比较连接</w:t>
      </w:r>
    </w:p>
    <w:p w:rsidR="0021426D" w:rsidRDefault="00A661EE">
      <w:pPr>
        <w:ind w:firstLine="480"/>
      </w:pPr>
      <w:r>
        <w:t>图中按稳定小区</w:t>
      </w:r>
      <w:r>
        <w:t>ID</w:t>
      </w:r>
      <w:r>
        <w:t>和项目</w:t>
      </w:r>
      <w:r>
        <w:t>ID</w:t>
      </w:r>
      <w:r>
        <w:t>连接住房属性、成交单价及事件时间。小区和日历季度固定效应对应当前试点，项目队列与暴露分层用于正式比较设计。</w:t>
      </w:r>
    </w:p>
    <w:p w:rsidR="0021426D" w:rsidRDefault="00A661EE">
      <w:pPr>
        <w:keepNext/>
        <w:jc w:val="center"/>
      </w:pPr>
      <w:r>
        <w:rPr>
          <w:noProof/>
        </w:rPr>
        <w:lastRenderedPageBreak/>
        <w:drawing>
          <wp:inline distT="0" distB="0" distL="0" distR="0">
            <wp:extent cx="3239770" cy="4891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3240000" cy="4891456"/>
                    </a:xfrm>
                    <a:prstGeom prst="rect">
                      <a:avLst/>
                    </a:prstGeom>
                  </pic:spPr>
                </pic:pic>
              </a:graphicData>
            </a:graphic>
          </wp:inline>
        </w:drawing>
      </w:r>
    </w:p>
    <w:p w:rsidR="0021426D" w:rsidRDefault="00A661EE">
      <w:pPr>
        <w:keepNext/>
        <w:jc w:val="center"/>
      </w:pPr>
      <w:r>
        <w:t>图</w:t>
      </w:r>
      <w:r>
        <w:t xml:space="preserve">3-10  </w:t>
      </w:r>
      <w:r>
        <w:t>基期暴露与空间影像连接</w:t>
      </w:r>
    </w:p>
    <w:p w:rsidR="0021426D" w:rsidRDefault="00A661EE">
      <w:pPr>
        <w:ind w:firstLine="480"/>
      </w:pPr>
      <w:r>
        <w:t>在共同项目和距离档内，以事件前通行、遮挡及服务条件划分暴露层。位置、影像、楼栋与设施资料共同确定基期表征，后续环境变化与价格路径分别观察。</w:t>
      </w:r>
    </w:p>
    <w:p w:rsidR="0021426D" w:rsidRDefault="00A661EE">
      <w:pPr>
        <w:keepNext/>
        <w:jc w:val="center"/>
      </w:pPr>
      <w:r>
        <w:rPr>
          <w:noProof/>
        </w:rPr>
        <w:lastRenderedPageBreak/>
        <w:drawing>
          <wp:inline distT="0" distB="0" distL="0" distR="0">
            <wp:extent cx="5399405" cy="23139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stretch>
                      <a:fillRect/>
                    </a:stretch>
                  </pic:blipFill>
                  <pic:spPr>
                    <a:xfrm>
                      <a:off x="0" y="0"/>
                      <a:ext cx="5400000" cy="2314286"/>
                    </a:xfrm>
                    <a:prstGeom prst="rect">
                      <a:avLst/>
                    </a:prstGeom>
                  </pic:spPr>
                </pic:pic>
              </a:graphicData>
            </a:graphic>
          </wp:inline>
        </w:drawing>
      </w:r>
    </w:p>
    <w:p w:rsidR="0021426D" w:rsidRDefault="00A661EE">
      <w:pPr>
        <w:keepNext/>
        <w:jc w:val="center"/>
      </w:pPr>
      <w:r>
        <w:t>图</w:t>
      </w:r>
      <w:r>
        <w:t xml:space="preserve">3-11  </w:t>
      </w:r>
      <w:r>
        <w:t>遥感形态及历史街景观察</w:t>
      </w:r>
    </w:p>
    <w:p w:rsidR="0021426D" w:rsidRDefault="00A661EE">
      <w:pPr>
        <w:ind w:firstLine="480"/>
      </w:pPr>
      <w:r>
        <w:t>来源：已有图像资料的多期观察。俯视建筑形态与街景界面具有不同观察尺度；拍摄日期和可见变化用于状态核查，图像自身尚不足以确定新的拆除事件或经济效应。</w:t>
      </w:r>
    </w:p>
    <w:p w:rsidR="0021426D" w:rsidRDefault="00A661EE">
      <w:pPr>
        <w:ind w:firstLine="480"/>
      </w:pPr>
      <w:r>
        <w:t>项目类型与供给比较同时记录旧住宅形态、权属、拆旧规模、新增住房用途、商业及公共设施；基期价格、楼龄和密度描述住宅条件。主要结果为真实单价对数，成交构成及采集记录支持辅助解释；市场总体交易量需要完整成交覆盖。</w:t>
      </w:r>
    </w:p>
    <w:p w:rsidR="0021426D" w:rsidRDefault="00A661EE">
      <w:pPr>
        <w:jc w:val="center"/>
      </w:pPr>
      <w:r>
        <w:t>表</w:t>
      </w:r>
      <w:r>
        <w:t xml:space="preserve">3-15  </w:t>
      </w:r>
      <w:r>
        <w:t>项目、住宅与多模态观测的连接字段</w:t>
      </w:r>
    </w:p>
    <w:tbl>
      <w:tblPr>
        <w:tblW w:w="0" w:type="auto"/>
        <w:jc w:val="center"/>
        <w:tblBorders>
          <w:top w:val="single" w:sz="6" w:space="0" w:color="auto"/>
          <w:bottom w:val="single" w:sz="6" w:space="0" w:color="auto"/>
        </w:tblBorders>
        <w:tblLayout w:type="fixed"/>
        <w:tblLook w:val="04A0" w:firstRow="1" w:lastRow="0" w:firstColumn="1" w:lastColumn="0" w:noHBand="0" w:noVBand="1"/>
      </w:tblPr>
      <w:tblGrid>
        <w:gridCol w:w="1587"/>
        <w:gridCol w:w="3402"/>
        <w:gridCol w:w="3515"/>
      </w:tblGrid>
      <w:tr w:rsidR="0021426D">
        <w:trPr>
          <w:cantSplit/>
          <w:tblHeader/>
          <w:jc w:val="center"/>
        </w:trPr>
        <w:tc>
          <w:tcPr>
            <w:tcW w:w="1587"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模块</w:t>
            </w:r>
          </w:p>
        </w:tc>
        <w:tc>
          <w:tcPr>
            <w:tcW w:w="3402"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字段</w:t>
            </w:r>
          </w:p>
        </w:tc>
        <w:tc>
          <w:tcPr>
            <w:tcW w:w="3515" w:type="dxa"/>
            <w:tcBorders>
              <w:top w:val="single" w:sz="12" w:space="0" w:color="000000"/>
              <w:left w:val="nil"/>
              <w:bottom w:val="single" w:sz="6" w:space="0" w:color="000000"/>
              <w:right w:val="nil"/>
            </w:tcBorders>
            <w:shd w:val="clear" w:color="auto" w:fill="FFFFFF"/>
            <w:vAlign w:val="center"/>
          </w:tcPr>
          <w:p w:rsidR="0021426D" w:rsidRDefault="00A661EE">
            <w:pPr>
              <w:keepNext/>
              <w:spacing w:after="40" w:line="276" w:lineRule="auto"/>
              <w:jc w:val="center"/>
            </w:pPr>
            <w:r>
              <w:rPr>
                <w:b/>
                <w:sz w:val="21"/>
              </w:rPr>
              <w:t>含义与核验</w:t>
            </w:r>
          </w:p>
        </w:tc>
      </w:tr>
      <w:tr w:rsidR="0021426D">
        <w:trPr>
          <w:cantSplit/>
          <w:jc w:val="center"/>
        </w:trPr>
        <w:tc>
          <w:tcPr>
            <w:tcW w:w="1587"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项目身份</w:t>
            </w:r>
          </w:p>
        </w:tc>
        <w:tc>
          <w:tcPr>
            <w:tcW w:w="3402"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project_id</w:t>
            </w:r>
            <w:r>
              <w:rPr>
                <w:sz w:val="21"/>
              </w:rPr>
              <w:t>，</w:t>
            </w:r>
            <w:r>
              <w:rPr>
                <w:sz w:val="21"/>
              </w:rPr>
              <w:t>phase_id</w:t>
            </w:r>
            <w:r>
              <w:rPr>
                <w:sz w:val="21"/>
              </w:rPr>
              <w:t>，</w:t>
            </w:r>
            <w:r>
              <w:rPr>
                <w:sz w:val="21"/>
              </w:rPr>
              <w:t>parcel_id</w:t>
            </w:r>
          </w:p>
        </w:tc>
        <w:tc>
          <w:tcPr>
            <w:tcW w:w="3515"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更新项目、分期和宗地分别连接</w:t>
            </w:r>
          </w:p>
        </w:tc>
      </w:tr>
      <w:tr w:rsidR="0021426D">
        <w:trPr>
          <w:cantSplit/>
          <w:jc w:val="center"/>
        </w:trPr>
        <w:tc>
          <w:tcPr>
            <w:tcW w:w="1587"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实施主体</w:t>
            </w:r>
          </w:p>
        </w:tc>
        <w:tc>
          <w:tcPr>
            <w:tcW w:w="3402"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developer</w:t>
            </w:r>
            <w:r>
              <w:rPr>
                <w:sz w:val="21"/>
              </w:rPr>
              <w:t>，</w:t>
            </w:r>
            <w:r>
              <w:rPr>
                <w:sz w:val="21"/>
              </w:rPr>
              <w:t>partner</w:t>
            </w:r>
            <w:r>
              <w:rPr>
                <w:sz w:val="21"/>
              </w:rPr>
              <w:t>，</w:t>
            </w:r>
            <w:r>
              <w:rPr>
                <w:sz w:val="21"/>
              </w:rPr>
              <w:t>operator</w:t>
            </w:r>
          </w:p>
        </w:tc>
        <w:tc>
          <w:tcPr>
            <w:tcW w:w="3515"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开发商、合作方、运营方分别登记</w:t>
            </w:r>
          </w:p>
        </w:tc>
      </w:tr>
      <w:tr w:rsidR="0021426D">
        <w:trPr>
          <w:cantSplit/>
          <w:jc w:val="center"/>
        </w:trPr>
        <w:tc>
          <w:tcPr>
            <w:tcW w:w="1587"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阶段日期</w:t>
            </w:r>
          </w:p>
        </w:tc>
        <w:tc>
          <w:tcPr>
            <w:tcW w:w="3402"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event_type</w:t>
            </w:r>
            <w:r>
              <w:rPr>
                <w:sz w:val="21"/>
              </w:rPr>
              <w:t>，</w:t>
            </w:r>
            <w:r>
              <w:rPr>
                <w:sz w:val="21"/>
              </w:rPr>
              <w:t>event_date</w:t>
            </w:r>
            <w:r>
              <w:rPr>
                <w:sz w:val="21"/>
              </w:rPr>
              <w:t>，</w:t>
            </w:r>
            <w:r>
              <w:rPr>
                <w:sz w:val="21"/>
              </w:rPr>
              <w:t>date_precision</w:t>
            </w:r>
          </w:p>
        </w:tc>
        <w:tc>
          <w:tcPr>
            <w:tcW w:w="3515"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公告、实际施工、验收、交付、开放及来源角色</w:t>
            </w:r>
          </w:p>
        </w:tc>
      </w:tr>
      <w:tr w:rsidR="0021426D">
        <w:trPr>
          <w:cantSplit/>
          <w:jc w:val="center"/>
        </w:trPr>
        <w:tc>
          <w:tcPr>
            <w:tcW w:w="1587"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住宅交易</w:t>
            </w:r>
          </w:p>
        </w:tc>
        <w:tc>
          <w:tcPr>
            <w:tcW w:w="3402"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community_id</w:t>
            </w:r>
            <w:r>
              <w:rPr>
                <w:sz w:val="21"/>
              </w:rPr>
              <w:t>，</w:t>
            </w:r>
            <w:r>
              <w:rPr>
                <w:sz w:val="21"/>
              </w:rPr>
              <w:t>transaction_id</w:t>
            </w:r>
            <w:r>
              <w:rPr>
                <w:sz w:val="21"/>
              </w:rPr>
              <w:t>，</w:t>
            </w:r>
            <w:r>
              <w:rPr>
                <w:sz w:val="21"/>
              </w:rPr>
              <w:t>date</w:t>
            </w:r>
            <w:r>
              <w:rPr>
                <w:sz w:val="21"/>
              </w:rPr>
              <w:t>，</w:t>
            </w:r>
            <w:r>
              <w:rPr>
                <w:sz w:val="21"/>
              </w:rPr>
              <w:t>price</w:t>
            </w:r>
            <w:r>
              <w:rPr>
                <w:sz w:val="21"/>
              </w:rPr>
              <w:t>，</w:t>
            </w:r>
            <w:r>
              <w:rPr>
                <w:sz w:val="21"/>
              </w:rPr>
              <w:t>area</w:t>
            </w:r>
          </w:p>
        </w:tc>
        <w:tc>
          <w:tcPr>
            <w:tcW w:w="3515"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稳定小区与逐笔记录；总价和单价一致性</w:t>
            </w:r>
          </w:p>
        </w:tc>
      </w:tr>
      <w:tr w:rsidR="0021426D">
        <w:trPr>
          <w:cantSplit/>
          <w:jc w:val="center"/>
        </w:trPr>
        <w:tc>
          <w:tcPr>
            <w:tcW w:w="1587"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影像时点</w:t>
            </w:r>
          </w:p>
        </w:tc>
        <w:tc>
          <w:tcPr>
            <w:tcW w:w="3402"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image_id</w:t>
            </w:r>
            <w:r>
              <w:rPr>
                <w:sz w:val="21"/>
              </w:rPr>
              <w:t>，</w:t>
            </w:r>
            <w:r>
              <w:rPr>
                <w:sz w:val="21"/>
              </w:rPr>
              <w:t>capture_date</w:t>
            </w:r>
            <w:r>
              <w:rPr>
                <w:sz w:val="21"/>
              </w:rPr>
              <w:t>，</w:t>
            </w:r>
            <w:r>
              <w:rPr>
                <w:sz w:val="21"/>
              </w:rPr>
              <w:t>base_date</w:t>
            </w:r>
          </w:p>
        </w:tc>
        <w:tc>
          <w:tcPr>
            <w:tcW w:w="3515"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图像拍摄日期与目标事件日期分别记录</w:t>
            </w:r>
          </w:p>
        </w:tc>
      </w:tr>
      <w:tr w:rsidR="0021426D">
        <w:trPr>
          <w:cantSplit/>
          <w:jc w:val="center"/>
        </w:trPr>
        <w:tc>
          <w:tcPr>
            <w:tcW w:w="1587"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影像规格</w:t>
            </w:r>
          </w:p>
        </w:tc>
        <w:tc>
          <w:tcPr>
            <w:tcW w:w="3402"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direction</w:t>
            </w:r>
            <w:r>
              <w:rPr>
                <w:sz w:val="21"/>
              </w:rPr>
              <w:t>，</w:t>
            </w:r>
            <w:r>
              <w:rPr>
                <w:sz w:val="21"/>
              </w:rPr>
              <w:t>GSD</w:t>
            </w:r>
            <w:r>
              <w:rPr>
                <w:sz w:val="21"/>
              </w:rPr>
              <w:t>，</w:t>
            </w:r>
            <w:r>
              <w:rPr>
                <w:sz w:val="21"/>
              </w:rPr>
              <w:t>encoder_version</w:t>
            </w:r>
          </w:p>
        </w:tc>
        <w:tc>
          <w:tcPr>
            <w:tcW w:w="3515"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观察方向、地面分辨率与模型检查点</w:t>
            </w:r>
          </w:p>
        </w:tc>
      </w:tr>
      <w:tr w:rsidR="0021426D">
        <w:trPr>
          <w:cantSplit/>
          <w:jc w:val="center"/>
        </w:trPr>
        <w:tc>
          <w:tcPr>
            <w:tcW w:w="1587"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空间定位</w:t>
            </w:r>
          </w:p>
        </w:tc>
        <w:tc>
          <w:tcPr>
            <w:tcW w:w="3402"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geometry</w:t>
            </w:r>
            <w:r>
              <w:rPr>
                <w:sz w:val="21"/>
              </w:rPr>
              <w:t>，</w:t>
            </w:r>
            <w:r>
              <w:rPr>
                <w:sz w:val="21"/>
              </w:rPr>
              <w:t>CRS</w:t>
            </w:r>
            <w:r>
              <w:rPr>
                <w:sz w:val="21"/>
              </w:rPr>
              <w:t>，</w:t>
            </w:r>
            <w:r>
              <w:rPr>
                <w:sz w:val="21"/>
              </w:rPr>
              <w:t>boundary_version</w:t>
            </w:r>
          </w:p>
        </w:tc>
        <w:tc>
          <w:tcPr>
            <w:tcW w:w="3515" w:type="dxa"/>
            <w:tcBorders>
              <w:top w:val="nil"/>
              <w:left w:val="nil"/>
              <w:bottom w:val="nil"/>
              <w:right w:val="nil"/>
            </w:tcBorders>
            <w:shd w:val="clear" w:color="auto" w:fill="FFFFFF"/>
            <w:vAlign w:val="center"/>
          </w:tcPr>
          <w:p w:rsidR="0021426D" w:rsidRDefault="00A661EE">
            <w:pPr>
              <w:keepNext/>
              <w:spacing w:after="40" w:line="276" w:lineRule="auto"/>
              <w:jc w:val="center"/>
            </w:pPr>
            <w:r>
              <w:rPr>
                <w:sz w:val="21"/>
              </w:rPr>
              <w:t>坐标基准及分期范围版本</w:t>
            </w:r>
          </w:p>
        </w:tc>
      </w:tr>
      <w:tr w:rsidR="0021426D">
        <w:trPr>
          <w:cantSplit/>
          <w:jc w:val="center"/>
        </w:trPr>
        <w:tc>
          <w:tcPr>
            <w:tcW w:w="1587"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暴露及验证</w:t>
            </w:r>
          </w:p>
        </w:tc>
        <w:tc>
          <w:tcPr>
            <w:tcW w:w="3402"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E⁰</w:t>
            </w:r>
            <w:r>
              <w:rPr>
                <w:sz w:val="21"/>
              </w:rPr>
              <w:t>，</w:t>
            </w:r>
            <w:r>
              <w:rPr>
                <w:sz w:val="21"/>
              </w:rPr>
              <w:t>ΔE</w:t>
            </w:r>
            <w:r>
              <w:rPr>
                <w:sz w:val="21"/>
              </w:rPr>
              <w:t>，</w:t>
            </w:r>
            <w:r>
              <w:rPr>
                <w:sz w:val="21"/>
              </w:rPr>
              <w:t>fold</w:t>
            </w:r>
            <w:r>
              <w:rPr>
                <w:sz w:val="21"/>
              </w:rPr>
              <w:t>，</w:t>
            </w:r>
            <w:r>
              <w:rPr>
                <w:sz w:val="21"/>
              </w:rPr>
              <w:t>pair_id</w:t>
            </w:r>
          </w:p>
        </w:tc>
        <w:tc>
          <w:tcPr>
            <w:tcW w:w="3515" w:type="dxa"/>
            <w:tcBorders>
              <w:top w:val="nil"/>
              <w:left w:val="nil"/>
              <w:bottom w:val="single" w:sz="12" w:space="0" w:color="000000"/>
              <w:right w:val="nil"/>
            </w:tcBorders>
            <w:shd w:val="clear" w:color="auto" w:fill="FFFFFF"/>
            <w:vAlign w:val="center"/>
          </w:tcPr>
          <w:p w:rsidR="0021426D" w:rsidRDefault="00A661EE">
            <w:pPr>
              <w:spacing w:after="40" w:line="276" w:lineRule="auto"/>
              <w:jc w:val="center"/>
            </w:pPr>
            <w:r>
              <w:rPr>
                <w:sz w:val="21"/>
              </w:rPr>
              <w:t>基期分层、阶段变化、项目留出及跨期匹配</w:t>
            </w:r>
          </w:p>
        </w:tc>
      </w:tr>
    </w:tbl>
    <w:p w:rsidR="0021426D" w:rsidRDefault="00A661EE">
      <w:pPr>
        <w:ind w:firstLine="480"/>
      </w:pPr>
      <w:r>
        <w:t>基期暴露用于价格效应异质性，阶段变化用于成本与服务兑现描述，项目留出用于独立测度验证。高维街景与遥感向量保留原字段和时间索引，年度不齐的观察按实际覆盖进入分析。</w:t>
      </w:r>
    </w:p>
    <w:p w:rsidR="0021426D" w:rsidRDefault="00A661EE">
      <w:pPr>
        <w:keepNext/>
        <w:jc w:val="cente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4" o:spid="_x0000_s2050" type="#_x0000_t75" alt="" style="position:absolute;left:0;text-align:left;margin-left:227.3pt;margin-top:11.8pt;width:192.05pt;height:137.6pt;z-index:251659264;mso-width-relative:page;mso-height-relative:page">
            <v:imagedata r:id="rId22" o:title=""/>
          </v:shape>
        </w:pict>
      </w:r>
      <w:r>
        <w:pict>
          <v:shape id="图片 85" o:spid="_x0000_s2051" type="#_x0000_t75" alt="" style="position:absolute;left:0;text-align:left;margin-left:3.3pt;margin-top:8.9pt;width:194.7pt;height:139.4pt;z-index:251660288;mso-width-relative:page;mso-height-relative:page">
            <v:imagedata r:id="rId23" o:title=""/>
          </v:shape>
        </w:pict>
      </w:r>
      <w:r>
        <w:rPr>
          <w:noProof/>
        </w:rPr>
        <w:drawing>
          <wp:inline distT="0" distB="0" distL="0" distR="0">
            <wp:extent cx="5399405" cy="1995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5400000" cy="1995652"/>
                    </a:xfrm>
                    <a:prstGeom prst="rect">
                      <a:avLst/>
                    </a:prstGeom>
                  </pic:spPr>
                </pic:pic>
              </a:graphicData>
            </a:graphic>
          </wp:inline>
        </w:drawing>
      </w:r>
    </w:p>
    <w:p w:rsidR="0021426D" w:rsidRDefault="00A661EE">
      <w:pPr>
        <w:keepNext/>
        <w:jc w:val="center"/>
      </w:pPr>
      <w:r>
        <w:t>图</w:t>
      </w:r>
      <w:r>
        <w:t xml:space="preserve">3-12  </w:t>
      </w:r>
      <w:r>
        <w:t>项目分期图件与边界版本资料</w:t>
      </w:r>
    </w:p>
    <w:p w:rsidR="0021426D" w:rsidRDefault="00A661EE">
      <w:pPr>
        <w:ind w:firstLine="480"/>
      </w:pPr>
      <w:r>
        <w:t>来源：项目分期图件资料。图件内颜色、范围和日期保留原来源含义；页面轮廓与地理几何分别保存，同名控制依据、坐标基准和独立检查决定后续空间归属。</w:t>
      </w:r>
    </w:p>
    <w:p w:rsidR="0021426D" w:rsidRDefault="00597BC4">
      <w:pPr>
        <w:keepNext/>
        <w:jc w:val="center"/>
      </w:pPr>
      <w:r>
        <w:pict>
          <v:shape id="_x0000_i1025" type="#_x0000_t75" alt="" style="width:417.5pt;height:152.5pt">
            <v:imagedata r:id="rId25" o:title=""/>
          </v:shape>
        </w:pict>
      </w:r>
      <w:r w:rsidR="00A661EE">
        <w:br/>
      </w:r>
      <w:r w:rsidR="00A661EE">
        <w:t>图</w:t>
      </w:r>
      <w:r w:rsidR="00A661EE">
        <w:t xml:space="preserve">3-13  </w:t>
      </w:r>
      <w:r w:rsidR="00A661EE">
        <w:t>俯视环境、道路与</w:t>
      </w:r>
      <w:r w:rsidR="00A661EE">
        <w:t>OD</w:t>
      </w:r>
      <w:r w:rsidR="00A661EE">
        <w:t>联系资料</w:t>
      </w:r>
    </w:p>
    <w:p w:rsidR="0021426D" w:rsidRDefault="00A661EE">
      <w:pPr>
        <w:ind w:firstLine="480"/>
      </w:pPr>
      <w:r>
        <w:rPr>
          <w:rFonts w:hint="eastAsia"/>
        </w:rPr>
        <w:t>Origin</w:t>
      </w:r>
      <w:r>
        <w:rPr>
          <w:rFonts w:hint="eastAsia"/>
        </w:rPr>
        <w:t>–</w:t>
      </w:r>
      <w:r>
        <w:rPr>
          <w:rFonts w:hint="eastAsia"/>
        </w:rPr>
        <w:t>Destination</w:t>
      </w:r>
      <w:r>
        <w:rPr>
          <w:rFonts w:hint="eastAsia"/>
        </w:rPr>
        <w:t>流量，反映从起点社区到终点设施或社区的出行联系。</w:t>
      </w:r>
      <w:r>
        <w:t>图示分别提供建筑环境、道路路径和出行联系的观察尺度。资料按位置与时间连接，处理前暴露及阶段变化使用各自可核验的日期，观测缺失与真实零联系分开记录。</w:t>
      </w:r>
    </w:p>
    <w:p w:rsidR="0021426D" w:rsidRDefault="00A661EE">
      <w:pPr>
        <w:pStyle w:val="3"/>
        <w:keepNext/>
        <w:spacing w:before="120" w:after="120"/>
        <w:jc w:val="left"/>
      </w:pPr>
      <w:bookmarkStart w:id="37" w:name="_Toc242490948"/>
      <w:r>
        <w:t xml:space="preserve">3.5.2  </w:t>
      </w:r>
      <w:r>
        <w:t>长期资本化与预期净居住收益</w:t>
      </w:r>
      <w:bookmarkEnd w:id="37"/>
    </w:p>
    <w:p w:rsidR="0021426D" w:rsidRDefault="00A661EE">
      <w:pPr>
        <w:ind w:firstLine="480"/>
      </w:pPr>
      <w:r>
        <w:t>先把住房</w:t>
      </w:r>
      <w:r>
        <w:t>h</w:t>
      </w:r>
      <w:r>
        <w:t>、小区</w:t>
      </w:r>
      <w:r>
        <w:t>i</w:t>
      </w:r>
      <w:r>
        <w:t>、时期</w:t>
      </w:r>
      <w:r>
        <w:t>t</w:t>
      </w:r>
      <w:r>
        <w:t>的真实成交单价转为自然对数，得到与现有回归一致的结果变量。购房者考虑未来多个时期的居住服务，每期净收益为服务收益</w:t>
      </w:r>
      <w:r>
        <w:t>a</w:t>
      </w:r>
      <w:r>
        <w:t>减去居住成本</w:t>
      </w:r>
      <w:r>
        <w:t>c</w:t>
      </w:r>
      <w:r>
        <w:t>，贴现因子</w:t>
      </w:r>
      <w:r>
        <w:t>δ</w:t>
      </w:r>
      <w:r>
        <w:t>在零与一之间，再依据</w:t>
      </w:r>
      <w:r>
        <w:t>t</w:t>
      </w:r>
      <w:r>
        <w:t>期信息取期望。</w:t>
      </w:r>
    </w:p>
    <w:p w:rsidR="0021426D" w:rsidRDefault="00A661EE">
      <w:pPr>
        <w:keepLines/>
        <w:tabs>
          <w:tab w:val="center" w:pos="4195"/>
          <w:tab w:val="right" w:pos="8447"/>
        </w:tabs>
        <w:jc w:val="left"/>
      </w:pPr>
      <w:r>
        <w:tab/>
      </w:r>
      <m:oMath>
        <m:r>
          <w:rPr>
            <w:rFonts w:ascii="Cambria Math" w:hAnsi="Cambria Math"/>
            <w:sz w:val="20"/>
          </w:rPr>
          <m:t>y</m:t>
        </m:r>
        <m:r>
          <w:rPr>
            <w:rFonts w:ascii="Cambria Math" w:hAnsi="Cambria Math"/>
            <w:sz w:val="20"/>
          </w:rPr>
          <m:t>ₕ</m:t>
        </m:r>
        <m:r>
          <w:rPr>
            <w:rFonts w:ascii="Cambria Math" w:hAnsi="Cambria Math"/>
            <w:sz w:val="20"/>
          </w:rPr>
          <m:t>ᵢ</m:t>
        </m:r>
        <m:r>
          <w:rPr>
            <w:rFonts w:ascii="Cambria Math" w:hAnsi="Cambria Math"/>
            <w:sz w:val="20"/>
          </w:rPr>
          <m:t>ₜ</m:t>
        </m:r>
        <m:r>
          <w:rPr>
            <w:rFonts w:ascii="Cambria Math" w:hAnsi="Cambria Math"/>
            <w:sz w:val="20"/>
          </w:rPr>
          <m:t xml:space="preserve"> = </m:t>
        </m:r>
        <m:r>
          <w:rPr>
            <w:rFonts w:ascii="Cambria Math" w:hAnsi="Cambria Math"/>
            <w:sz w:val="20"/>
          </w:rPr>
          <m:t>ln</m:t>
        </m:r>
        <m:r>
          <w:rPr>
            <w:rFonts w:ascii="Cambria Math" w:hAnsi="Cambria Math"/>
            <w:sz w:val="20"/>
          </w:rPr>
          <m:t xml:space="preserve"> </m:t>
        </m:r>
        <m:r>
          <w:rPr>
            <w:rFonts w:ascii="Cambria Math" w:hAnsi="Cambria Math"/>
            <w:sz w:val="20"/>
          </w:rPr>
          <m:t>P</m:t>
        </m:r>
        <m:r>
          <w:rPr>
            <w:rFonts w:ascii="Cambria Math" w:hAnsi="Cambria Math"/>
            <w:sz w:val="20"/>
          </w:rPr>
          <m:t>ₕ</m:t>
        </m:r>
        <m:r>
          <w:rPr>
            <w:rFonts w:ascii="Cambria Math" w:hAnsi="Cambria Math"/>
            <w:sz w:val="20"/>
          </w:rPr>
          <m:t>ᵢ</m:t>
        </m:r>
        <m:r>
          <w:rPr>
            <w:rFonts w:ascii="Cambria Math" w:hAnsi="Cambria Math"/>
            <w:sz w:val="20"/>
          </w:rPr>
          <m:t>ₜ</m:t>
        </m:r>
      </m:oMath>
      <w:r>
        <w:rPr>
          <w:sz w:val="20"/>
        </w:rPr>
        <w:tab/>
      </w:r>
      <w:r>
        <w:rPr>
          <w:sz w:val="20"/>
        </w:rPr>
        <w:t>（</w:t>
      </w:r>
      <w:r>
        <w:rPr>
          <w:sz w:val="20"/>
        </w:rPr>
        <w:t>3-3</w:t>
      </w:r>
      <w:r>
        <w:rPr>
          <w:sz w:val="20"/>
        </w:rPr>
        <w:t>）</w:t>
      </w:r>
    </w:p>
    <w:p w:rsidR="0021426D" w:rsidRDefault="00A661EE">
      <w:pPr>
        <w:keepLines/>
        <w:tabs>
          <w:tab w:val="center" w:pos="4195"/>
          <w:tab w:val="right" w:pos="8447"/>
        </w:tabs>
        <w:jc w:val="left"/>
      </w:pPr>
      <w:r>
        <w:tab/>
      </w:r>
      <m:oMath>
        <m:r>
          <w:rPr>
            <w:rFonts w:ascii="Cambria Math" w:hAnsi="Cambria Math"/>
            <w:sz w:val="20"/>
          </w:rPr>
          <m:t>v</m:t>
        </m:r>
        <m:r>
          <w:rPr>
            <w:rFonts w:ascii="Cambria Math" w:hAnsi="Cambria Math"/>
            <w:sz w:val="20"/>
          </w:rPr>
          <m:t>ᵢ</m:t>
        </m:r>
        <m:r>
          <w:rPr>
            <w:rFonts w:ascii="Cambria Math" w:hAnsi="Cambria Math"/>
            <w:sz w:val="20"/>
          </w:rPr>
          <m:t>ₜ</m:t>
        </m:r>
        <m:r>
          <w:rPr>
            <w:rFonts w:ascii="Cambria Math" w:hAnsi="Cambria Math"/>
            <w:sz w:val="20"/>
          </w:rPr>
          <m:t xml:space="preserve"> = </m:t>
        </m:r>
        <m:r>
          <w:rPr>
            <w:rFonts w:ascii="Cambria Math" w:hAnsi="Cambria Math"/>
            <w:sz w:val="20"/>
          </w:rPr>
          <m:t>E</m:t>
        </m:r>
        <m:r>
          <w:rPr>
            <w:rFonts w:ascii="Cambria Math" w:hAnsi="Cambria Math"/>
            <w:sz w:val="20"/>
          </w:rPr>
          <m:t>ₜ</m:t>
        </m:r>
        <m:r>
          <w:rPr>
            <w:rFonts w:ascii="Cambria Math" w:hAnsi="Cambria Math"/>
            <w:sz w:val="20"/>
          </w:rPr>
          <m:t>[∑ₛ₌ₜ</m:t>
        </m:r>
        <m:r>
          <w:rPr>
            <w:rFonts w:ascii="Cambria Math" w:hAnsi="Cambria Math"/>
            <w:sz w:val="20"/>
          </w:rPr>
          <m:t>ᵀ</m:t>
        </m:r>
        <m:r>
          <w:rPr>
            <w:rFonts w:ascii="Cambria Math" w:hAnsi="Cambria Math"/>
            <w:sz w:val="20"/>
          </w:rPr>
          <m:t xml:space="preserve"> </m:t>
        </m:r>
        <m:r>
          <w:rPr>
            <w:rFonts w:ascii="Cambria Math" w:hAnsi="Cambria Math"/>
            <w:sz w:val="20"/>
          </w:rPr>
          <m:t>δ</m:t>
        </m:r>
        <m:r>
          <w:rPr>
            <w:rFonts w:ascii="Cambria Math" w:hAnsi="Cambria Math"/>
            <w:sz w:val="20"/>
          </w:rPr>
          <m:t>ˢ⁻</m:t>
        </m:r>
        <m:r>
          <w:rPr>
            <w:rFonts w:ascii="Cambria Math" w:hAnsi="Cambria Math"/>
            <w:sz w:val="20"/>
          </w:rPr>
          <m:t>ᵗ</m:t>
        </m:r>
        <m:r>
          <w:rPr>
            <w:rFonts w:ascii="Cambria Math" w:hAnsi="Cambria Math"/>
            <w:sz w:val="20"/>
          </w:rPr>
          <m:t>(</m:t>
        </m:r>
        <m:r>
          <w:rPr>
            <w:rFonts w:ascii="Cambria Math" w:hAnsi="Cambria Math"/>
            <w:sz w:val="20"/>
          </w:rPr>
          <m:t>a</m:t>
        </m:r>
        <m:r>
          <w:rPr>
            <w:rFonts w:ascii="Cambria Math" w:hAnsi="Cambria Math"/>
            <w:sz w:val="20"/>
          </w:rPr>
          <m:t>ᵢ</m:t>
        </m:r>
        <m:r>
          <w:rPr>
            <w:rFonts w:ascii="Cambria Math" w:hAnsi="Cambria Math"/>
            <w:sz w:val="20"/>
          </w:rPr>
          <m:t>ₛ</m:t>
        </m:r>
        <m:r>
          <w:rPr>
            <w:rFonts w:ascii="Cambria Math" w:hAnsi="Cambria Math"/>
            <w:sz w:val="20"/>
          </w:rPr>
          <m:t xml:space="preserve"> - </m:t>
        </m:r>
        <m:r>
          <w:rPr>
            <w:rFonts w:ascii="Cambria Math" w:hAnsi="Cambria Math"/>
            <w:sz w:val="20"/>
          </w:rPr>
          <m:t>c</m:t>
        </m:r>
        <m:r>
          <w:rPr>
            <w:rFonts w:ascii="Cambria Math" w:hAnsi="Cambria Math"/>
            <w:sz w:val="20"/>
          </w:rPr>
          <m:t>ᵢ</m:t>
        </m:r>
        <m:r>
          <w:rPr>
            <w:rFonts w:ascii="Cambria Math" w:hAnsi="Cambria Math"/>
            <w:sz w:val="20"/>
          </w:rPr>
          <m:t>ₛ</m:t>
        </m:r>
        <m:r>
          <w:rPr>
            <w:rFonts w:ascii="Cambria Math" w:hAnsi="Cambria Math"/>
            <w:sz w:val="20"/>
          </w:rPr>
          <m:t>)]</m:t>
        </m:r>
        <m:r>
          <w:rPr>
            <w:rFonts w:ascii="Cambria Math" w:hAnsi="Cambria Math"/>
            <w:sz w:val="20"/>
          </w:rPr>
          <m:t>，</m:t>
        </m:r>
        <m:r>
          <w:rPr>
            <w:rFonts w:ascii="Cambria Math" w:hAnsi="Cambria Math"/>
            <w:sz w:val="20"/>
          </w:rPr>
          <m:t xml:space="preserve">0 &lt; </m:t>
        </m:r>
        <m:r>
          <w:rPr>
            <w:rFonts w:ascii="Cambria Math" w:hAnsi="Cambria Math"/>
            <w:sz w:val="20"/>
          </w:rPr>
          <m:t>δ</m:t>
        </m:r>
        <m:r>
          <w:rPr>
            <w:rFonts w:ascii="Cambria Math" w:hAnsi="Cambria Math"/>
            <w:sz w:val="20"/>
          </w:rPr>
          <m:t xml:space="preserve"> &lt; 1</m:t>
        </m:r>
      </m:oMath>
      <w:r>
        <w:rPr>
          <w:sz w:val="20"/>
        </w:rPr>
        <w:tab/>
      </w:r>
      <w:r>
        <w:rPr>
          <w:sz w:val="20"/>
        </w:rPr>
        <w:t>（</w:t>
      </w:r>
      <w:r>
        <w:rPr>
          <w:sz w:val="20"/>
        </w:rPr>
        <w:t>3-4</w:t>
      </w:r>
      <w:r>
        <w:rPr>
          <w:sz w:val="20"/>
        </w:rPr>
        <w:t>）</w:t>
      </w:r>
    </w:p>
    <w:p w:rsidR="0021426D" w:rsidRDefault="00A661EE">
      <w:pPr>
        <w:ind w:firstLine="480"/>
      </w:pPr>
      <w:r>
        <w:t>公告可能调整未来收益、工期与兑现概率，施工改变当期成本，开放改变服务是否实际可用。因此，施工阶段的总体价格方向取决于预期收益与成本共同作</w:t>
      </w:r>
      <w:r>
        <w:lastRenderedPageBreak/>
        <w:t>用。本文以多年服务及供给的持续资本化为主线，短期扰动是否衰减由相应动态比较判断。</w:t>
      </w:r>
    </w:p>
    <w:p w:rsidR="0021426D" w:rsidRDefault="00A661EE">
      <w:pPr>
        <w:keepLines/>
        <w:tabs>
          <w:tab w:val="center" w:pos="4195"/>
          <w:tab w:val="right" w:pos="8447"/>
        </w:tabs>
        <w:jc w:val="left"/>
      </w:pPr>
      <w:r>
        <w:tab/>
      </w:r>
      <m:oMath>
        <m:r>
          <w:rPr>
            <w:rFonts w:ascii="Cambria Math" w:hAnsi="Cambria Math"/>
            <w:sz w:val="20"/>
          </w:rPr>
          <m:t>y</m:t>
        </m:r>
        <m:r>
          <w:rPr>
            <w:rFonts w:ascii="Cambria Math" w:hAnsi="Cambria Math"/>
            <w:sz w:val="20"/>
          </w:rPr>
          <m:t>ᵢ</m:t>
        </m:r>
        <m:r>
          <w:rPr>
            <w:rFonts w:ascii="Cambria Math" w:hAnsi="Cambria Math"/>
            <w:sz w:val="20"/>
          </w:rPr>
          <m:t>ₜ</m:t>
        </m:r>
        <m:r>
          <w:rPr>
            <w:rFonts w:ascii="Cambria Math" w:hAnsi="Cambria Math"/>
            <w:sz w:val="20"/>
          </w:rPr>
          <m:t xml:space="preserve"> = </m:t>
        </m:r>
        <m:r>
          <w:rPr>
            <w:rFonts w:ascii="Cambria Math" w:hAnsi="Cambria Math"/>
            <w:sz w:val="20"/>
          </w:rPr>
          <m:t>f</m:t>
        </m:r>
        <m:r>
          <w:rPr>
            <w:rFonts w:ascii="Cambria Math" w:hAnsi="Cambria Math"/>
            <w:sz w:val="20"/>
          </w:rPr>
          <m:t>(</m:t>
        </m:r>
        <m:r>
          <w:rPr>
            <w:rFonts w:ascii="Cambria Math" w:hAnsi="Cambria Math"/>
            <w:sz w:val="20"/>
          </w:rPr>
          <m:t>X</m:t>
        </m:r>
        <m:r>
          <w:rPr>
            <w:rFonts w:ascii="Cambria Math" w:hAnsi="Cambria Math"/>
            <w:sz w:val="20"/>
          </w:rPr>
          <m:t>ᵢ</m:t>
        </m:r>
        <m:r>
          <w:rPr>
            <w:rFonts w:ascii="Cambria Math" w:hAnsi="Cambria Math"/>
            <w:sz w:val="20"/>
          </w:rPr>
          <m:t>ₜ</m:t>
        </m:r>
        <m:r>
          <w:rPr>
            <w:rFonts w:ascii="Cambria Math" w:hAnsi="Cambria Math"/>
            <w:sz w:val="20"/>
          </w:rPr>
          <m:t>，</m:t>
        </m:r>
        <m:r>
          <w:rPr>
            <w:rFonts w:ascii="Cambria Math" w:hAnsi="Cambria Math"/>
            <w:sz w:val="20"/>
          </w:rPr>
          <m:t>v</m:t>
        </m:r>
        <m:r>
          <w:rPr>
            <w:rFonts w:ascii="Cambria Math" w:hAnsi="Cambria Math"/>
            <w:sz w:val="20"/>
          </w:rPr>
          <m:t>ᵢ</m:t>
        </m:r>
        <m:r>
          <w:rPr>
            <w:rFonts w:ascii="Cambria Math" w:hAnsi="Cambria Math"/>
            <w:sz w:val="20"/>
          </w:rPr>
          <m:t>ₜ</m:t>
        </m:r>
        <m:r>
          <w:rPr>
            <w:rFonts w:ascii="Cambria Math" w:hAnsi="Cambria Math"/>
            <w:sz w:val="20"/>
          </w:rPr>
          <m:t>，</m:t>
        </m:r>
        <m:r>
          <w:rPr>
            <w:rFonts w:ascii="Cambria Math" w:hAnsi="Cambria Math"/>
            <w:sz w:val="20"/>
          </w:rPr>
          <m:t>S</m:t>
        </m:r>
        <m:r>
          <w:rPr>
            <w:rFonts w:ascii="Cambria Math" w:hAnsi="Cambria Math"/>
            <w:sz w:val="20"/>
          </w:rPr>
          <m:t>ᵢ</m:t>
        </m:r>
        <m:r>
          <w:rPr>
            <w:rFonts w:ascii="Cambria Math" w:hAnsi="Cambria Math"/>
            <w:sz w:val="20"/>
          </w:rPr>
          <m:t>ₜ</m:t>
        </m:r>
        <m:r>
          <w:rPr>
            <w:rFonts w:ascii="Cambria Math" w:hAnsi="Cambria Math"/>
            <w:sz w:val="20"/>
          </w:rPr>
          <m:t>，</m:t>
        </m:r>
        <m:r>
          <w:rPr>
            <w:rFonts w:ascii="Cambria Math" w:hAnsi="Cambria Math"/>
            <w:sz w:val="20"/>
          </w:rPr>
          <m:t>M</m:t>
        </m:r>
        <m:r>
          <w:rPr>
            <w:rFonts w:ascii="Cambria Math" w:hAnsi="Cambria Math"/>
            <w:sz w:val="20"/>
          </w:rPr>
          <m:t>ₜ</m:t>
        </m:r>
        <m:r>
          <w:rPr>
            <w:rFonts w:ascii="Cambria Math" w:hAnsi="Cambria Math"/>
            <w:sz w:val="20"/>
          </w:rPr>
          <m:t>)</m:t>
        </m:r>
      </m:oMath>
      <w:r>
        <w:rPr>
          <w:sz w:val="20"/>
        </w:rPr>
        <w:tab/>
      </w:r>
      <w:r>
        <w:rPr>
          <w:sz w:val="20"/>
        </w:rPr>
        <w:t>（</w:t>
      </w:r>
      <w:r>
        <w:rPr>
          <w:sz w:val="20"/>
        </w:rPr>
        <w:t>3-5</w:t>
      </w:r>
      <w:r>
        <w:rPr>
          <w:sz w:val="20"/>
        </w:rPr>
        <w:t>）</w:t>
      </w:r>
    </w:p>
    <w:p w:rsidR="0021426D" w:rsidRDefault="00A661EE">
      <w:pPr>
        <w:keepLines/>
        <w:tabs>
          <w:tab w:val="center" w:pos="4195"/>
          <w:tab w:val="right" w:pos="8447"/>
        </w:tabs>
        <w:jc w:val="left"/>
      </w:pPr>
      <w:r>
        <w:tab/>
      </w:r>
      <m:oMath>
        <m:r>
          <w:rPr>
            <w:rFonts w:ascii="Cambria Math" w:hAnsi="Cambria Math"/>
            <w:sz w:val="20"/>
          </w:rPr>
          <m:t>Δy</m:t>
        </m:r>
        <m:r>
          <w:rPr>
            <w:rFonts w:ascii="Cambria Math" w:hAnsi="Cambria Math"/>
            <w:sz w:val="20"/>
          </w:rPr>
          <m:t>ᵢ</m:t>
        </m:r>
        <m:r>
          <w:rPr>
            <w:rFonts w:ascii="Cambria Math" w:hAnsi="Cambria Math"/>
            <w:sz w:val="20"/>
          </w:rPr>
          <m:t>ₜ</m:t>
        </m:r>
        <m:r>
          <w:rPr>
            <w:rFonts w:ascii="Cambria Math" w:hAnsi="Cambria Math"/>
            <w:sz w:val="20"/>
          </w:rPr>
          <m:t xml:space="preserve"> ≈ </m:t>
        </m:r>
        <m:r>
          <w:rPr>
            <w:rFonts w:ascii="Cambria Math" w:hAnsi="Cambria Math"/>
            <w:sz w:val="20"/>
          </w:rPr>
          <m:t>f</m:t>
        </m:r>
        <m:r>
          <w:rPr>
            <w:rFonts w:ascii="Cambria Math" w:hAnsi="Cambria Math"/>
            <w:sz w:val="20"/>
          </w:rPr>
          <m:t>ᵥ</m:t>
        </m:r>
        <m:r>
          <w:rPr>
            <w:rFonts w:ascii="Cambria Math" w:hAnsi="Cambria Math"/>
            <w:sz w:val="20"/>
          </w:rPr>
          <m:t>Δv</m:t>
        </m:r>
        <m:r>
          <w:rPr>
            <w:rFonts w:ascii="Cambria Math" w:hAnsi="Cambria Math"/>
            <w:sz w:val="20"/>
          </w:rPr>
          <m:t>ᵢ</m:t>
        </m:r>
        <m:r>
          <w:rPr>
            <w:rFonts w:ascii="Cambria Math" w:hAnsi="Cambria Math"/>
            <w:sz w:val="20"/>
          </w:rPr>
          <m:t>ₜ</m:t>
        </m:r>
        <m:r>
          <w:rPr>
            <w:rFonts w:ascii="Cambria Math" w:hAnsi="Cambria Math"/>
            <w:sz w:val="20"/>
          </w:rPr>
          <m:t xml:space="preserve"> + </m:t>
        </m:r>
        <m:r>
          <w:rPr>
            <w:rFonts w:ascii="Cambria Math" w:hAnsi="Cambria Math"/>
            <w:sz w:val="20"/>
          </w:rPr>
          <m:t>f</m:t>
        </m:r>
        <m:r>
          <w:rPr>
            <w:rFonts w:ascii="Cambria Math" w:hAnsi="Cambria Math"/>
            <w:sz w:val="20"/>
          </w:rPr>
          <m:t>ₛ</m:t>
        </m:r>
        <m:r>
          <w:rPr>
            <w:rFonts w:ascii="Cambria Math" w:hAnsi="Cambria Math"/>
            <w:sz w:val="20"/>
          </w:rPr>
          <m:t>ΔS</m:t>
        </m:r>
        <m:r>
          <w:rPr>
            <w:rFonts w:ascii="Cambria Math" w:hAnsi="Cambria Math"/>
            <w:sz w:val="20"/>
          </w:rPr>
          <m:t>ᵢ</m:t>
        </m:r>
        <m:r>
          <w:rPr>
            <w:rFonts w:ascii="Cambria Math" w:hAnsi="Cambria Math"/>
            <w:sz w:val="20"/>
          </w:rPr>
          <m:t>ₜ</m:t>
        </m:r>
        <m:r>
          <w:rPr>
            <w:rFonts w:ascii="Cambria Math" w:hAnsi="Cambria Math"/>
            <w:sz w:val="20"/>
          </w:rPr>
          <m:t xml:space="preserve"> + </m:t>
        </m:r>
        <m:r>
          <w:rPr>
            <w:rFonts w:ascii="Cambria Math" w:hAnsi="Cambria Math"/>
            <w:sz w:val="20"/>
          </w:rPr>
          <m:t>f</m:t>
        </m:r>
        <m:r>
          <w:rPr>
            <w:rFonts w:ascii="Cambria Math" w:hAnsi="Cambria Math"/>
            <w:sz w:val="20"/>
          </w:rPr>
          <m:t>'ₓ</m:t>
        </m:r>
        <m:r>
          <w:rPr>
            <w:rFonts w:ascii="Cambria Math" w:hAnsi="Cambria Math"/>
            <w:sz w:val="20"/>
          </w:rPr>
          <m:t>ΔX</m:t>
        </m:r>
        <m:r>
          <w:rPr>
            <w:rFonts w:ascii="Cambria Math" w:hAnsi="Cambria Math"/>
            <w:sz w:val="20"/>
          </w:rPr>
          <m:t>ᵢ</m:t>
        </m:r>
        <m:r>
          <w:rPr>
            <w:rFonts w:ascii="Cambria Math" w:hAnsi="Cambria Math"/>
            <w:sz w:val="20"/>
          </w:rPr>
          <m:t>ₜ</m:t>
        </m:r>
      </m:oMath>
      <w:r>
        <w:rPr>
          <w:sz w:val="20"/>
        </w:rPr>
        <w:tab/>
      </w:r>
      <w:r>
        <w:rPr>
          <w:sz w:val="20"/>
        </w:rPr>
        <w:t>（</w:t>
      </w:r>
      <w:r>
        <w:rPr>
          <w:sz w:val="20"/>
        </w:rPr>
        <w:t>3-6</w:t>
      </w:r>
      <w:r>
        <w:rPr>
          <w:sz w:val="20"/>
        </w:rPr>
        <w:t>）</w:t>
      </w:r>
    </w:p>
    <w:p w:rsidR="0021426D" w:rsidRDefault="00A661EE">
      <w:pPr>
        <w:ind w:firstLine="480"/>
      </w:pPr>
      <w:r>
        <w:t>X</w:t>
      </w:r>
      <w:r>
        <w:t>表示住房品质，</w:t>
      </w:r>
      <w:r>
        <w:t>S</w:t>
      </w:r>
      <w:r>
        <w:t>为可替代供给，</w:t>
      </w:r>
      <w:r>
        <w:t>M</w:t>
      </w:r>
      <w:r>
        <w:t>为共同市场条件。式（</w:t>
      </w:r>
      <w:r>
        <w:t>3-6</w:t>
      </w:r>
      <w:r>
        <w:t>）是在基期附近的一阶展开，共同市场变化由时间控制承担。既有住宅的建筑品质在较短窗口可能相对稳定，服务和成本共同进入</w:t>
      </w:r>
      <w:r>
        <w:t>v</w:t>
      </w:r>
      <w:r>
        <w:t>，净新增竞争进入</w:t>
      </w:r>
      <w:r>
        <w:t>S</w:t>
      </w:r>
      <w:r>
        <w:t>。</w:t>
      </w:r>
      <w:r>
        <w:t>H1</w:t>
      </w:r>
      <w:r>
        <w:t>关注配套兑现，</w:t>
      </w:r>
      <w:r>
        <w:t>H2</w:t>
      </w:r>
      <w:r>
        <w:t>关注供给竞争，</w:t>
      </w:r>
      <w:r>
        <w:t>H3</w:t>
      </w:r>
      <w:r>
        <w:t>比较类型、距离与实施状态；租赁市场的即时敏感性需要额外租赁数据。</w:t>
      </w:r>
    </w:p>
    <w:p w:rsidR="0021426D" w:rsidRDefault="00A661EE">
      <w:pPr>
        <w:pStyle w:val="3"/>
        <w:keepNext/>
        <w:spacing w:before="120" w:after="120"/>
        <w:jc w:val="left"/>
      </w:pPr>
      <w:bookmarkStart w:id="38" w:name="_Toc242490949"/>
      <w:r>
        <w:t xml:space="preserve">3.5.3  </w:t>
      </w:r>
      <w:r>
        <w:t>边界距离、通行联系与重力基线</w:t>
      </w:r>
      <w:bookmarkEnd w:id="38"/>
    </w:p>
    <w:p w:rsidR="0021426D" w:rsidRDefault="00A661EE">
      <w:pPr>
        <w:ind w:firstLine="480"/>
      </w:pPr>
      <w:r>
        <w:t>住宅位置</w:t>
      </w:r>
      <w:r>
        <w:t>p</w:t>
      </w:r>
      <w:r>
        <w:t>与项目分期拆除范围</w:t>
      </w:r>
      <w:r>
        <w:t>Ω</w:t>
      </w:r>
      <w:r>
        <w:t>首先转换到统一的米制坐标参考系。住宅到边界各点的欧氏距离取最小值形成</w:t>
      </w:r>
      <w:r>
        <w:t>d</w:t>
      </w:r>
      <w:r>
        <w:t>，用于比较样本的距离档。到设施入口</w:t>
      </w:r>
      <w:r>
        <w:t>v</w:t>
      </w:r>
      <w:r>
        <w:t>的路径则在可通行道路段中求最短距离</w:t>
      </w:r>
      <w:r>
        <w:t>r</w:t>
      </w:r>
      <w:r>
        <w:t>；实际路径与参考路径之比取对数形成绕行指标</w:t>
      </w:r>
      <w:r>
        <w:t>B</w:t>
      </w:r>
      <w:r>
        <w:t>。范围内外身份与距离值分别核验。</w:t>
      </w:r>
    </w:p>
    <w:p w:rsidR="0021426D" w:rsidRDefault="00A661EE">
      <w:pPr>
        <w:keepLines/>
        <w:tabs>
          <w:tab w:val="center" w:pos="4195"/>
          <w:tab w:val="right" w:pos="8447"/>
        </w:tabs>
        <w:jc w:val="left"/>
      </w:pPr>
      <w:r>
        <w:tab/>
      </w:r>
      <m:oMath>
        <m:r>
          <w:rPr>
            <w:rFonts w:ascii="Cambria Math" w:hAnsi="Cambria Math"/>
            <w:sz w:val="20"/>
          </w:rPr>
          <m:t>d</m:t>
        </m:r>
        <m:r>
          <w:rPr>
            <w:rFonts w:ascii="Cambria Math" w:hAnsi="Cambria Math"/>
            <w:sz w:val="20"/>
          </w:rPr>
          <m:t>ᵢⱼ</m:t>
        </m:r>
        <m:r>
          <w:rPr>
            <w:rFonts w:ascii="Cambria Math" w:hAnsi="Cambria Math"/>
            <w:sz w:val="20"/>
          </w:rPr>
          <m:t xml:space="preserve"> = </m:t>
        </m:r>
        <m:r>
          <w:rPr>
            <w:rFonts w:ascii="Cambria Math" w:hAnsi="Cambria Math"/>
            <w:sz w:val="20"/>
          </w:rPr>
          <m:t>min</m:t>
        </m:r>
        <m:r>
          <w:rPr>
            <w:rFonts w:ascii="Cambria Math" w:hAnsi="Cambria Math"/>
            <w:sz w:val="20"/>
          </w:rPr>
          <m:t>ₓ∈</m:t>
        </m:r>
        <m:r>
          <w:rPr>
            <w:rFonts w:ascii="Cambria Math" w:hAnsi="Cambria Math"/>
            <w:sz w:val="20"/>
          </w:rPr>
          <m:t>∂Ωⱼ</m:t>
        </m:r>
        <m:r>
          <w:rPr>
            <w:rFonts w:ascii="Cambria Math" w:hAnsi="Cambria Math"/>
            <w:sz w:val="20"/>
          </w:rPr>
          <m:t xml:space="preserve"> ‖</m:t>
        </m:r>
        <m:r>
          <w:rPr>
            <w:rFonts w:ascii="Cambria Math" w:hAnsi="Cambria Math"/>
            <w:sz w:val="20"/>
          </w:rPr>
          <m:t>p</m:t>
        </m:r>
        <m:r>
          <w:rPr>
            <w:rFonts w:ascii="Cambria Math" w:hAnsi="Cambria Math"/>
            <w:sz w:val="20"/>
          </w:rPr>
          <m:t>ᵢ</m:t>
        </m:r>
        <m:r>
          <w:rPr>
            <w:rFonts w:ascii="Cambria Math" w:hAnsi="Cambria Math"/>
            <w:sz w:val="20"/>
          </w:rPr>
          <m:t xml:space="preserve"> - </m:t>
        </m:r>
        <m:r>
          <w:rPr>
            <w:rFonts w:ascii="Cambria Math" w:hAnsi="Cambria Math"/>
            <w:sz w:val="20"/>
          </w:rPr>
          <m:t>x</m:t>
        </m:r>
        <m:r>
          <w:rPr>
            <w:rFonts w:ascii="Cambria Math" w:hAnsi="Cambria Math"/>
            <w:sz w:val="20"/>
          </w:rPr>
          <m:t>‖₂</m:t>
        </m:r>
      </m:oMath>
      <w:r>
        <w:rPr>
          <w:sz w:val="20"/>
        </w:rPr>
        <w:tab/>
      </w:r>
      <w:r>
        <w:rPr>
          <w:sz w:val="20"/>
        </w:rPr>
        <w:t>（</w:t>
      </w:r>
      <w:r>
        <w:rPr>
          <w:sz w:val="20"/>
        </w:rPr>
        <w:t>3-7</w:t>
      </w:r>
      <w:r>
        <w:rPr>
          <w:sz w:val="20"/>
        </w:rPr>
        <w:t>）</w:t>
      </w:r>
    </w:p>
    <w:p w:rsidR="0021426D" w:rsidRDefault="00A661EE">
      <w:pPr>
        <w:keepLines/>
        <w:tabs>
          <w:tab w:val="center" w:pos="4195"/>
          <w:tab w:val="right" w:pos="8447"/>
        </w:tabs>
        <w:jc w:val="left"/>
      </w:pPr>
      <w:r>
        <w:tab/>
      </w:r>
      <m:oMath>
        <m:r>
          <w:rPr>
            <w:rFonts w:ascii="Cambria Math" w:hAnsi="Cambria Math"/>
            <w:sz w:val="20"/>
          </w:rPr>
          <m:t>r</m:t>
        </m:r>
        <m:r>
          <w:rPr>
            <w:rFonts w:ascii="Cambria Math" w:hAnsi="Cambria Math"/>
            <w:sz w:val="20"/>
          </w:rPr>
          <m:t>ᵢᵥ</m:t>
        </m:r>
        <m:r>
          <w:rPr>
            <w:rFonts w:ascii="Cambria Math" w:hAnsi="Cambria Math"/>
            <w:sz w:val="20"/>
          </w:rPr>
          <m:t xml:space="preserve"> = </m:t>
        </m:r>
        <m:r>
          <w:rPr>
            <w:rFonts w:ascii="Cambria Math" w:hAnsi="Cambria Math"/>
            <w:sz w:val="20"/>
          </w:rPr>
          <m:t>minπ</m:t>
        </m:r>
        <m:r>
          <w:rPr>
            <w:rFonts w:ascii="Cambria Math" w:hAnsi="Cambria Math"/>
            <w:sz w:val="20"/>
          </w:rPr>
          <m:t>：</m:t>
        </m:r>
        <m:r>
          <w:rPr>
            <w:rFonts w:ascii="Cambria Math" w:hAnsi="Cambria Math"/>
            <w:sz w:val="20"/>
          </w:rPr>
          <m:t>i</m:t>
        </m:r>
        <m:r>
          <w:rPr>
            <w:rFonts w:ascii="Cambria Math" w:hAnsi="Cambria Math"/>
            <w:sz w:val="20"/>
          </w:rPr>
          <m:t>→</m:t>
        </m:r>
        <m:r>
          <w:rPr>
            <w:rFonts w:ascii="Cambria Math" w:hAnsi="Cambria Math"/>
            <w:sz w:val="20"/>
          </w:rPr>
          <m:t>v</m:t>
        </m:r>
        <m:r>
          <w:rPr>
            <w:rFonts w:ascii="Cambria Math" w:hAnsi="Cambria Math"/>
            <w:sz w:val="20"/>
          </w:rPr>
          <m:t xml:space="preserve"> ∑ₑ∈</m:t>
        </m:r>
        <m:r>
          <w:rPr>
            <w:rFonts w:ascii="Cambria Math" w:hAnsi="Cambria Math"/>
            <w:sz w:val="20"/>
          </w:rPr>
          <m:t>π</m:t>
        </m:r>
        <m:r>
          <m:rPr>
            <m:scr m:val="script"/>
          </m:rPr>
          <w:rPr>
            <w:rFonts w:ascii="Cambria Math" w:hAnsi="Cambria Math"/>
            <w:sz w:val="20"/>
          </w:rPr>
          <m:t xml:space="preserve"> lₑ</m:t>
        </m:r>
        <m:r>
          <w:rPr>
            <w:rFonts w:ascii="Cambria Math" w:hAnsi="Cambria Math"/>
            <w:sz w:val="20"/>
          </w:rPr>
          <m:t>，</m:t>
        </m:r>
        <m:r>
          <w:rPr>
            <w:rFonts w:ascii="Cambria Math" w:hAnsi="Cambria Math"/>
            <w:sz w:val="20"/>
          </w:rPr>
          <m:t>B</m:t>
        </m:r>
        <m:r>
          <w:rPr>
            <w:rFonts w:ascii="Cambria Math" w:hAnsi="Cambria Math"/>
            <w:sz w:val="20"/>
          </w:rPr>
          <m:t>ᵢᵥ</m:t>
        </m:r>
        <m:r>
          <w:rPr>
            <w:rFonts w:ascii="Cambria Math" w:hAnsi="Cambria Math"/>
            <w:sz w:val="20"/>
          </w:rPr>
          <m:t xml:space="preserve"> = </m:t>
        </m:r>
        <m:r>
          <w:rPr>
            <w:rFonts w:ascii="Cambria Math" w:hAnsi="Cambria Math"/>
            <w:sz w:val="20"/>
          </w:rPr>
          <m:t>ln</m:t>
        </m:r>
        <m:r>
          <w:rPr>
            <w:rFonts w:ascii="Cambria Math" w:hAnsi="Cambria Math"/>
            <w:sz w:val="20"/>
          </w:rPr>
          <m:t>(</m:t>
        </m:r>
        <m:r>
          <w:rPr>
            <w:rFonts w:ascii="Cambria Math" w:hAnsi="Cambria Math"/>
            <w:sz w:val="20"/>
          </w:rPr>
          <m:t>r</m:t>
        </m:r>
        <m:r>
          <w:rPr>
            <w:rFonts w:ascii="Cambria Math" w:hAnsi="Cambria Math"/>
            <w:sz w:val="20"/>
          </w:rPr>
          <m:t>ᵢᵥ</m:t>
        </m:r>
        <m:r>
          <w:rPr>
            <w:rFonts w:ascii="Cambria Math" w:hAnsi="Cambria Math"/>
            <w:sz w:val="20"/>
          </w:rPr>
          <m:t>/</m:t>
        </m:r>
        <m:r>
          <w:rPr>
            <w:rFonts w:ascii="Cambria Math" w:hAnsi="Cambria Math"/>
            <w:sz w:val="20"/>
          </w:rPr>
          <m:t>r</m:t>
        </m:r>
        <m:r>
          <w:rPr>
            <w:rFonts w:ascii="Cambria Math" w:hAnsi="Cambria Math"/>
            <w:sz w:val="20"/>
          </w:rPr>
          <m:t>ᵢᵥ</m:t>
        </m:r>
        <m:r>
          <w:rPr>
            <w:rFonts w:ascii="Cambria Math" w:hAnsi="Cambria Math"/>
            <w:sz w:val="20"/>
          </w:rPr>
          <m:t>ʳ</m:t>
        </m:r>
        <m:r>
          <w:rPr>
            <w:rFonts w:ascii="Cambria Math" w:hAnsi="Cambria Math"/>
            <w:sz w:val="20"/>
          </w:rPr>
          <m:t>ᵉ</m:t>
        </m:r>
        <m:r>
          <w:rPr>
            <w:rFonts w:ascii="Cambria Math" w:hAnsi="Cambria Math"/>
            <w:sz w:val="20"/>
          </w:rPr>
          <m:t>ᶠ</m:t>
        </m:r>
        <m:r>
          <w:rPr>
            <w:rFonts w:ascii="Cambria Math" w:hAnsi="Cambria Math"/>
            <w:sz w:val="20"/>
          </w:rPr>
          <m:t>)</m:t>
        </m:r>
      </m:oMath>
      <w:r>
        <w:rPr>
          <w:sz w:val="20"/>
        </w:rPr>
        <w:tab/>
      </w:r>
      <w:r>
        <w:rPr>
          <w:sz w:val="20"/>
        </w:rPr>
        <w:t>（</w:t>
      </w:r>
      <w:r>
        <w:rPr>
          <w:sz w:val="20"/>
        </w:rPr>
        <w:t>3-8</w:t>
      </w:r>
      <w:r>
        <w:rPr>
          <w:sz w:val="20"/>
        </w:rPr>
        <w:t>）</w:t>
      </w:r>
    </w:p>
    <w:p w:rsidR="0021426D" w:rsidRDefault="00A661EE">
      <w:pPr>
        <w:ind w:firstLine="480"/>
      </w:pPr>
      <w:r>
        <w:t>项目边界与设施入口是不同终点。快速路穿越、入口朝向及道路开放状态，可以使同一边界距离档内的住宅具有不同联系。</w:t>
      </w:r>
      <w:r>
        <w:t>Ω</w:t>
      </w:r>
      <w:r>
        <w:t>读欧米伽，</w:t>
      </w:r>
      <w:r>
        <w:t>∂</w:t>
      </w:r>
      <w:r>
        <w:t>在此表示边界；</w:t>
      </w:r>
      <w:r>
        <w:t>π</w:t>
      </w:r>
      <w:r>
        <w:t>读派，表示可行路径；</w:t>
      </w:r>
      <w:r>
        <w:t>ℓ</w:t>
      </w:r>
      <w:r>
        <w:t>为道路段长度。</w:t>
      </w:r>
    </w:p>
    <w:p w:rsidR="0021426D" w:rsidRDefault="00A661EE">
      <w:pPr>
        <w:keepLines/>
        <w:tabs>
          <w:tab w:val="center" w:pos="4195"/>
          <w:tab w:val="right" w:pos="8447"/>
        </w:tabs>
        <w:jc w:val="left"/>
      </w:pPr>
      <w:r>
        <w:tab/>
      </w:r>
      <m:oMath>
        <m:r>
          <w:rPr>
            <w:rFonts w:ascii="Cambria Math" w:hAnsi="Cambria Math"/>
            <w:sz w:val="20"/>
          </w:rPr>
          <m:t>μ</m:t>
        </m:r>
        <m:r>
          <w:rPr>
            <w:rFonts w:ascii="Cambria Math" w:hAnsi="Cambria Math"/>
            <w:sz w:val="20"/>
          </w:rPr>
          <m:t>ᵢᵥ</m:t>
        </m:r>
        <m:r>
          <w:rPr>
            <w:rFonts w:ascii="Cambria Math" w:hAnsi="Cambria Math"/>
            <w:sz w:val="20"/>
          </w:rPr>
          <m:t xml:space="preserve"> = </m:t>
        </m:r>
        <m:r>
          <w:rPr>
            <w:rFonts w:ascii="Cambria Math" w:hAnsi="Cambria Math"/>
            <w:sz w:val="20"/>
          </w:rPr>
          <m:t>E</m:t>
        </m:r>
        <m:r>
          <w:rPr>
            <w:rFonts w:ascii="Cambria Math" w:hAnsi="Cambria Math"/>
            <w:sz w:val="20"/>
          </w:rPr>
          <m:t>[</m:t>
        </m:r>
        <m:r>
          <w:rPr>
            <w:rFonts w:ascii="Cambria Math" w:hAnsi="Cambria Math"/>
            <w:sz w:val="20"/>
          </w:rPr>
          <m:t>F</m:t>
        </m:r>
        <m:r>
          <w:rPr>
            <w:rFonts w:ascii="Cambria Math" w:hAnsi="Cambria Math"/>
            <w:sz w:val="20"/>
          </w:rPr>
          <m:t>ᵢᵥ</m:t>
        </m:r>
        <m:r>
          <w:rPr>
            <w:rFonts w:ascii="Cambria Math" w:hAnsi="Cambria Math"/>
            <w:sz w:val="20"/>
          </w:rPr>
          <m:t xml:space="preserve"> | </m:t>
        </m:r>
        <m:r>
          <w:rPr>
            <w:rFonts w:ascii="Cambria Math" w:hAnsi="Cambria Math"/>
            <w:sz w:val="20"/>
          </w:rPr>
          <m:t>Q</m:t>
        </m:r>
        <m:r>
          <w:rPr>
            <w:rFonts w:ascii="Cambria Math" w:hAnsi="Cambria Math"/>
            <w:sz w:val="20"/>
          </w:rPr>
          <m:t>ᵢ</m:t>
        </m:r>
        <m:r>
          <w:rPr>
            <w:rFonts w:ascii="Cambria Math" w:hAnsi="Cambria Math"/>
            <w:sz w:val="20"/>
          </w:rPr>
          <m:t>，</m:t>
        </m:r>
        <m:r>
          <w:rPr>
            <w:rFonts w:ascii="Cambria Math" w:hAnsi="Cambria Math"/>
            <w:sz w:val="20"/>
          </w:rPr>
          <m:t>Q</m:t>
        </m:r>
        <m:r>
          <w:rPr>
            <w:rFonts w:ascii="Cambria Math" w:hAnsi="Cambria Math"/>
            <w:sz w:val="20"/>
          </w:rPr>
          <m:t>ᵥ</m:t>
        </m:r>
        <m:r>
          <w:rPr>
            <w:rFonts w:ascii="Cambria Math" w:hAnsi="Cambria Math"/>
            <w:sz w:val="20"/>
          </w:rPr>
          <m:t>，</m:t>
        </m:r>
        <m:r>
          <w:rPr>
            <w:rFonts w:ascii="Cambria Math" w:hAnsi="Cambria Math"/>
            <w:sz w:val="20"/>
          </w:rPr>
          <m:t>r</m:t>
        </m:r>
        <m:r>
          <w:rPr>
            <w:rFonts w:ascii="Cambria Math" w:hAnsi="Cambria Math"/>
            <w:sz w:val="20"/>
          </w:rPr>
          <m:t>ᵢᵥ</m:t>
        </m:r>
        <m:r>
          <w:rPr>
            <w:rFonts w:ascii="Cambria Math" w:hAnsi="Cambria Math"/>
            <w:sz w:val="20"/>
          </w:rPr>
          <m:t>，</m:t>
        </m:r>
        <m:r>
          <w:rPr>
            <w:rFonts w:ascii="Cambria Math" w:hAnsi="Cambria Math"/>
            <w:sz w:val="20"/>
          </w:rPr>
          <m:t>B</m:t>
        </m:r>
        <m:r>
          <w:rPr>
            <w:rFonts w:ascii="Cambria Math" w:hAnsi="Cambria Math"/>
            <w:sz w:val="20"/>
          </w:rPr>
          <m:t>ᵢᵥ</m:t>
        </m:r>
        <m:r>
          <w:rPr>
            <w:rFonts w:ascii="Cambria Math" w:hAnsi="Cambria Math"/>
            <w:sz w:val="20"/>
          </w:rPr>
          <m:t>]</m:t>
        </m:r>
      </m:oMath>
      <w:r>
        <w:rPr>
          <w:sz w:val="20"/>
        </w:rPr>
        <w:tab/>
      </w:r>
      <w:r>
        <w:rPr>
          <w:sz w:val="20"/>
        </w:rPr>
        <w:t>（</w:t>
      </w:r>
      <w:r>
        <w:rPr>
          <w:sz w:val="20"/>
        </w:rPr>
        <w:t>3-9</w:t>
      </w:r>
      <w:r>
        <w:rPr>
          <w:sz w:val="20"/>
        </w:rPr>
        <w:t>）</w:t>
      </w:r>
    </w:p>
    <w:p w:rsidR="0021426D" w:rsidRDefault="00A661EE">
      <w:pPr>
        <w:keepLines/>
        <w:tabs>
          <w:tab w:val="center" w:pos="4195"/>
          <w:tab w:val="right" w:pos="8447"/>
        </w:tabs>
        <w:jc w:val="left"/>
      </w:pPr>
      <w:r>
        <w:tab/>
      </w:r>
      <m:oMath>
        <m:r>
          <w:rPr>
            <w:rFonts w:ascii="Cambria Math" w:hAnsi="Cambria Math"/>
            <w:sz w:val="20"/>
          </w:rPr>
          <m:t>μ</m:t>
        </m:r>
        <m:r>
          <w:rPr>
            <w:rFonts w:ascii="Cambria Math" w:hAnsi="Cambria Math"/>
            <w:sz w:val="20"/>
          </w:rPr>
          <m:t>ᵢᵥ</m:t>
        </m:r>
        <m:r>
          <w:rPr>
            <w:rFonts w:ascii="Cambria Math" w:hAnsi="Cambria Math"/>
            <w:sz w:val="20"/>
          </w:rPr>
          <m:t xml:space="preserve"> = </m:t>
        </m:r>
        <m:r>
          <w:rPr>
            <w:rFonts w:ascii="Cambria Math" w:hAnsi="Cambria Math"/>
            <w:sz w:val="20"/>
          </w:rPr>
          <m:t>KQ</m:t>
        </m:r>
        <m:r>
          <w:rPr>
            <w:rFonts w:ascii="Cambria Math" w:hAnsi="Cambria Math"/>
            <w:sz w:val="20"/>
          </w:rPr>
          <m:t>ᵢᵅ</m:t>
        </m:r>
        <m:r>
          <w:rPr>
            <w:rFonts w:ascii="Cambria Math" w:hAnsi="Cambria Math"/>
            <w:sz w:val="20"/>
          </w:rPr>
          <m:t>Q</m:t>
        </m:r>
        <m:r>
          <w:rPr>
            <w:rFonts w:ascii="Cambria Math" w:hAnsi="Cambria Math"/>
            <w:sz w:val="20"/>
          </w:rPr>
          <m:t>ᵥᵝ</m:t>
        </m:r>
        <m:r>
          <w:rPr>
            <w:rFonts w:ascii="Cambria Math" w:hAnsi="Cambria Math"/>
            <w:sz w:val="20"/>
          </w:rPr>
          <m:t>(</m:t>
        </m:r>
        <m:r>
          <w:rPr>
            <w:rFonts w:ascii="Cambria Math" w:hAnsi="Cambria Math"/>
            <w:sz w:val="20"/>
          </w:rPr>
          <m:t>r</m:t>
        </m:r>
        <m:r>
          <w:rPr>
            <w:rFonts w:ascii="Cambria Math" w:hAnsi="Cambria Math"/>
            <w:sz w:val="20"/>
          </w:rPr>
          <m:t>ᵢᵥ</m:t>
        </m:r>
        <m:r>
          <w:rPr>
            <w:rFonts w:ascii="Cambria Math" w:hAnsi="Cambria Math"/>
            <w:sz w:val="20"/>
          </w:rPr>
          <m:t>/</m:t>
        </m:r>
        <m:r>
          <w:rPr>
            <w:rFonts w:ascii="Cambria Math" w:hAnsi="Cambria Math"/>
            <w:sz w:val="20"/>
          </w:rPr>
          <m:t>r</m:t>
        </m:r>
        <m:r>
          <w:rPr>
            <w:rFonts w:ascii="Cambria Math" w:hAnsi="Cambria Math"/>
            <w:sz w:val="20"/>
          </w:rPr>
          <m:t>₀</m:t>
        </m:r>
        <m:r>
          <w:rPr>
            <w:rFonts w:ascii="Cambria Math" w:hAnsi="Cambria Math"/>
            <w:sz w:val="20"/>
          </w:rPr>
          <m:t>)⁻</m:t>
        </m:r>
        <m:r>
          <w:rPr>
            <w:rFonts w:ascii="Cambria Math" w:hAnsi="Cambria Math"/>
            <w:sz w:val="20"/>
          </w:rPr>
          <m:t>ᶿ</m:t>
        </m:r>
        <m:r>
          <w:rPr>
            <w:rFonts w:ascii="Cambria Math" w:hAnsi="Cambria Math"/>
            <w:sz w:val="20"/>
          </w:rPr>
          <m:t xml:space="preserve"> </m:t>
        </m:r>
        <m:r>
          <w:rPr>
            <w:rFonts w:ascii="Cambria Math" w:hAnsi="Cambria Math"/>
            <w:sz w:val="20"/>
          </w:rPr>
          <m:t>exp</m:t>
        </m:r>
        <m:r>
          <w:rPr>
            <w:rFonts w:ascii="Cambria Math" w:hAnsi="Cambria Math"/>
            <w:sz w:val="20"/>
          </w:rPr>
          <m:t>(</m:t>
        </m:r>
        <m:r>
          <w:rPr>
            <w:rFonts w:ascii="Cambria Math" w:hAnsi="Cambria Math"/>
            <w:sz w:val="20"/>
          </w:rPr>
          <m:t>φB</m:t>
        </m:r>
        <m:r>
          <w:rPr>
            <w:rFonts w:ascii="Cambria Math" w:hAnsi="Cambria Math"/>
            <w:sz w:val="20"/>
          </w:rPr>
          <m:t>ᵢᵥ</m:t>
        </m:r>
        <m:r>
          <w:rPr>
            <w:rFonts w:ascii="Cambria Math" w:hAnsi="Cambria Math"/>
            <w:sz w:val="20"/>
          </w:rPr>
          <m:t>)</m:t>
        </m:r>
        <m:r>
          <w:rPr>
            <w:rFonts w:ascii="Cambria Math" w:hAnsi="Cambria Math"/>
            <w:sz w:val="20"/>
          </w:rPr>
          <m:t>，</m:t>
        </m:r>
        <m:r>
          <w:rPr>
            <w:rFonts w:ascii="Cambria Math" w:hAnsi="Cambria Math"/>
            <w:sz w:val="20"/>
          </w:rPr>
          <m:t>θ</m:t>
        </m:r>
        <m:r>
          <w:rPr>
            <w:rFonts w:ascii="Cambria Math" w:hAnsi="Cambria Math"/>
            <w:sz w:val="20"/>
          </w:rPr>
          <m:t xml:space="preserve"> &gt; 0</m:t>
        </m:r>
      </m:oMath>
      <w:r>
        <w:rPr>
          <w:sz w:val="20"/>
        </w:rPr>
        <w:tab/>
      </w:r>
      <w:r>
        <w:rPr>
          <w:sz w:val="20"/>
        </w:rPr>
        <w:t>（</w:t>
      </w:r>
      <w:r>
        <w:rPr>
          <w:sz w:val="20"/>
        </w:rPr>
        <w:t>3-10</w:t>
      </w:r>
      <w:r>
        <w:rPr>
          <w:sz w:val="20"/>
        </w:rPr>
        <w:t>）</w:t>
      </w:r>
    </w:p>
    <w:p w:rsidR="0021426D" w:rsidRDefault="00A661EE">
      <w:pPr>
        <w:ind w:firstLine="480"/>
      </w:pPr>
      <w:r>
        <w:t>F</w:t>
      </w:r>
      <w:r>
        <w:t>为非负</w:t>
      </w:r>
      <w:r>
        <w:t>OD</w:t>
      </w:r>
      <w:r>
        <w:t>联系权重，</w:t>
      </w:r>
      <w:r>
        <w:t>μ</w:t>
      </w:r>
      <w:r>
        <w:t>为条件均值；</w:t>
      </w:r>
      <w:r>
        <w:t>Q</w:t>
      </w:r>
      <w:r>
        <w:t>表示起终点规模，</w:t>
      </w:r>
      <w:r>
        <w:t>r₀</w:t>
      </w:r>
      <w:r>
        <w:t>是参照距离单位。规模以幂函数进入，距离按幂律衰减，绕行通过指数修正进入。这是联系模型设定，</w:t>
      </w:r>
      <w:r>
        <w:t>θ</w:t>
      </w:r>
      <w:r>
        <w:t>和</w:t>
      </w:r>
      <w:r>
        <w:t>φ</w:t>
      </w:r>
      <w:r>
        <w:t>由真实数据估计。</w:t>
      </w:r>
      <w:r>
        <w:t>PPML</w:t>
      </w:r>
      <w:r>
        <w:t>直接拟合均值并保留真实零联系，稳健推断依赖相应条件均值与观测支持。起终点固定效应构成吸收稳定规模的替代规格，规格还需检查共线性。</w:t>
      </w:r>
    </w:p>
    <w:p w:rsidR="0021426D" w:rsidRDefault="00A661EE">
      <w:pPr>
        <w:keepLines/>
        <w:tabs>
          <w:tab w:val="center" w:pos="4195"/>
          <w:tab w:val="right" w:pos="8447"/>
        </w:tabs>
        <w:jc w:val="left"/>
      </w:pPr>
      <w:r>
        <w:tab/>
      </w:r>
      <m:oMath>
        <m:r>
          <w:rPr>
            <w:rFonts w:ascii="Cambria Math" w:hAnsi="Cambria Math"/>
            <w:sz w:val="20"/>
          </w:rPr>
          <m:t>m</m:t>
        </m:r>
        <m:r>
          <w:rPr>
            <w:rFonts w:ascii="Cambria Math" w:hAnsi="Cambria Math"/>
            <w:sz w:val="20"/>
          </w:rPr>
          <m:t>ᵢᵥ</m:t>
        </m:r>
        <m:r>
          <w:rPr>
            <w:rFonts w:ascii="Cambria Math" w:hAnsi="Cambria Math"/>
            <w:sz w:val="20"/>
          </w:rPr>
          <m:t xml:space="preserve"> = </m:t>
        </m:r>
        <m:r>
          <w:rPr>
            <w:rFonts w:ascii="Cambria Math" w:hAnsi="Cambria Math"/>
            <w:sz w:val="20"/>
          </w:rPr>
          <m:t>μ</m:t>
        </m:r>
        <m:r>
          <w:rPr>
            <w:rFonts w:ascii="Cambria Math" w:hAnsi="Cambria Math"/>
            <w:sz w:val="20"/>
          </w:rPr>
          <m:t>ᵢᵥ</m:t>
        </m:r>
        <m:r>
          <w:rPr>
            <w:rFonts w:ascii="Cambria Math" w:hAnsi="Cambria Math"/>
            <w:sz w:val="20"/>
          </w:rPr>
          <m:t>/(</m:t>
        </m:r>
        <m:r>
          <w:rPr>
            <w:rFonts w:ascii="Cambria Math" w:hAnsi="Cambria Math"/>
            <w:sz w:val="20"/>
          </w:rPr>
          <m:t>KQ</m:t>
        </m:r>
        <m:r>
          <w:rPr>
            <w:rFonts w:ascii="Cambria Math" w:hAnsi="Cambria Math"/>
            <w:sz w:val="20"/>
          </w:rPr>
          <m:t>ᵢᵅ</m:t>
        </m:r>
        <m:r>
          <w:rPr>
            <w:rFonts w:ascii="Cambria Math" w:hAnsi="Cambria Math"/>
            <w:sz w:val="20"/>
          </w:rPr>
          <m:t>Q</m:t>
        </m:r>
        <m:r>
          <w:rPr>
            <w:rFonts w:ascii="Cambria Math" w:hAnsi="Cambria Math"/>
            <w:sz w:val="20"/>
          </w:rPr>
          <m:t>ᵥᵝ</m:t>
        </m:r>
        <m:r>
          <w:rPr>
            <w:rFonts w:ascii="Cambria Math" w:hAnsi="Cambria Math"/>
            <w:sz w:val="20"/>
          </w:rPr>
          <m:t>)</m:t>
        </m:r>
      </m:oMath>
      <w:r>
        <w:rPr>
          <w:sz w:val="20"/>
        </w:rPr>
        <w:tab/>
      </w:r>
      <w:r>
        <w:rPr>
          <w:sz w:val="20"/>
        </w:rPr>
        <w:t>（</w:t>
      </w:r>
      <w:r>
        <w:rPr>
          <w:sz w:val="20"/>
        </w:rPr>
        <w:t>3-11</w:t>
      </w:r>
      <w:r>
        <w:rPr>
          <w:sz w:val="20"/>
        </w:rPr>
        <w:t>）</w:t>
      </w:r>
    </w:p>
    <w:p w:rsidR="0021426D" w:rsidRDefault="00A661EE">
      <w:pPr>
        <w:keepLines/>
        <w:tabs>
          <w:tab w:val="center" w:pos="4195"/>
          <w:tab w:val="right" w:pos="8447"/>
        </w:tabs>
        <w:jc w:val="left"/>
      </w:pPr>
      <w:r>
        <w:tab/>
      </w:r>
      <m:oMath>
        <m:r>
          <w:rPr>
            <w:rFonts w:ascii="Cambria Math" w:hAnsi="Cambria Math"/>
          </w:rPr>
          <m:t>r</m:t>
        </m:r>
        <m:r>
          <w:rPr>
            <w:rFonts w:ascii="Cambria Math" w:hAnsi="Cambria Math"/>
          </w:rPr>
          <m:t>ᵢᵥᵉ</m:t>
        </m:r>
        <m:r>
          <w:rPr>
            <w:rFonts w:ascii="Cambria Math" w:hAnsi="Cambria Math"/>
          </w:rPr>
          <m:t>ᶠᶠ</m:t>
        </m:r>
        <m:r>
          <w:rPr>
            <w:rFonts w:ascii="Cambria Math" w:hAnsi="Cambria Math"/>
          </w:rPr>
          <m:t xml:space="preserve"> = </m:t>
        </m:r>
        <m:r>
          <w:rPr>
            <w:rFonts w:ascii="Cambria Math" w:hAnsi="Cambria Math"/>
          </w:rPr>
          <m:t>r</m:t>
        </m:r>
        <m:r>
          <w:rPr>
            <w:rFonts w:ascii="Cambria Math" w:hAnsi="Cambria Math"/>
          </w:rPr>
          <m:t>₀</m:t>
        </m:r>
        <m:sSup>
          <m:sSupPr>
            <m:ctrlPr>
              <w:rPr>
                <w:rFonts w:ascii="Cambria Math" w:hAnsi="Cambria Math"/>
              </w:rPr>
            </m:ctrlPr>
          </m:sSupPr>
          <m:e>
            <m:r>
              <w:rPr>
                <w:rFonts w:ascii="Cambria Math" w:hAnsi="Cambria Math"/>
              </w:rPr>
              <m:t>m</m:t>
            </m:r>
            <m:r>
              <w:rPr>
                <w:rFonts w:ascii="Cambria Math" w:hAnsi="Cambria Math"/>
              </w:rPr>
              <m:t>ᵢᵥ</m:t>
            </m:r>
          </m:e>
          <m:sup>
            <m:r>
              <w:rPr>
                <w:rFonts w:ascii="Cambria Math" w:hAnsi="Cambria Math"/>
              </w:rPr>
              <m:t>-</m:t>
            </m:r>
            <m:r>
              <w:rPr>
                <w:rFonts w:ascii="Cambria Math" w:hAnsi="Cambria Math"/>
              </w:rPr>
              <m:t>1/</m:t>
            </m:r>
            <m:r>
              <w:rPr>
                <w:rFonts w:ascii="Cambria Math" w:hAnsi="Cambria Math"/>
              </w:rPr>
              <m:t>θ</m:t>
            </m:r>
          </m:sup>
        </m:sSup>
        <m:r>
          <w:rPr>
            <w:rFonts w:ascii="Cambria Math" w:hAnsi="Cambria Math"/>
          </w:rPr>
          <m:t xml:space="preserve"> = </m:t>
        </m:r>
        <m:r>
          <w:rPr>
            <w:rFonts w:ascii="Cambria Math" w:hAnsi="Cambria Math"/>
          </w:rPr>
          <m:t>r</m:t>
        </m:r>
        <m:r>
          <w:rPr>
            <w:rFonts w:ascii="Cambria Math" w:hAnsi="Cambria Math"/>
          </w:rPr>
          <m:t>ᵢᵥ</m:t>
        </m:r>
        <m:r>
          <w:rPr>
            <w:rFonts w:ascii="Cambria Math" w:hAnsi="Cambria Math"/>
          </w:rPr>
          <m:t xml:space="preserve"> </m:t>
        </m:r>
        <m:r>
          <w:rPr>
            <w:rFonts w:ascii="Cambria Math" w:hAnsi="Cambria Math"/>
          </w:rPr>
          <m:t>exp</m:t>
        </m:r>
        <m:r>
          <w:rPr>
            <w:rFonts w:ascii="Cambria Math" w:hAnsi="Cambria Math"/>
          </w:rPr>
          <m:t>(-</m:t>
        </m:r>
        <m:r>
          <w:rPr>
            <w:rFonts w:ascii="Cambria Math" w:hAnsi="Cambria Math"/>
          </w:rPr>
          <m:t>φB</m:t>
        </m:r>
        <m:r>
          <w:rPr>
            <w:rFonts w:ascii="Cambria Math" w:hAnsi="Cambria Math"/>
          </w:rPr>
          <m:t>ᵢᵥ</m:t>
        </m:r>
        <m:r>
          <w:rPr>
            <w:rFonts w:ascii="Cambria Math" w:hAnsi="Cambria Math"/>
          </w:rPr>
          <m:t>/</m:t>
        </m:r>
        <m:r>
          <w:rPr>
            <w:rFonts w:ascii="Cambria Math" w:hAnsi="Cambria Math"/>
          </w:rPr>
          <m:t>θ</m:t>
        </m:r>
        <m:r>
          <w:rPr>
            <w:rFonts w:ascii="Cambria Math" w:hAnsi="Cambria Math"/>
          </w:rPr>
          <m:t>)</m:t>
        </m:r>
      </m:oMath>
      <w:r>
        <w:rPr>
          <w:sz w:val="20"/>
        </w:rPr>
        <w:tab/>
      </w:r>
      <w:r>
        <w:rPr>
          <w:sz w:val="20"/>
        </w:rPr>
        <w:t>（</w:t>
      </w:r>
      <w:r>
        <w:rPr>
          <w:sz w:val="20"/>
        </w:rPr>
        <w:t>3-12</w:t>
      </w:r>
      <w:r>
        <w:rPr>
          <w:sz w:val="20"/>
        </w:rPr>
        <w:t>）</w:t>
      </w:r>
    </w:p>
    <w:p w:rsidR="0021426D" w:rsidRDefault="00A661EE">
      <w:pPr>
        <w:ind w:firstLine="480"/>
      </w:pPr>
      <w:r>
        <w:t>标准化联系</w:t>
      </w:r>
      <w:r>
        <w:t>m</w:t>
      </w:r>
      <w:r>
        <w:t>剔除规模项。令无额外绕行时的联系等于</w:t>
      </w:r>
      <w:r>
        <w:t>m</w:t>
      </w:r>
      <w:r>
        <w:t>，再按距离幂律反解，就得到等价距离。</w:t>
      </w:r>
      <w:r>
        <w:t>θ</w:t>
      </w:r>
      <w:r>
        <w:t>为正且</w:t>
      </w:r>
      <w:r>
        <w:t>φ</w:t>
      </w:r>
      <w:r>
        <w:t>为负时，附加绕行使等价距离增大。该反解在正联系和同一模型参数下成立，实际零流量进入</w:t>
      </w:r>
      <w:r>
        <w:t>PPML</w:t>
      </w:r>
      <w:r>
        <w:t>估计，原始零记录本身无需取对数。</w:t>
      </w:r>
      <w:r>
        <w:t>2022</w:t>
      </w:r>
      <w:r>
        <w:t>年</w:t>
      </w:r>
      <w:r>
        <w:t>OD</w:t>
      </w:r>
      <w:r>
        <w:t>支持截面校准，历史基期暴露另依事件前资料核定。</w:t>
      </w:r>
    </w:p>
    <w:p w:rsidR="0021426D" w:rsidRDefault="00A661EE">
      <w:pPr>
        <w:pStyle w:val="3"/>
        <w:keepNext/>
        <w:spacing w:before="120" w:after="120"/>
        <w:jc w:val="left"/>
      </w:pPr>
      <w:bookmarkStart w:id="39" w:name="_Toc242490950"/>
      <w:r>
        <w:lastRenderedPageBreak/>
        <w:t xml:space="preserve">3.5.4  </w:t>
      </w:r>
      <w:r>
        <w:t>影像与多关系图暴露的独立校准</w:t>
      </w:r>
      <w:bookmarkEnd w:id="39"/>
    </w:p>
    <w:p w:rsidR="0021426D" w:rsidRDefault="00A661EE">
      <w:pPr>
        <w:keepNext/>
        <w:jc w:val="center"/>
      </w:pPr>
      <w:r>
        <w:rPr>
          <w:noProof/>
        </w:rPr>
        <w:drawing>
          <wp:inline distT="0" distB="0" distL="0" distR="0">
            <wp:extent cx="4319905" cy="20358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6"/>
                    <a:stretch>
                      <a:fillRect/>
                    </a:stretch>
                  </pic:blipFill>
                  <pic:spPr>
                    <a:xfrm>
                      <a:off x="0" y="0"/>
                      <a:ext cx="4320000" cy="2036178"/>
                    </a:xfrm>
                    <a:prstGeom prst="rect">
                      <a:avLst/>
                    </a:prstGeom>
                  </pic:spPr>
                </pic:pic>
              </a:graphicData>
            </a:graphic>
          </wp:inline>
        </w:drawing>
      </w:r>
    </w:p>
    <w:p w:rsidR="0021426D" w:rsidRDefault="00A661EE">
      <w:pPr>
        <w:keepNext/>
        <w:jc w:val="center"/>
      </w:pPr>
      <w:r>
        <w:t>图</w:t>
      </w:r>
      <w:r>
        <w:t xml:space="preserve">3-14  </w:t>
      </w:r>
      <w:r>
        <w:t>街景、遥感与住房属性的测量框架</w:t>
      </w:r>
    </w:p>
    <w:p w:rsidR="0021426D" w:rsidRDefault="00A661EE">
      <w:pPr>
        <w:ind w:firstLine="480"/>
      </w:pPr>
      <w:r>
        <w:t>来源：</w:t>
      </w:r>
      <w:r>
        <w:t>Law</w:t>
      </w:r>
      <w:r>
        <w:t>、</w:t>
      </w:r>
      <w:r>
        <w:t>Paige</w:t>
      </w:r>
      <w:r>
        <w:t>和</w:t>
      </w:r>
      <w:r>
        <w:t>Russell</w:t>
      </w:r>
      <w:r>
        <w:t>（</w:t>
      </w:r>
      <w:r>
        <w:t>2019</w:t>
      </w:r>
      <w:r>
        <w:t>）的图示，经本项目文献汇报引用。住房结构、区位和邻里图像共同补充价格测量；本题将视觉信息用于环境概念核验，预测贡献与因果识别分别评价。</w:t>
      </w:r>
    </w:p>
    <w:p w:rsidR="0021426D" w:rsidRDefault="00A661EE">
      <w:pPr>
        <w:keepNext/>
        <w:jc w:val="center"/>
      </w:pPr>
      <w:r>
        <w:rPr>
          <w:noProof/>
        </w:rPr>
        <w:drawing>
          <wp:inline distT="0" distB="0" distL="0" distR="0">
            <wp:extent cx="2699385" cy="27209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7"/>
                    <a:stretch>
                      <a:fillRect/>
                    </a:stretch>
                  </pic:blipFill>
                  <pic:spPr>
                    <a:xfrm>
                      <a:off x="0" y="0"/>
                      <a:ext cx="2700000" cy="2721012"/>
                    </a:xfrm>
                    <a:prstGeom prst="rect">
                      <a:avLst/>
                    </a:prstGeom>
                  </pic:spPr>
                </pic:pic>
              </a:graphicData>
            </a:graphic>
          </wp:inline>
        </w:drawing>
      </w:r>
    </w:p>
    <w:p w:rsidR="0021426D" w:rsidRDefault="00A661EE">
      <w:pPr>
        <w:keepNext/>
        <w:jc w:val="center"/>
      </w:pPr>
      <w:r>
        <w:t>图</w:t>
      </w:r>
      <w:r>
        <w:t xml:space="preserve">3-15  </w:t>
      </w:r>
      <w:r>
        <w:t>关系型图卷积的多关系消息聚合</w:t>
      </w:r>
    </w:p>
    <w:p w:rsidR="0021426D" w:rsidRDefault="00A661EE">
      <w:pPr>
        <w:ind w:firstLine="480"/>
      </w:pPr>
      <w:r>
        <w:t>来源：</w:t>
      </w:r>
      <w:r>
        <w:t>Schlichtkrull</w:t>
      </w:r>
      <w:r>
        <w:t>等（</w:t>
      </w:r>
      <w:r>
        <w:t>2018</w:t>
      </w:r>
      <w:r>
        <w:t>）作者稿图示。不同关系使用各自变换再汇总，本题拟以道路连通、邻近和可视关系构图。原方法提供表征结构，其深圳经济语义需要独立标注与项目留出核验。</w:t>
      </w:r>
    </w:p>
    <w:p w:rsidR="0021426D" w:rsidRDefault="00A661EE">
      <w:pPr>
        <w:ind w:firstLine="480"/>
      </w:pPr>
      <w:r>
        <w:t>零层表征</w:t>
      </w:r>
      <w:r>
        <w:t>h</w:t>
      </w:r>
      <w:r>
        <w:t>为住宅属性、街景、遥感和可达性输入。每层先变换本节点信息，再对关系集合</w:t>
      </w:r>
      <w:r>
        <w:t>ℛ</w:t>
      </w:r>
      <w:r>
        <w:t>中各类邻居的消息分别加权求和，经激活函数</w:t>
      </w:r>
      <w:r>
        <w:t>σ</w:t>
      </w:r>
      <w:r>
        <w:t>形成下一层表征。</w:t>
      </w:r>
    </w:p>
    <w:p w:rsidR="0021426D" w:rsidRDefault="00A661EE">
      <w:pPr>
        <w:keepLines/>
        <w:tabs>
          <w:tab w:val="center" w:pos="4195"/>
          <w:tab w:val="right" w:pos="8447"/>
        </w:tabs>
        <w:jc w:val="left"/>
      </w:pPr>
      <w:r>
        <w:tab/>
      </w:r>
      <m:oMath>
        <m:r>
          <w:rPr>
            <w:rFonts w:ascii="Cambria Math" w:hAnsi="Cambria Math"/>
            <w:sz w:val="18"/>
          </w:rPr>
          <m:t>h</m:t>
        </m:r>
        <m:r>
          <w:rPr>
            <w:rFonts w:ascii="Cambria Math" w:hAnsi="Cambria Math"/>
            <w:sz w:val="18"/>
          </w:rPr>
          <m:t>ᵢ</m:t>
        </m:r>
        <m:r>
          <w:rPr>
            <w:rFonts w:ascii="Cambria Math" w:hAnsi="Cambria Math"/>
            <w:sz w:val="18"/>
          </w:rPr>
          <m:t>⁽ˡ⁺</m:t>
        </m:r>
        <m:r>
          <w:rPr>
            <w:rFonts w:ascii="Cambria Math" w:hAnsi="Cambria Math"/>
            <w:sz w:val="18"/>
          </w:rPr>
          <m:t xml:space="preserve">¹⁾ = </m:t>
        </m:r>
        <m:r>
          <w:rPr>
            <w:rFonts w:ascii="Cambria Math" w:hAnsi="Cambria Math"/>
            <w:sz w:val="18"/>
          </w:rPr>
          <m:t>σ</m:t>
        </m:r>
        <m:r>
          <w:rPr>
            <w:rFonts w:ascii="Cambria Math" w:hAnsi="Cambria Math"/>
            <w:sz w:val="18"/>
          </w:rPr>
          <m:t>(</m:t>
        </m:r>
        <m:r>
          <w:rPr>
            <w:rFonts w:ascii="Cambria Math" w:hAnsi="Cambria Math"/>
            <w:sz w:val="18"/>
          </w:rPr>
          <m:t>W</m:t>
        </m:r>
        <m:r>
          <w:rPr>
            <w:rFonts w:ascii="Cambria Math" w:hAnsi="Cambria Math"/>
            <w:sz w:val="18"/>
          </w:rPr>
          <m:t>₀h</m:t>
        </m:r>
        <m:r>
          <w:rPr>
            <w:rFonts w:ascii="Cambria Math" w:hAnsi="Cambria Math"/>
            <w:sz w:val="18"/>
          </w:rPr>
          <m:t>ᵢ</m:t>
        </m:r>
        <m:r>
          <w:rPr>
            <w:rFonts w:ascii="Cambria Math" w:hAnsi="Cambria Math"/>
            <w:sz w:val="18"/>
          </w:rPr>
          <m:t>⁽ˡ⁾</m:t>
        </m:r>
        <m:r>
          <w:rPr>
            <w:rFonts w:ascii="Cambria Math" w:hAnsi="Cambria Math"/>
            <w:sz w:val="18"/>
          </w:rPr>
          <m:t xml:space="preserve"> + ∑</m:t>
        </m:r>
        <m:r>
          <w:rPr>
            <w:rFonts w:ascii="Cambria Math" w:hAnsi="Cambria Math"/>
            <w:sz w:val="18"/>
          </w:rPr>
          <m:t>ᵣ</m:t>
        </m:r>
        <m:r>
          <m:rPr>
            <m:scr m:val="script"/>
          </m:rPr>
          <w:rPr>
            <w:rFonts w:ascii="Cambria Math" w:hAnsi="Cambria Math"/>
            <w:sz w:val="18"/>
          </w:rPr>
          <m:t>∈R ∑</m:t>
        </m:r>
        <m:r>
          <w:rPr>
            <w:rFonts w:ascii="Cambria Math" w:hAnsi="Cambria Math"/>
            <w:sz w:val="18"/>
          </w:rPr>
          <m:t>ᵥ</m:t>
        </m:r>
        <m:r>
          <w:rPr>
            <w:rFonts w:ascii="Cambria Math" w:hAnsi="Cambria Math"/>
            <w:sz w:val="18"/>
          </w:rPr>
          <m:t>∈</m:t>
        </m:r>
        <m:r>
          <w:rPr>
            <w:rFonts w:ascii="Cambria Math" w:hAnsi="Cambria Math"/>
            <w:sz w:val="18"/>
          </w:rPr>
          <m:t>N</m:t>
        </m:r>
        <m:r>
          <w:rPr>
            <w:rFonts w:ascii="Cambria Math" w:hAnsi="Cambria Math"/>
            <w:sz w:val="18"/>
          </w:rPr>
          <m:t>ᵣ</m:t>
        </m:r>
        <m:r>
          <w:rPr>
            <w:rFonts w:ascii="Cambria Math" w:hAnsi="Cambria Math"/>
            <w:sz w:val="18"/>
          </w:rPr>
          <m:t>₍</m:t>
        </m:r>
        <m:r>
          <w:rPr>
            <w:rFonts w:ascii="Cambria Math" w:hAnsi="Cambria Math"/>
            <w:sz w:val="18"/>
          </w:rPr>
          <m:t>ᵢ</m:t>
        </m:r>
        <m:r>
          <w:rPr>
            <w:rFonts w:ascii="Cambria Math" w:hAnsi="Cambria Math"/>
            <w:sz w:val="18"/>
          </w:rPr>
          <m:t>₎</m:t>
        </m:r>
        <m:r>
          <w:rPr>
            <w:rFonts w:ascii="Cambria Math" w:hAnsi="Cambria Math"/>
            <w:sz w:val="18"/>
          </w:rPr>
          <m:t xml:space="preserve"> </m:t>
        </m:r>
        <m:r>
          <w:rPr>
            <w:rFonts w:ascii="Cambria Math" w:hAnsi="Cambria Math"/>
            <w:sz w:val="18"/>
          </w:rPr>
          <m:t>a</m:t>
        </m:r>
        <m:r>
          <w:rPr>
            <w:rFonts w:ascii="Cambria Math" w:hAnsi="Cambria Math"/>
            <w:sz w:val="18"/>
          </w:rPr>
          <m:t>ᵢᵥ</m:t>
        </m:r>
        <m:r>
          <w:rPr>
            <w:rFonts w:ascii="Cambria Math" w:hAnsi="Cambria Math"/>
            <w:sz w:val="18"/>
          </w:rPr>
          <m:t>ʳ</m:t>
        </m:r>
        <m:r>
          <w:rPr>
            <w:rFonts w:ascii="Cambria Math" w:hAnsi="Cambria Math"/>
            <w:sz w:val="18"/>
          </w:rPr>
          <m:t xml:space="preserve"> </m:t>
        </m:r>
        <m:r>
          <w:rPr>
            <w:rFonts w:ascii="Cambria Math" w:hAnsi="Cambria Math"/>
            <w:sz w:val="18"/>
          </w:rPr>
          <m:t>W</m:t>
        </m:r>
        <m:r>
          <w:rPr>
            <w:rFonts w:ascii="Cambria Math" w:hAnsi="Cambria Math"/>
            <w:sz w:val="18"/>
          </w:rPr>
          <m:t>ᵣ</m:t>
        </m:r>
        <m:r>
          <w:rPr>
            <w:rFonts w:ascii="Cambria Math" w:hAnsi="Cambria Math"/>
            <w:sz w:val="18"/>
          </w:rPr>
          <m:t>h</m:t>
        </m:r>
        <m:r>
          <w:rPr>
            <w:rFonts w:ascii="Cambria Math" w:hAnsi="Cambria Math"/>
            <w:sz w:val="18"/>
          </w:rPr>
          <m:t>ᵥ</m:t>
        </m:r>
        <m:r>
          <w:rPr>
            <w:rFonts w:ascii="Cambria Math" w:hAnsi="Cambria Math"/>
            <w:sz w:val="18"/>
          </w:rPr>
          <m:t>⁽ˡ⁾</m:t>
        </m:r>
        <m:r>
          <w:rPr>
            <w:rFonts w:ascii="Cambria Math" w:hAnsi="Cambria Math"/>
            <w:sz w:val="18"/>
          </w:rPr>
          <m:t>)</m:t>
        </m:r>
      </m:oMath>
      <w:r>
        <w:rPr>
          <w:sz w:val="20"/>
        </w:rPr>
        <w:tab/>
      </w:r>
      <w:r>
        <w:rPr>
          <w:sz w:val="20"/>
        </w:rPr>
        <w:t>（</w:t>
      </w:r>
      <w:r>
        <w:rPr>
          <w:sz w:val="20"/>
        </w:rPr>
        <w:t>3-13</w:t>
      </w:r>
      <w:r>
        <w:rPr>
          <w:sz w:val="20"/>
        </w:rPr>
        <w:t>）</w:t>
      </w:r>
    </w:p>
    <w:p w:rsidR="0021426D" w:rsidRDefault="00A661EE">
      <w:pPr>
        <w:ind w:firstLine="480"/>
      </w:pPr>
      <w:r>
        <w:t>W</w:t>
      </w:r>
      <w:r>
        <w:t>是关系变换矩阵，</w:t>
      </w:r>
      <w:r>
        <w:t>a</w:t>
      </w:r>
      <w:r>
        <w:t>是边权，</w:t>
      </w:r>
      <w:r>
        <w:t>N</w:t>
      </w:r>
      <w:r>
        <w:t>表示对应关系的邻居，</w:t>
      </w:r>
      <w:r>
        <w:t>l</w:t>
      </w:r>
      <w:r>
        <w:t>为层数。道路、空</w:t>
      </w:r>
      <w:r>
        <w:lastRenderedPageBreak/>
        <w:t>间和视线关系具有不同经济含义，边权和归一化方式将在实际实现中确定。影像按地点、时间、方向与</w:t>
      </w:r>
      <w:r>
        <w:t>GSD</w:t>
      </w:r>
      <w:r>
        <w:t>核验，训练项目内确定降维与标准化后，再评价独立项目的可比性。</w:t>
      </w:r>
    </w:p>
    <w:p w:rsidR="0021426D" w:rsidRDefault="00A661EE">
      <w:pPr>
        <w:keepLines/>
        <w:tabs>
          <w:tab w:val="center" w:pos="4195"/>
          <w:tab w:val="right" w:pos="8447"/>
        </w:tabs>
        <w:jc w:val="left"/>
      </w:pPr>
      <w:r>
        <w:tab/>
      </w:r>
      <m:oMath>
        <m:r>
          <w:rPr>
            <w:rFonts w:ascii="Cambria Math" w:hAnsi="Cambria Math"/>
            <w:sz w:val="20"/>
          </w:rPr>
          <m:t>μ̂</m:t>
        </m:r>
        <m:r>
          <w:rPr>
            <w:rFonts w:ascii="Cambria Math" w:hAnsi="Cambria Math"/>
            <w:sz w:val="20"/>
          </w:rPr>
          <m:t>ᵢᵥ</m:t>
        </m:r>
        <m:r>
          <w:rPr>
            <w:rFonts w:ascii="Cambria Math" w:hAnsi="Cambria Math"/>
            <w:sz w:val="20"/>
          </w:rPr>
          <m:t xml:space="preserve"> = </m:t>
        </m:r>
        <m:r>
          <w:rPr>
            <w:rFonts w:ascii="Cambria Math" w:hAnsi="Cambria Math"/>
            <w:sz w:val="20"/>
          </w:rPr>
          <m:t>μ</m:t>
        </m:r>
        <m:r>
          <w:rPr>
            <w:rFonts w:ascii="Cambria Math" w:hAnsi="Cambria Math"/>
            <w:sz w:val="20"/>
          </w:rPr>
          <m:t>ᵢᵥᴳ</m:t>
        </m:r>
        <m:r>
          <w:rPr>
            <w:rFonts w:ascii="Cambria Math" w:hAnsi="Cambria Math"/>
            <w:sz w:val="20"/>
          </w:rPr>
          <m:t xml:space="preserve"> </m:t>
        </m:r>
        <m:r>
          <w:rPr>
            <w:rFonts w:ascii="Cambria Math" w:hAnsi="Cambria Math"/>
            <w:sz w:val="20"/>
          </w:rPr>
          <m:t>exp</m:t>
        </m:r>
        <m:r>
          <w:rPr>
            <w:rFonts w:ascii="Cambria Math" w:hAnsi="Cambria Math"/>
            <w:sz w:val="20"/>
          </w:rPr>
          <m:t>{</m:t>
        </m:r>
        <m:r>
          <w:rPr>
            <w:rFonts w:ascii="Cambria Math" w:hAnsi="Cambria Math"/>
            <w:sz w:val="20"/>
          </w:rPr>
          <m:t>gψ</m:t>
        </m:r>
        <m:r>
          <w:rPr>
            <w:rFonts w:ascii="Cambria Math" w:hAnsi="Cambria Math"/>
            <w:sz w:val="20"/>
          </w:rPr>
          <m:t>(h</m:t>
        </m:r>
        <m:r>
          <w:rPr>
            <w:rFonts w:ascii="Cambria Math" w:hAnsi="Cambria Math"/>
            <w:sz w:val="20"/>
          </w:rPr>
          <m:t>ᵢ</m:t>
        </m:r>
        <m:r>
          <w:rPr>
            <w:rFonts w:ascii="Cambria Math" w:hAnsi="Cambria Math"/>
            <w:sz w:val="20"/>
          </w:rPr>
          <m:t>，</m:t>
        </m:r>
        <m:r>
          <w:rPr>
            <w:rFonts w:ascii="Cambria Math" w:hAnsi="Cambria Math"/>
            <w:sz w:val="20"/>
          </w:rPr>
          <m:t>h</m:t>
        </m:r>
        <m:r>
          <w:rPr>
            <w:rFonts w:ascii="Cambria Math" w:hAnsi="Cambria Math"/>
            <w:sz w:val="20"/>
          </w:rPr>
          <m:t>ᵥ</m:t>
        </m:r>
        <m:r>
          <w:rPr>
            <w:rFonts w:ascii="Cambria Math" w:hAnsi="Cambria Math"/>
            <w:sz w:val="20"/>
          </w:rPr>
          <m:t>)}</m:t>
        </m:r>
      </m:oMath>
      <w:r>
        <w:rPr>
          <w:sz w:val="20"/>
        </w:rPr>
        <w:tab/>
      </w:r>
      <w:r>
        <w:rPr>
          <w:sz w:val="20"/>
        </w:rPr>
        <w:t>（</w:t>
      </w:r>
      <w:r>
        <w:rPr>
          <w:sz w:val="20"/>
        </w:rPr>
        <w:t>3-14</w:t>
      </w:r>
      <w:r>
        <w:rPr>
          <w:sz w:val="20"/>
        </w:rPr>
        <w:t>）</w:t>
      </w:r>
    </w:p>
    <w:p w:rsidR="0021426D" w:rsidRDefault="00A661EE">
      <w:pPr>
        <w:keepLines/>
        <w:tabs>
          <w:tab w:val="center" w:pos="4195"/>
          <w:tab w:val="right" w:pos="8447"/>
        </w:tabs>
        <w:jc w:val="left"/>
      </w:pPr>
      <w:r>
        <w:tab/>
      </w:r>
      <m:oMath>
        <m:r>
          <w:rPr>
            <w:rFonts w:ascii="Cambria Math" w:hAnsi="Cambria Math"/>
            <w:sz w:val="20"/>
          </w:rPr>
          <m:t>L</m:t>
        </m:r>
        <m:r>
          <w:rPr>
            <w:rFonts w:ascii="Cambria Math" w:hAnsi="Cambria Math"/>
            <w:sz w:val="20"/>
          </w:rPr>
          <m:t xml:space="preserve"> = ∑</m:t>
        </m:r>
        <m:r>
          <w:rPr>
            <w:rFonts w:ascii="Cambria Math" w:hAnsi="Cambria Math"/>
            <w:sz w:val="20"/>
          </w:rPr>
          <m:t>ᵢᵥ</m:t>
        </m:r>
        <m:r>
          <w:rPr>
            <w:rFonts w:ascii="Cambria Math" w:hAnsi="Cambria Math"/>
            <w:sz w:val="20"/>
          </w:rPr>
          <m:t>(</m:t>
        </m:r>
        <m:r>
          <w:rPr>
            <w:rFonts w:ascii="Cambria Math" w:hAnsi="Cambria Math"/>
            <w:sz w:val="20"/>
          </w:rPr>
          <m:t>μ̂</m:t>
        </m:r>
        <m:r>
          <w:rPr>
            <w:rFonts w:ascii="Cambria Math" w:hAnsi="Cambria Math"/>
            <w:sz w:val="20"/>
          </w:rPr>
          <m:t>ᵢᵥ</m:t>
        </m:r>
        <m:r>
          <w:rPr>
            <w:rFonts w:ascii="Cambria Math" w:hAnsi="Cambria Math"/>
            <w:sz w:val="20"/>
          </w:rPr>
          <m:t xml:space="preserve"> - </m:t>
        </m:r>
        <m:r>
          <w:rPr>
            <w:rFonts w:ascii="Cambria Math" w:hAnsi="Cambria Math"/>
            <w:sz w:val="20"/>
          </w:rPr>
          <m:t>F</m:t>
        </m:r>
        <m:r>
          <w:rPr>
            <w:rFonts w:ascii="Cambria Math" w:hAnsi="Cambria Math"/>
            <w:sz w:val="20"/>
          </w:rPr>
          <m:t>ᵢᵥ</m:t>
        </m:r>
        <m:r>
          <w:rPr>
            <w:rFonts w:ascii="Cambria Math" w:hAnsi="Cambria Math"/>
            <w:sz w:val="20"/>
          </w:rPr>
          <m:t xml:space="preserve"> </m:t>
        </m:r>
        <m:r>
          <w:rPr>
            <w:rFonts w:ascii="Cambria Math" w:hAnsi="Cambria Math"/>
            <w:sz w:val="20"/>
          </w:rPr>
          <m:t>ln</m:t>
        </m:r>
        <m:r>
          <w:rPr>
            <w:rFonts w:ascii="Cambria Math" w:hAnsi="Cambria Math"/>
            <w:sz w:val="20"/>
          </w:rPr>
          <m:t xml:space="preserve"> </m:t>
        </m:r>
        <m:r>
          <w:rPr>
            <w:rFonts w:ascii="Cambria Math" w:hAnsi="Cambria Math"/>
            <w:sz w:val="20"/>
          </w:rPr>
          <m:t>μ̂</m:t>
        </m:r>
        <m:r>
          <w:rPr>
            <w:rFonts w:ascii="Cambria Math" w:hAnsi="Cambria Math"/>
            <w:sz w:val="20"/>
          </w:rPr>
          <m:t>ᵢᵥ</m:t>
        </m:r>
        <m:r>
          <w:rPr>
            <w:rFonts w:ascii="Cambria Math" w:hAnsi="Cambria Math"/>
            <w:sz w:val="20"/>
          </w:rPr>
          <m:t xml:space="preserve">) + </m:t>
        </m:r>
        <m:r>
          <w:rPr>
            <w:rFonts w:ascii="Cambria Math" w:hAnsi="Cambria Math"/>
            <w:sz w:val="20"/>
          </w:rPr>
          <m:t>λL</m:t>
        </m:r>
        <m:r>
          <w:rPr>
            <w:rFonts w:ascii="Cambria Math" w:hAnsi="Cambria Math"/>
            <w:sz w:val="20"/>
          </w:rPr>
          <m:t>ₑₙ</m:t>
        </m:r>
        <m:r>
          <w:rPr>
            <w:rFonts w:ascii="Cambria Math" w:hAnsi="Cambria Math"/>
            <w:sz w:val="20"/>
          </w:rPr>
          <m:t>ᵥ</m:t>
        </m:r>
      </m:oMath>
      <w:r>
        <w:rPr>
          <w:sz w:val="20"/>
        </w:rPr>
        <w:tab/>
      </w:r>
      <w:r>
        <w:rPr>
          <w:sz w:val="20"/>
        </w:rPr>
        <w:t>（</w:t>
      </w:r>
      <w:r>
        <w:rPr>
          <w:sz w:val="20"/>
        </w:rPr>
        <w:t>3-15</w:t>
      </w:r>
      <w:r>
        <w:rPr>
          <w:sz w:val="20"/>
        </w:rPr>
        <w:t>）</w:t>
      </w:r>
    </w:p>
    <w:p w:rsidR="0021426D" w:rsidRDefault="00A661EE">
      <w:pPr>
        <w:keepLines/>
        <w:tabs>
          <w:tab w:val="center" w:pos="4195"/>
          <w:tab w:val="right" w:pos="8447"/>
        </w:tabs>
        <w:jc w:val="left"/>
      </w:pPr>
      <w:r>
        <w:tab/>
      </w:r>
      <m:oMath>
        <m:r>
          <w:rPr>
            <w:rFonts w:ascii="Cambria Math" w:hAnsi="Cambria Math"/>
            <w:sz w:val="20"/>
          </w:rPr>
          <m:t>E</m:t>
        </m:r>
        <m:r>
          <w:rPr>
            <w:rFonts w:ascii="Cambria Math" w:hAnsi="Cambria Math"/>
            <w:sz w:val="20"/>
          </w:rPr>
          <m:t>ᵢ</m:t>
        </m:r>
        <m:r>
          <w:rPr>
            <w:rFonts w:ascii="Cambria Math" w:hAnsi="Cambria Math"/>
            <w:sz w:val="20"/>
          </w:rPr>
          <m:t>⁰</m:t>
        </m:r>
        <m:r>
          <w:rPr>
            <w:rFonts w:ascii="Cambria Math" w:hAnsi="Cambria Math"/>
            <w:sz w:val="20"/>
          </w:rPr>
          <m:t xml:space="preserve"> = [</m:t>
        </m:r>
        <m:r>
          <w:rPr>
            <w:rFonts w:ascii="Cambria Math" w:hAnsi="Cambria Math"/>
            <w:sz w:val="20"/>
          </w:rPr>
          <m:t>D</m:t>
        </m:r>
        <m:r>
          <w:rPr>
            <w:rFonts w:ascii="Cambria Math" w:hAnsi="Cambria Math"/>
            <w:sz w:val="20"/>
          </w:rPr>
          <m:t>ᵢ</m:t>
        </m:r>
        <m:r>
          <w:rPr>
            <w:rFonts w:ascii="Cambria Math" w:hAnsi="Cambria Math"/>
            <w:sz w:val="20"/>
          </w:rPr>
          <m:t>⁰</m:t>
        </m:r>
        <m:r>
          <w:rPr>
            <w:rFonts w:ascii="Cambria Math" w:hAnsi="Cambria Math"/>
            <w:sz w:val="20"/>
          </w:rPr>
          <m:t>，</m:t>
        </m:r>
        <m:r>
          <w:rPr>
            <w:rFonts w:ascii="Cambria Math" w:hAnsi="Cambria Math"/>
            <w:sz w:val="20"/>
          </w:rPr>
          <m:t>A</m:t>
        </m:r>
        <m:r>
          <w:rPr>
            <w:rFonts w:ascii="Cambria Math" w:hAnsi="Cambria Math"/>
            <w:sz w:val="20"/>
          </w:rPr>
          <m:t>ᵢ</m:t>
        </m:r>
        <m:r>
          <w:rPr>
            <w:rFonts w:ascii="Cambria Math" w:hAnsi="Cambria Math"/>
            <w:sz w:val="20"/>
          </w:rPr>
          <m:t>⁰</m:t>
        </m:r>
        <m:r>
          <w:rPr>
            <w:rFonts w:ascii="Cambria Math" w:hAnsi="Cambria Math"/>
            <w:sz w:val="20"/>
          </w:rPr>
          <m:t>]</m:t>
        </m:r>
        <m:r>
          <w:rPr>
            <w:rFonts w:ascii="Cambria Math" w:hAnsi="Cambria Math"/>
            <w:sz w:val="20"/>
          </w:rPr>
          <m:t>，</m:t>
        </m:r>
        <m:r>
          <w:rPr>
            <w:rFonts w:ascii="Cambria Math" w:hAnsi="Cambria Math"/>
            <w:sz w:val="20"/>
          </w:rPr>
          <m:t>ΔE</m:t>
        </m:r>
        <m:r>
          <w:rPr>
            <w:rFonts w:ascii="Cambria Math" w:hAnsi="Cambria Math"/>
            <w:sz w:val="20"/>
          </w:rPr>
          <m:t>ᵢ</m:t>
        </m:r>
        <m:r>
          <w:rPr>
            <w:rFonts w:ascii="Cambria Math" w:hAnsi="Cambria Math"/>
            <w:sz w:val="20"/>
          </w:rPr>
          <m:t>ₜ</m:t>
        </m:r>
        <m:r>
          <w:rPr>
            <w:rFonts w:ascii="Cambria Math" w:hAnsi="Cambria Math"/>
            <w:sz w:val="20"/>
          </w:rPr>
          <m:t xml:space="preserve"> = </m:t>
        </m:r>
        <m:r>
          <w:rPr>
            <w:rFonts w:ascii="Cambria Math" w:hAnsi="Cambria Math"/>
            <w:sz w:val="20"/>
          </w:rPr>
          <m:t>E</m:t>
        </m:r>
        <m:r>
          <w:rPr>
            <w:rFonts w:ascii="Cambria Math" w:hAnsi="Cambria Math"/>
            <w:sz w:val="20"/>
          </w:rPr>
          <m:t>ᵢ</m:t>
        </m:r>
        <m:r>
          <w:rPr>
            <w:rFonts w:ascii="Cambria Math" w:hAnsi="Cambria Math"/>
            <w:sz w:val="20"/>
          </w:rPr>
          <m:t>ₜ</m:t>
        </m:r>
        <m:r>
          <w:rPr>
            <w:rFonts w:ascii="Cambria Math" w:hAnsi="Cambria Math"/>
            <w:sz w:val="20"/>
          </w:rPr>
          <m:t xml:space="preserve"> - </m:t>
        </m:r>
        <m:r>
          <w:rPr>
            <w:rFonts w:ascii="Cambria Math" w:hAnsi="Cambria Math"/>
            <w:sz w:val="20"/>
          </w:rPr>
          <m:t>E</m:t>
        </m:r>
        <m:r>
          <w:rPr>
            <w:rFonts w:ascii="Cambria Math" w:hAnsi="Cambria Math"/>
            <w:sz w:val="20"/>
          </w:rPr>
          <m:t>ᵢ</m:t>
        </m:r>
        <m:r>
          <w:rPr>
            <w:rFonts w:ascii="Cambria Math" w:hAnsi="Cambria Math"/>
            <w:sz w:val="20"/>
          </w:rPr>
          <m:t>⁰</m:t>
        </m:r>
      </m:oMath>
      <w:r>
        <w:rPr>
          <w:sz w:val="20"/>
        </w:rPr>
        <w:tab/>
      </w:r>
      <w:r>
        <w:rPr>
          <w:sz w:val="20"/>
        </w:rPr>
        <w:t>（</w:t>
      </w:r>
      <w:r>
        <w:rPr>
          <w:sz w:val="20"/>
        </w:rPr>
        <w:t>3-16</w:t>
      </w:r>
      <w:r>
        <w:rPr>
          <w:sz w:val="20"/>
        </w:rPr>
        <w:t>）</w:t>
      </w:r>
    </w:p>
    <w:p w:rsidR="0021426D" w:rsidRDefault="00A661EE">
      <w:pPr>
        <w:ind w:firstLine="480"/>
      </w:pPr>
      <w:r>
        <w:t>图修正</w:t>
      </w:r>
      <w:r>
        <w:t>g</w:t>
      </w:r>
      <w:r>
        <w:t>通过正的指数倍率接到重力基线，修正为零时回到基线。</w:t>
      </w:r>
      <w:r>
        <w:t>OD</w:t>
      </w:r>
      <w:r>
        <w:t>部分使用省略参数无关项的泊松准似然损失，独立环境标签损失校准围挡、通行和服务概念，</w:t>
      </w:r>
      <w:r>
        <w:t>λ</w:t>
      </w:r>
      <w:r>
        <w:t>控制训练权重。</w:t>
      </w:r>
      <w:r>
        <w:t>D</w:t>
      </w:r>
      <w:r>
        <w:t>与</w:t>
      </w:r>
      <w:r>
        <w:t>A</w:t>
      </w:r>
      <w:r>
        <w:t>分别输出扰动和服务方向，基期</w:t>
      </w:r>
      <w:r>
        <w:t>E⁰</w:t>
      </w:r>
      <w:r>
        <w:t>用于异质性，</w:t>
      </w:r>
      <w:r>
        <w:t>ΔE</w:t>
      </w:r>
      <w:r>
        <w:t>描述阶段变化。当前尚无可报告的</w:t>
      </w:r>
      <w:r>
        <w:t>PPML</w:t>
      </w:r>
      <w:r>
        <w:t>系数、标签精度或</w:t>
      </w:r>
      <w:r>
        <w:t>GNN</w:t>
      </w:r>
      <w:r>
        <w:t>增量，距离、普通</w:t>
      </w:r>
      <w:r>
        <w:t>GIS</w:t>
      </w:r>
      <w:r>
        <w:t>、重力及图像单模态基线将在共同留出项目上比较。</w:t>
      </w:r>
    </w:p>
    <w:p w:rsidR="0021426D" w:rsidRDefault="00A661EE">
      <w:pPr>
        <w:pStyle w:val="3"/>
        <w:keepNext/>
        <w:spacing w:before="120" w:after="120"/>
        <w:jc w:val="left"/>
      </w:pPr>
      <w:bookmarkStart w:id="40" w:name="_Toc242490951"/>
      <w:r>
        <w:t xml:space="preserve">3.5.5  </w:t>
      </w:r>
      <w:r>
        <w:t>基期暴露分层、队列</w:t>
      </w:r>
      <w:r>
        <w:t>ATT</w:t>
      </w:r>
      <w:r>
        <w:t>与动态汇总</w:t>
      </w:r>
      <w:bookmarkEnd w:id="40"/>
    </w:p>
    <w:p w:rsidR="0021426D" w:rsidRDefault="00A661EE">
      <w:pPr>
        <w:ind w:firstLine="480"/>
      </w:pPr>
      <w:r>
        <w:t>正式研究先确定基期住宅身份和目标事件队列</w:t>
      </w:r>
      <w:r>
        <w:t>G</w:t>
      </w:r>
      <w:r>
        <w:t>，再在暴露层</w:t>
      </w:r>
      <w:r>
        <w:t>b</w:t>
      </w:r>
      <w:r>
        <w:t>内定义同一时期处理与未处理潜在结果的平均差异。实际数据只观察一条结果路径，需要相应条件平行趋势、提前预期设定与有效对照构造反事实。</w:t>
      </w:r>
    </w:p>
    <w:p w:rsidR="0021426D" w:rsidRDefault="00A661EE">
      <w:pPr>
        <w:keepLines/>
        <w:tabs>
          <w:tab w:val="center" w:pos="4195"/>
          <w:tab w:val="right" w:pos="8447"/>
        </w:tabs>
        <w:jc w:val="left"/>
      </w:pPr>
      <w:r>
        <w:tab/>
      </w:r>
      <m:oMath>
        <m:r>
          <w:rPr>
            <w:rFonts w:ascii="Cambria Math" w:hAnsi="Cambria Math"/>
            <w:sz w:val="20"/>
          </w:rPr>
          <m:t>ATT</m:t>
        </m:r>
        <m:r>
          <w:rPr>
            <w:rFonts w:ascii="Cambria Math" w:hAnsi="Cambria Math"/>
            <w:sz w:val="20"/>
          </w:rPr>
          <m:t>ᵦ</m:t>
        </m:r>
        <m:r>
          <w:rPr>
            <w:rFonts w:ascii="Cambria Math" w:hAnsi="Cambria Math"/>
            <w:sz w:val="20"/>
          </w:rPr>
          <m:t>(</m:t>
        </m:r>
        <m:r>
          <w:rPr>
            <w:rFonts w:ascii="Cambria Math" w:hAnsi="Cambria Math"/>
            <w:sz w:val="20"/>
          </w:rPr>
          <m:t>g</m:t>
        </m:r>
        <m:r>
          <w:rPr>
            <w:rFonts w:ascii="Cambria Math" w:hAnsi="Cambria Math"/>
            <w:sz w:val="20"/>
          </w:rPr>
          <m:t>，</m:t>
        </m:r>
        <m:r>
          <w:rPr>
            <w:rFonts w:ascii="Cambria Math" w:hAnsi="Cambria Math"/>
            <w:sz w:val="20"/>
          </w:rPr>
          <m:t>t</m:t>
        </m:r>
        <m:r>
          <w:rPr>
            <w:rFonts w:ascii="Cambria Math" w:hAnsi="Cambria Math"/>
            <w:sz w:val="20"/>
          </w:rPr>
          <m:t xml:space="preserve">) = </m:t>
        </m:r>
        <m:r>
          <w:rPr>
            <w:rFonts w:ascii="Cambria Math" w:hAnsi="Cambria Math"/>
            <w:sz w:val="20"/>
          </w:rPr>
          <m:t>E</m:t>
        </m:r>
        <m:r>
          <w:rPr>
            <w:rFonts w:ascii="Cambria Math" w:hAnsi="Cambria Math"/>
            <w:sz w:val="20"/>
          </w:rPr>
          <m:t>[</m:t>
        </m:r>
        <m:r>
          <w:rPr>
            <w:rFonts w:ascii="Cambria Math" w:hAnsi="Cambria Math"/>
            <w:sz w:val="20"/>
          </w:rPr>
          <m:t>Y</m:t>
        </m:r>
        <m:r>
          <w:rPr>
            <w:rFonts w:ascii="Cambria Math" w:hAnsi="Cambria Math"/>
            <w:sz w:val="20"/>
          </w:rPr>
          <m:t>ₜ</m:t>
        </m:r>
        <m:r>
          <w:rPr>
            <w:rFonts w:ascii="Cambria Math" w:hAnsi="Cambria Math"/>
            <w:sz w:val="20"/>
          </w:rPr>
          <m:t xml:space="preserve">(1) - </m:t>
        </m:r>
        <m:r>
          <w:rPr>
            <w:rFonts w:ascii="Cambria Math" w:hAnsi="Cambria Math"/>
            <w:sz w:val="20"/>
          </w:rPr>
          <m:t>Y</m:t>
        </m:r>
        <m:r>
          <w:rPr>
            <w:rFonts w:ascii="Cambria Math" w:hAnsi="Cambria Math"/>
            <w:sz w:val="20"/>
          </w:rPr>
          <m:t>ₜ</m:t>
        </m:r>
        <m:r>
          <w:rPr>
            <w:rFonts w:ascii="Cambria Math" w:hAnsi="Cambria Math"/>
            <w:sz w:val="20"/>
          </w:rPr>
          <m:t xml:space="preserve">(0) | </m:t>
        </m:r>
        <m:r>
          <w:rPr>
            <w:rFonts w:ascii="Cambria Math" w:hAnsi="Cambria Math"/>
            <w:sz w:val="20"/>
          </w:rPr>
          <m:t>G</m:t>
        </m:r>
        <m:r>
          <w:rPr>
            <w:rFonts w:ascii="Cambria Math" w:hAnsi="Cambria Math"/>
            <w:sz w:val="20"/>
          </w:rPr>
          <m:t xml:space="preserve"> = </m:t>
        </m:r>
        <m:r>
          <w:rPr>
            <w:rFonts w:ascii="Cambria Math" w:hAnsi="Cambria Math"/>
            <w:sz w:val="20"/>
          </w:rPr>
          <m:t>g</m:t>
        </m:r>
        <m:r>
          <w:rPr>
            <w:rFonts w:ascii="Cambria Math" w:hAnsi="Cambria Math"/>
            <w:sz w:val="20"/>
          </w:rPr>
          <m:t>，</m:t>
        </m:r>
        <m:r>
          <w:rPr>
            <w:rFonts w:ascii="Cambria Math" w:hAnsi="Cambria Math"/>
            <w:sz w:val="20"/>
          </w:rPr>
          <m:t>E</m:t>
        </m:r>
        <m:r>
          <w:rPr>
            <w:rFonts w:ascii="Cambria Math" w:hAnsi="Cambria Math"/>
            <w:sz w:val="20"/>
          </w:rPr>
          <m:t>ᵢ</m:t>
        </m:r>
        <m:r>
          <w:rPr>
            <w:rFonts w:ascii="Cambria Math" w:hAnsi="Cambria Math"/>
            <w:sz w:val="20"/>
          </w:rPr>
          <m:t>⁰</m:t>
        </m:r>
        <m:r>
          <w:rPr>
            <w:rFonts w:ascii="Cambria Math" w:hAnsi="Cambria Math"/>
            <w:sz w:val="20"/>
          </w:rPr>
          <m:t xml:space="preserve"> ∈ </m:t>
        </m:r>
        <m:r>
          <w:rPr>
            <w:rFonts w:ascii="Cambria Math" w:hAnsi="Cambria Math"/>
            <w:sz w:val="20"/>
          </w:rPr>
          <m:t>b</m:t>
        </m:r>
        <m:r>
          <w:rPr>
            <w:rFonts w:ascii="Cambria Math" w:hAnsi="Cambria Math"/>
            <w:sz w:val="20"/>
          </w:rPr>
          <m:t>]</m:t>
        </m:r>
      </m:oMath>
      <w:r>
        <w:rPr>
          <w:sz w:val="20"/>
        </w:rPr>
        <w:tab/>
      </w:r>
      <w:r>
        <w:rPr>
          <w:sz w:val="20"/>
        </w:rPr>
        <w:t>（</w:t>
      </w:r>
      <w:r>
        <w:rPr>
          <w:sz w:val="20"/>
        </w:rPr>
        <w:t>3-17</w:t>
      </w:r>
      <w:r>
        <w:rPr>
          <w:sz w:val="20"/>
        </w:rPr>
        <w:t>）</w:t>
      </w:r>
    </w:p>
    <w:p w:rsidR="0021426D" w:rsidRDefault="00A661EE">
      <w:pPr>
        <w:keepLines/>
        <w:tabs>
          <w:tab w:val="center" w:pos="4195"/>
          <w:tab w:val="right" w:pos="8447"/>
        </w:tabs>
        <w:jc w:val="left"/>
      </w:pPr>
      <w:r>
        <w:tab/>
      </w:r>
      <m:oMath>
        <m:r>
          <w:rPr>
            <w:rFonts w:ascii="Cambria Math" w:hAnsi="Cambria Math"/>
            <w:sz w:val="20"/>
          </w:rPr>
          <m:t>Θ</m:t>
        </m:r>
        <m:r>
          <w:rPr>
            <w:rFonts w:ascii="Cambria Math" w:hAnsi="Cambria Math"/>
            <w:sz w:val="20"/>
          </w:rPr>
          <m:t>ᵦ</m:t>
        </m:r>
        <m:r>
          <w:rPr>
            <w:rFonts w:ascii="Cambria Math" w:hAnsi="Cambria Math"/>
            <w:sz w:val="20"/>
          </w:rPr>
          <m:t>(</m:t>
        </m:r>
        <m:r>
          <w:rPr>
            <w:rFonts w:ascii="Cambria Math" w:hAnsi="Cambria Math"/>
            <w:sz w:val="20"/>
          </w:rPr>
          <m:t>k</m:t>
        </m:r>
        <m:r>
          <w:rPr>
            <w:rFonts w:ascii="Cambria Math" w:hAnsi="Cambria Math"/>
            <w:sz w:val="20"/>
          </w:rPr>
          <m:t>) = ∑</m:t>
        </m:r>
        <m:r>
          <w:rPr>
            <w:rFonts w:ascii="Cambria Math" w:hAnsi="Cambria Math"/>
            <w:sz w:val="20"/>
          </w:rPr>
          <m:t>g</m:t>
        </m:r>
        <m:r>
          <w:rPr>
            <w:rFonts w:ascii="Cambria Math" w:hAnsi="Cambria Math"/>
            <w:sz w:val="20"/>
          </w:rPr>
          <m:t xml:space="preserve"> </m:t>
        </m:r>
        <m:r>
          <w:rPr>
            <w:rFonts w:ascii="Cambria Math" w:hAnsi="Cambria Math"/>
            <w:sz w:val="20"/>
          </w:rPr>
          <m:t>ωgkb</m:t>
        </m:r>
        <m:r>
          <w:rPr>
            <w:rFonts w:ascii="Cambria Math" w:hAnsi="Cambria Math"/>
            <w:sz w:val="20"/>
          </w:rPr>
          <m:t xml:space="preserve"> </m:t>
        </m:r>
        <m:r>
          <w:rPr>
            <w:rFonts w:ascii="Cambria Math" w:hAnsi="Cambria Math"/>
            <w:sz w:val="20"/>
          </w:rPr>
          <m:t>ATT</m:t>
        </m:r>
        <m:r>
          <w:rPr>
            <w:rFonts w:ascii="Cambria Math" w:hAnsi="Cambria Math"/>
            <w:sz w:val="20"/>
          </w:rPr>
          <m:t>ᵦ</m:t>
        </m:r>
        <m:r>
          <w:rPr>
            <w:rFonts w:ascii="Cambria Math" w:hAnsi="Cambria Math"/>
            <w:sz w:val="20"/>
          </w:rPr>
          <m:t>(</m:t>
        </m:r>
        <m:r>
          <w:rPr>
            <w:rFonts w:ascii="Cambria Math" w:hAnsi="Cambria Math"/>
            <w:sz w:val="20"/>
          </w:rPr>
          <m:t>g</m:t>
        </m:r>
        <m:r>
          <w:rPr>
            <w:rFonts w:ascii="Cambria Math" w:hAnsi="Cambria Math"/>
            <w:sz w:val="20"/>
          </w:rPr>
          <m:t>，</m:t>
        </m:r>
        <m:r>
          <w:rPr>
            <w:rFonts w:ascii="Cambria Math" w:hAnsi="Cambria Math"/>
            <w:sz w:val="20"/>
          </w:rPr>
          <m:t>g</m:t>
        </m:r>
        <m:r>
          <w:rPr>
            <w:rFonts w:ascii="Cambria Math" w:hAnsi="Cambria Math"/>
            <w:sz w:val="20"/>
          </w:rPr>
          <m:t>+</m:t>
        </m:r>
        <m:r>
          <w:rPr>
            <w:rFonts w:ascii="Cambria Math" w:hAnsi="Cambria Math"/>
            <w:sz w:val="20"/>
          </w:rPr>
          <m:t>k</m:t>
        </m:r>
        <m:r>
          <w:rPr>
            <w:rFonts w:ascii="Cambria Math" w:hAnsi="Cambria Math"/>
            <w:sz w:val="20"/>
          </w:rPr>
          <m:t>)</m:t>
        </m:r>
        <m:r>
          <w:rPr>
            <w:rFonts w:ascii="Cambria Math" w:hAnsi="Cambria Math"/>
            <w:sz w:val="20"/>
          </w:rPr>
          <m:t>，</m:t>
        </m:r>
        <m:r>
          <w:rPr>
            <w:rFonts w:ascii="Cambria Math" w:hAnsi="Cambria Math"/>
            <w:sz w:val="20"/>
          </w:rPr>
          <m:t>∑</m:t>
        </m:r>
        <m:r>
          <w:rPr>
            <w:rFonts w:ascii="Cambria Math" w:hAnsi="Cambria Math"/>
            <w:sz w:val="20"/>
          </w:rPr>
          <m:t>g</m:t>
        </m:r>
        <m:r>
          <w:rPr>
            <w:rFonts w:ascii="Cambria Math" w:hAnsi="Cambria Math"/>
            <w:sz w:val="20"/>
          </w:rPr>
          <m:t xml:space="preserve"> </m:t>
        </m:r>
        <m:r>
          <w:rPr>
            <w:rFonts w:ascii="Cambria Math" w:hAnsi="Cambria Math"/>
            <w:sz w:val="20"/>
          </w:rPr>
          <m:t>ωgkb</m:t>
        </m:r>
        <m:r>
          <w:rPr>
            <w:rFonts w:ascii="Cambria Math" w:hAnsi="Cambria Math"/>
            <w:sz w:val="20"/>
          </w:rPr>
          <m:t xml:space="preserve"> = 1</m:t>
        </m:r>
      </m:oMath>
      <w:r>
        <w:rPr>
          <w:sz w:val="20"/>
        </w:rPr>
        <w:tab/>
      </w:r>
      <w:r>
        <w:rPr>
          <w:sz w:val="20"/>
        </w:rPr>
        <w:t>（</w:t>
      </w:r>
      <w:r>
        <w:rPr>
          <w:sz w:val="20"/>
        </w:rPr>
        <w:t>3-18</w:t>
      </w:r>
      <w:r>
        <w:rPr>
          <w:sz w:val="20"/>
        </w:rPr>
        <w:t>）</w:t>
      </w:r>
    </w:p>
    <w:p w:rsidR="0021426D" w:rsidRDefault="00A661EE">
      <w:pPr>
        <w:keepLines/>
        <w:tabs>
          <w:tab w:val="center" w:pos="4195"/>
          <w:tab w:val="right" w:pos="8447"/>
        </w:tabs>
        <w:jc w:val="left"/>
      </w:pPr>
      <w:r>
        <w:tab/>
      </w:r>
      <m:oMath>
        <m:r>
          <w:rPr>
            <w:rFonts w:ascii="Cambria Math" w:hAnsi="Cambria Math"/>
            <w:sz w:val="20"/>
          </w:rPr>
          <m:t>ΔΘ</m:t>
        </m:r>
        <m:r>
          <w:rPr>
            <w:rFonts w:ascii="Cambria Math" w:hAnsi="Cambria Math"/>
            <w:sz w:val="20"/>
          </w:rPr>
          <m:t>(</m:t>
        </m:r>
        <m:r>
          <w:rPr>
            <w:rFonts w:ascii="Cambria Math" w:hAnsi="Cambria Math"/>
            <w:sz w:val="20"/>
          </w:rPr>
          <m:t>k</m:t>
        </m:r>
        <m:r>
          <w:rPr>
            <w:rFonts w:ascii="Cambria Math" w:hAnsi="Cambria Math"/>
            <w:sz w:val="20"/>
          </w:rPr>
          <m:t xml:space="preserve">) = </m:t>
        </m:r>
        <m:r>
          <w:rPr>
            <w:rFonts w:ascii="Cambria Math" w:hAnsi="Cambria Math"/>
            <w:sz w:val="20"/>
          </w:rPr>
          <m:t>Θ</m:t>
        </m:r>
        <m:r>
          <w:rPr>
            <w:rFonts w:ascii="Cambria Math" w:hAnsi="Cambria Math"/>
            <w:sz w:val="20"/>
          </w:rPr>
          <m:t>h</m:t>
        </m:r>
        <m:r>
          <w:rPr>
            <w:rFonts w:ascii="Cambria Math" w:hAnsi="Cambria Math"/>
            <w:sz w:val="20"/>
          </w:rPr>
          <m:t>ig</m:t>
        </m:r>
        <m:r>
          <w:rPr>
            <w:rFonts w:ascii="Cambria Math" w:hAnsi="Cambria Math"/>
            <w:sz w:val="20"/>
          </w:rPr>
          <m:t>h</m:t>
        </m:r>
        <m:r>
          <w:rPr>
            <w:rFonts w:ascii="Cambria Math" w:hAnsi="Cambria Math"/>
            <w:sz w:val="20"/>
          </w:rPr>
          <m:t>(</m:t>
        </m:r>
        <m:r>
          <w:rPr>
            <w:rFonts w:ascii="Cambria Math" w:hAnsi="Cambria Math"/>
            <w:sz w:val="20"/>
          </w:rPr>
          <m:t>k</m:t>
        </m:r>
        <m:r>
          <w:rPr>
            <w:rFonts w:ascii="Cambria Math" w:hAnsi="Cambria Math"/>
            <w:sz w:val="20"/>
          </w:rPr>
          <m:t xml:space="preserve">) - </m:t>
        </m:r>
        <m:r>
          <w:rPr>
            <w:rFonts w:ascii="Cambria Math" w:hAnsi="Cambria Math"/>
            <w:sz w:val="20"/>
          </w:rPr>
          <m:t>Θlow</m:t>
        </m:r>
        <m:r>
          <w:rPr>
            <w:rFonts w:ascii="Cambria Math" w:hAnsi="Cambria Math"/>
            <w:sz w:val="20"/>
          </w:rPr>
          <m:t>(</m:t>
        </m:r>
        <m:r>
          <w:rPr>
            <w:rFonts w:ascii="Cambria Math" w:hAnsi="Cambria Math"/>
            <w:sz w:val="20"/>
          </w:rPr>
          <m:t>k</m:t>
        </m:r>
        <m:r>
          <w:rPr>
            <w:rFonts w:ascii="Cambria Math" w:hAnsi="Cambria Math"/>
            <w:sz w:val="20"/>
          </w:rPr>
          <m:t>)</m:t>
        </m:r>
      </m:oMath>
      <w:r>
        <w:rPr>
          <w:sz w:val="20"/>
        </w:rPr>
        <w:tab/>
      </w:r>
      <w:r>
        <w:rPr>
          <w:sz w:val="20"/>
        </w:rPr>
        <w:t>（</w:t>
      </w:r>
      <w:r>
        <w:rPr>
          <w:sz w:val="20"/>
        </w:rPr>
        <w:t>3-19</w:t>
      </w:r>
      <w:r>
        <w:rPr>
          <w:sz w:val="20"/>
        </w:rPr>
        <w:t>）</w:t>
      </w:r>
    </w:p>
    <w:p w:rsidR="0021426D" w:rsidRDefault="00A661EE">
      <w:pPr>
        <w:ind w:firstLine="480"/>
      </w:pPr>
      <w:r>
        <w:t>k</w:t>
      </w:r>
      <w:r>
        <w:t>为相对事件期，</w:t>
      </w:r>
      <w:r>
        <w:t>ω</w:t>
      </w:r>
      <w:r>
        <w:t>是非负聚合权重。高低暴露层使用共同项目队列和观察窗口，比较同项目、相近距离住宅的路径差异。</w:t>
      </w:r>
      <w:r>
        <w:t>Θ</w:t>
      </w:r>
      <w:r>
        <w:rPr>
          <w:rFonts w:hint="eastAsia"/>
        </w:rPr>
        <w:t>为</w:t>
      </w:r>
      <w:r>
        <w:t>西塔，</w:t>
      </w:r>
      <w:r>
        <w:t>ω</w:t>
      </w:r>
      <w:r>
        <w:rPr>
          <w:rFonts w:hint="eastAsia"/>
        </w:rPr>
        <w:t>为</w:t>
      </w:r>
      <w:r>
        <w:t>欧米伽。对数效应聚合后用</w:t>
      </w:r>
      <w:r>
        <w:t>100</w:t>
      </w:r>
      <w:r>
        <w:t>［</w:t>
      </w:r>
      <w:r>
        <w:t>exp</w:t>
      </w:r>
      <w:r>
        <w:t>（效应）</w:t>
      </w:r>
      <w:r>
        <w:t>−</w:t>
      </w:r>
      <w:r>
        <w:t>1</w:t>
      </w:r>
      <w:r>
        <w:t>］换算比例变化；高低层差异首先是项目效应异质性，</w:t>
      </w:r>
      <w:r>
        <w:rPr>
          <w:rFonts w:hint="eastAsia"/>
        </w:rPr>
        <w:t>因此，</w:t>
      </w:r>
      <w:r>
        <w:t>将其解释为改变暴露本身的结构作用需要</w:t>
      </w:r>
      <w:r>
        <w:rPr>
          <w:rFonts w:hint="eastAsia"/>
        </w:rPr>
        <w:t>进行的</w:t>
      </w:r>
      <w:r>
        <w:t>额外识别设计。</w:t>
      </w:r>
    </w:p>
    <w:p w:rsidR="0021426D" w:rsidRDefault="00A661EE">
      <w:pPr>
        <w:ind w:firstLine="480"/>
      </w:pPr>
      <w:r>
        <w:t>当前实证仍使用翠竹和布心商圈代理。</w:t>
      </w:r>
      <w:r>
        <w:t>PPT</w:t>
      </w:r>
      <w:r>
        <w:t>开工前描述统计在表</w:t>
      </w:r>
      <w:r>
        <w:t>3-9</w:t>
      </w:r>
      <w:r>
        <w:t>，季度成交支持在表</w:t>
      </w:r>
      <w:r>
        <w:t>3-10</w:t>
      </w:r>
      <w:r>
        <w:t>，两列固定效应回归在表</w:t>
      </w:r>
      <w:r>
        <w:t>3-5</w:t>
      </w:r>
      <w:r>
        <w:t>，季度图在图</w:t>
      </w:r>
      <w:r>
        <w:t>3-2</w:t>
      </w:r>
      <w:r>
        <w:t>，敏感性及动态汇总在表</w:t>
      </w:r>
      <w:r>
        <w:t>3-11</w:t>
      </w:r>
      <w:r>
        <w:t>至表</w:t>
      </w:r>
      <w:r>
        <w:t>3-13</w:t>
      </w:r>
      <w:r>
        <w:t>；正式红线</w:t>
      </w:r>
      <w:r>
        <w:t>ATT</w:t>
      </w:r>
      <w:r>
        <w:rPr>
          <w:rFonts w:hint="eastAsia"/>
        </w:rPr>
        <w:t>将在之后进行</w:t>
      </w:r>
      <w:r>
        <w:t>空间连接。</w:t>
      </w:r>
    </w:p>
    <w:p w:rsidR="0021426D" w:rsidRDefault="00A661EE">
      <w:pPr>
        <w:keepNext/>
        <w:jc w:val="center"/>
      </w:pPr>
      <w:r>
        <w:rPr>
          <w:noProof/>
        </w:rPr>
        <w:lastRenderedPageBreak/>
        <w:drawing>
          <wp:inline distT="0" distB="0" distL="0" distR="0">
            <wp:extent cx="5399405" cy="3063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8"/>
                    <a:stretch>
                      <a:fillRect/>
                    </a:stretch>
                  </pic:blipFill>
                  <pic:spPr>
                    <a:xfrm>
                      <a:off x="0" y="0"/>
                      <a:ext cx="5400000" cy="3064000"/>
                    </a:xfrm>
                    <a:prstGeom prst="rect">
                      <a:avLst/>
                    </a:prstGeom>
                  </pic:spPr>
                </pic:pic>
              </a:graphicData>
            </a:graphic>
          </wp:inline>
        </w:drawing>
      </w:r>
    </w:p>
    <w:p w:rsidR="0021426D" w:rsidRDefault="00A661EE">
      <w:pPr>
        <w:keepNext/>
        <w:jc w:val="center"/>
      </w:pPr>
      <w:r>
        <w:t>图</w:t>
      </w:r>
      <w:r>
        <w:t xml:space="preserve">3-16  </w:t>
      </w:r>
      <w:r>
        <w:t>半年度事件研究与</w:t>
      </w:r>
      <w:r>
        <w:t>95</w:t>
      </w:r>
      <w:r>
        <w:t>％区间</w:t>
      </w:r>
    </w:p>
    <w:p w:rsidR="0021426D" w:rsidRDefault="00A661EE">
      <w:pPr>
        <w:ind w:firstLine="480"/>
      </w:pPr>
      <w:r>
        <w:t>来源：本项目真实成交半年度模型及系数文件。参照</w:t>
      </w:r>
      <w:r>
        <w:t>2019H2</w:t>
      </w:r>
      <w:r>
        <w:t>，</w:t>
      </w:r>
      <w:r>
        <w:t>2020H2</w:t>
      </w:r>
      <w:r>
        <w:t>为首个完整事后半年。模型实际重新估计，事件前联合检验</w:t>
      </w:r>
      <w:r>
        <w:t>F</w:t>
      </w:r>
      <w:r>
        <w:t>＝</w:t>
      </w:r>
      <w:r>
        <w:t>17.899</w:t>
      </w:r>
      <w:r>
        <w:t>，</w:t>
      </w:r>
      <w:r>
        <w:t>p</w:t>
      </w:r>
      <w:r>
        <w:t>约</w:t>
      </w:r>
      <w:r>
        <w:t>1.41×10⁻¹⁶</w:t>
      </w:r>
      <w:r>
        <w:t>。与季度诊断对照后，事件前差异仍然存在。</w:t>
      </w:r>
    </w:p>
    <w:p w:rsidR="0021426D" w:rsidRDefault="00A661EE">
      <w:pPr>
        <w:pStyle w:val="1"/>
        <w:keepNext/>
        <w:spacing w:before="240" w:after="192"/>
        <w:rPr>
          <w:rFonts w:hint="eastAsia"/>
        </w:rPr>
      </w:pPr>
      <w:bookmarkStart w:id="41" w:name="_Toc242490952"/>
      <w:r>
        <w:lastRenderedPageBreak/>
        <w:t xml:space="preserve">4  </w:t>
      </w:r>
      <w:r>
        <w:t>进度安排及预期目标</w:t>
      </w:r>
      <w:bookmarkEnd w:id="41"/>
    </w:p>
    <w:p w:rsidR="0021426D" w:rsidRDefault="00A661EE">
      <w:pPr>
        <w:pStyle w:val="2"/>
        <w:keepNext/>
        <w:spacing w:before="120" w:after="120"/>
        <w:ind w:left="600" w:hangingChars="200" w:hanging="600"/>
        <w:jc w:val="left"/>
        <w:rPr>
          <w:rFonts w:hint="eastAsia"/>
        </w:rPr>
      </w:pPr>
      <w:bookmarkStart w:id="42" w:name="_Toc242490953"/>
      <w:r>
        <w:t xml:space="preserve">4.1  </w:t>
      </w:r>
      <w:r>
        <w:t>进度安排</w:t>
      </w:r>
      <w:bookmarkEnd w:id="42"/>
    </w:p>
    <w:p w:rsidR="0021426D" w:rsidRDefault="00A661EE">
      <w:pPr>
        <w:ind w:firstLine="480"/>
      </w:pPr>
      <w:r>
        <w:t>2026</w:t>
      </w:r>
      <w:r>
        <w:t>年</w:t>
      </w:r>
      <w:r>
        <w:t>9</w:t>
      </w:r>
      <w:r>
        <w:t>月已开展文献阅读、选题凝练、真实成交来源核对和项目资料整理，初步建立木头龙与布心试点的事件及空间材料。</w:t>
      </w:r>
      <w:r>
        <w:t>2026</w:t>
      </w:r>
      <w:r>
        <w:t>年</w:t>
      </w:r>
      <w:r>
        <w:t>10</w:t>
      </w:r>
      <w:r>
        <w:t>月完成开题文本、答辩</w:t>
      </w:r>
      <w:r>
        <w:t>PPT</w:t>
      </w:r>
      <w:r>
        <w:t>与任务书同步，整理片区</w:t>
      </w:r>
      <w:r>
        <w:t>DID</w:t>
      </w:r>
      <w:r>
        <w:t>、描述性统计、事件前诊断、项目宗地和配套供给证据，并补充已有</w:t>
      </w:r>
      <w:r>
        <w:t>2024</w:t>
      </w:r>
      <w:r>
        <w:t>年记录的清理与后续采集方案。</w:t>
      </w:r>
    </w:p>
    <w:p w:rsidR="0021426D" w:rsidRDefault="00A661EE">
      <w:pPr>
        <w:ind w:firstLine="480"/>
      </w:pPr>
      <w:r>
        <w:t>2026</w:t>
      </w:r>
      <w:r>
        <w:t>年</w:t>
      </w:r>
      <w:r>
        <w:t>10</w:t>
      </w:r>
      <w:r>
        <w:t>月中旬至</w:t>
      </w:r>
      <w:r>
        <w:t>11</w:t>
      </w:r>
      <w:r>
        <w:t>月优先核定木头龙与布心一个分期的目标事件、红线地理配准和住宅坐标，形成基期身份、边界距离及季度成交支持。结合资料质量逐步扩展至罗湖区</w:t>
      </w:r>
      <w:r>
        <w:t>3</w:t>
      </w:r>
      <w:r>
        <w:t>至</w:t>
      </w:r>
      <w:r>
        <w:t>5</w:t>
      </w:r>
      <w:r>
        <w:t>个项目，并核对公告、实际施工、停复工、预售、交付和设施开放的阶段证据。</w:t>
      </w:r>
    </w:p>
    <w:p w:rsidR="0021426D" w:rsidRDefault="00A661EE">
      <w:pPr>
        <w:ind w:firstLineChars="200" w:firstLine="480"/>
      </w:pPr>
      <w:r>
        <w:t>2026</w:t>
      </w:r>
      <w:r>
        <w:t>年</w:t>
      </w:r>
      <w:r>
        <w:t>12</w:t>
      </w:r>
      <w:r>
        <w:t>月至</w:t>
      </w:r>
      <w:r>
        <w:t>2027</w:t>
      </w:r>
      <w:r>
        <w:t>年</w:t>
      </w:r>
      <w:r>
        <w:t>2</w:t>
      </w:r>
      <w:r>
        <w:t>月整理罗湖区项目与住宅面板，计算距离、路网和重力测度基线。以</w:t>
      </w:r>
      <w:r>
        <w:t>2022</w:t>
      </w:r>
      <w:r>
        <w:t>年</w:t>
      </w:r>
      <w:r>
        <w:t>OD</w:t>
      </w:r>
      <w:r>
        <w:t>进行联系模型的截面校准，并以事件前资料核定历史暴露，开展独立环境标注与项目留出验证。同步采集更长的成交序列，检查各队列的事件前后共同支持，形成中期材料。</w:t>
      </w:r>
    </w:p>
    <w:p w:rsidR="0021426D" w:rsidRDefault="00A661EE">
      <w:pPr>
        <w:ind w:firstLine="480"/>
      </w:pPr>
      <w:r>
        <w:t>2027</w:t>
      </w:r>
      <w:r>
        <w:t>年</w:t>
      </w:r>
      <w:r>
        <w:t>3</w:t>
      </w:r>
      <w:r>
        <w:t>月至</w:t>
      </w:r>
      <w:r>
        <w:t>4</w:t>
      </w:r>
      <w:r>
        <w:t>月在空间和时间支持充分的项目上估计队列</w:t>
      </w:r>
      <w:r>
        <w:t>ATT</w:t>
      </w:r>
      <w:r>
        <w:t>、动态路径、距离及项目类型差异，检验服务兑现与净供给通道，完成趋势、事件及比较组敏感性分析。</w:t>
      </w:r>
      <w:r>
        <w:t>2027</w:t>
      </w:r>
      <w:r>
        <w:t>年</w:t>
      </w:r>
      <w:r>
        <w:t>4</w:t>
      </w:r>
      <w:r>
        <w:t>月至</w:t>
      </w:r>
      <w:r>
        <w:t>6</w:t>
      </w:r>
      <w:r>
        <w:t>月完成论文、图表与材料，按学院通知安排送审、答辩和修改。正式论文优先完成罗湖区资料较完整的项目；深圳全市扩展仅作为核心工作完成后、数据与时间条件允许时的后续方向。</w:t>
      </w:r>
    </w:p>
    <w:p w:rsidR="0021426D" w:rsidRDefault="00A661EE">
      <w:pPr>
        <w:keepNext/>
        <w:jc w:val="center"/>
      </w:pPr>
      <w:r>
        <w:rPr>
          <w:noProof/>
        </w:rPr>
        <w:lastRenderedPageBreak/>
        <w:drawing>
          <wp:inline distT="0" distB="0" distL="0" distR="0">
            <wp:extent cx="5399405" cy="317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9"/>
                    <a:stretch>
                      <a:fillRect/>
                    </a:stretch>
                  </pic:blipFill>
                  <pic:spPr>
                    <a:xfrm>
                      <a:off x="0" y="0"/>
                      <a:ext cx="5400000" cy="3175127"/>
                    </a:xfrm>
                    <a:prstGeom prst="rect">
                      <a:avLst/>
                    </a:prstGeom>
                  </pic:spPr>
                </pic:pic>
              </a:graphicData>
            </a:graphic>
          </wp:inline>
        </w:drawing>
      </w:r>
    </w:p>
    <w:p w:rsidR="0021426D" w:rsidRDefault="00A661EE">
      <w:pPr>
        <w:keepNext/>
        <w:jc w:val="center"/>
      </w:pPr>
      <w:r>
        <w:t>图</w:t>
      </w:r>
      <w:r>
        <w:t xml:space="preserve">4-1  </w:t>
      </w:r>
      <w:r>
        <w:t>研究推进与后续工作安排</w:t>
      </w:r>
    </w:p>
    <w:p w:rsidR="0021426D" w:rsidRDefault="00A661EE">
      <w:pPr>
        <w:ind w:firstLine="480"/>
      </w:pPr>
      <w:r>
        <w:t>研究准备始于</w:t>
      </w:r>
      <w:r>
        <w:t>2026</w:t>
      </w:r>
      <w:r>
        <w:t>年</w:t>
      </w:r>
      <w:r>
        <w:t>9</w:t>
      </w:r>
      <w:r>
        <w:t>月。资料核定和住宅空间匹配先于正式项目估计，空间测度及机制扩展以数据支持和独立验证为前提。图中为计划时间窗口，具体中期检查、送审和答辩日期以学院通知为准。</w:t>
      </w:r>
    </w:p>
    <w:p w:rsidR="0021426D" w:rsidRDefault="00A661EE">
      <w:pPr>
        <w:pStyle w:val="2"/>
        <w:keepNext/>
        <w:spacing w:before="120" w:after="120"/>
        <w:jc w:val="left"/>
        <w:rPr>
          <w:rFonts w:hint="eastAsia"/>
        </w:rPr>
      </w:pPr>
      <w:bookmarkStart w:id="43" w:name="_Toc242490954"/>
      <w:r>
        <w:t xml:space="preserve">4.2  </w:t>
      </w:r>
      <w:r>
        <w:t>预期目标</w:t>
      </w:r>
      <w:bookmarkEnd w:id="43"/>
    </w:p>
    <w:p w:rsidR="0021426D" w:rsidRDefault="00A661EE">
      <w:pPr>
        <w:ind w:firstLine="480"/>
      </w:pPr>
      <w:r>
        <w:rPr>
          <w:rFonts w:hint="eastAsia"/>
        </w:rPr>
        <w:t>综上所述，我们</w:t>
      </w:r>
      <w:r>
        <w:t>预期形成包含项目分期、事件来源、拆除边界、开发主体、住宅成交与空间暴露的数据集。开题阶段已有片区代理回归和识别诊断，正式论文将以经核验的项目样本估计阶段性价格路径，报告区间、有效项目数与成交支持。</w:t>
      </w:r>
      <w:r>
        <w:rPr>
          <w:rFonts w:hint="eastAsia"/>
        </w:rPr>
        <w:t>另外，周边住宅获取的</w:t>
      </w:r>
      <w:r>
        <w:t>服务、供给及图学习贡献分别依据实际资料和估计结果评价，结论范围与可用项目及观察期保持一致。</w:t>
      </w:r>
    </w:p>
    <w:p w:rsidR="0021426D" w:rsidRDefault="00A661EE">
      <w:pPr>
        <w:pStyle w:val="1"/>
        <w:keepNext/>
        <w:spacing w:before="240" w:after="192"/>
        <w:rPr>
          <w:rFonts w:hint="eastAsia"/>
        </w:rPr>
      </w:pPr>
      <w:bookmarkStart w:id="44" w:name="_Toc242490955"/>
      <w:r>
        <w:lastRenderedPageBreak/>
        <w:t xml:space="preserve">5  </w:t>
      </w:r>
      <w:r>
        <w:t>已具备和所需的条件和经费</w:t>
      </w:r>
      <w:bookmarkEnd w:id="44"/>
    </w:p>
    <w:p w:rsidR="0021426D" w:rsidRDefault="00A661EE">
      <w:pPr>
        <w:pStyle w:val="2"/>
        <w:keepNext/>
        <w:spacing w:before="120" w:after="120"/>
        <w:jc w:val="left"/>
        <w:rPr>
          <w:rFonts w:hint="eastAsia"/>
        </w:rPr>
      </w:pPr>
      <w:bookmarkStart w:id="45" w:name="_Toc242490956"/>
      <w:r>
        <w:t xml:space="preserve">5.1  </w:t>
      </w:r>
      <w:r>
        <w:t>实验室条件和经费保障</w:t>
      </w:r>
      <w:bookmarkEnd w:id="45"/>
    </w:p>
    <w:p w:rsidR="0021426D" w:rsidRDefault="00A661EE">
      <w:pPr>
        <w:ind w:firstLine="480"/>
      </w:pPr>
      <w:r>
        <w:t>现有本地环境可以完成成交清理、公开资料归档、</w:t>
      </w:r>
      <w:r>
        <w:t>GIS</w:t>
      </w:r>
      <w:r>
        <w:t>处理与固定效应估计。真实成交文件、木头龙及布心官方图件、罗湖道路层、土地记录和部分影像已经分类保存，三条布心楼盘名称</w:t>
      </w:r>
      <w:r>
        <w:t>—</w:t>
      </w:r>
      <w:r>
        <w:t>宗地</w:t>
      </w:r>
      <w:r>
        <w:t>—</w:t>
      </w:r>
      <w:r>
        <w:t>开发主体连接得到交叉证据。现有空间文件仍需完成同名地物配准和住宅坐标核验，影像的历史覆盖与概念标注也需要逐项确认。全国土地数据用于项目身份和供地信息核对，与住房成交数据分别整理。</w:t>
      </w:r>
      <w:r>
        <w:br/>
      </w:r>
      <w:r>
        <w:rPr>
          <w:rFonts w:hint="eastAsia"/>
        </w:rPr>
        <w:t xml:space="preserve">    </w:t>
      </w:r>
      <w:r>
        <w:rPr>
          <w:rFonts w:hint="eastAsia"/>
        </w:rPr>
        <w:t>另外，本人已系统学习计量经济学、机器学习、大数据与社会感知、</w:t>
      </w:r>
      <w:r>
        <w:rPr>
          <w:rFonts w:hint="eastAsia"/>
        </w:rPr>
        <w:t>GIS</w:t>
      </w:r>
      <w:r>
        <w:rPr>
          <w:rFonts w:hint="eastAsia"/>
        </w:rPr>
        <w:t>空间分析等课程，卫星遥感图像、房产中介的挂牌数据与</w:t>
      </w:r>
      <w:r>
        <w:rPr>
          <w:rFonts w:hint="eastAsia"/>
        </w:rPr>
        <w:t>POI</w:t>
      </w:r>
      <w:r>
        <w:rPr>
          <w:rFonts w:hint="eastAsia"/>
        </w:rPr>
        <w:t>数据等在之前的课程中已从授课教师获取，如果不足，也可通过爬虫采集或者通过第三方渠道获取时序较准确的官方的授权数据。</w:t>
      </w:r>
    </w:p>
    <w:p w:rsidR="0021426D" w:rsidRDefault="00A661EE">
      <w:pPr>
        <w:pStyle w:val="2"/>
        <w:keepNext/>
        <w:spacing w:before="120" w:after="120"/>
        <w:jc w:val="left"/>
        <w:rPr>
          <w:rFonts w:hint="eastAsia"/>
        </w:rPr>
      </w:pPr>
      <w:bookmarkStart w:id="46" w:name="_Toc242490957"/>
      <w:r>
        <w:t xml:space="preserve">5.2  </w:t>
      </w:r>
      <w:r>
        <w:t>所需条件和经费</w:t>
      </w:r>
      <w:bookmarkEnd w:id="46"/>
    </w:p>
    <w:p w:rsidR="0021426D" w:rsidRDefault="00A661EE">
      <w:pPr>
        <w:ind w:firstLine="480"/>
      </w:pPr>
      <w:r>
        <w:rPr>
          <w:rFonts w:hint="eastAsia"/>
        </w:rPr>
        <w:t>根据以上每个部分的详细分析，我们</w:t>
      </w:r>
      <w:r>
        <w:t>后续资料需求集中于带明确坐标基准的拆除边界或测绘底图、可追溯的住宅位置、完整的后续成交，以及施工、交付和公共配套实际开放记录</w:t>
      </w:r>
      <w:r>
        <w:rPr>
          <w:rFonts w:hint="eastAsia"/>
        </w:rPr>
        <w:t>，</w:t>
      </w:r>
      <w:r>
        <w:rPr>
          <w:rFonts w:hint="eastAsia"/>
        </w:rPr>
        <w:t>从而补足数据缺口</w:t>
      </w:r>
      <w:r>
        <w:t>。</w:t>
      </w:r>
      <w:r>
        <w:rPr>
          <w:rFonts w:hint="eastAsia"/>
        </w:rPr>
        <w:t>另外，学院</w:t>
      </w:r>
      <w:r>
        <w:t>采购或采集</w:t>
      </w:r>
      <w:r>
        <w:rPr>
          <w:rFonts w:hint="eastAsia"/>
        </w:rPr>
        <w:t>的数据在处理</w:t>
      </w:r>
      <w:r>
        <w:t>前将</w:t>
      </w:r>
      <w:r>
        <w:rPr>
          <w:rFonts w:hint="eastAsia"/>
        </w:rPr>
        <w:t>进行清洗、去重和对地理坐标系统的纠偏，那么</w:t>
      </w:r>
      <w:r>
        <w:t>核对数据样例、价格口径、年份覆盖、更新频率及</w:t>
      </w:r>
      <w:r>
        <w:rPr>
          <w:rFonts w:hint="eastAsia"/>
        </w:rPr>
        <w:t>申请数据源的</w:t>
      </w:r>
      <w:r>
        <w:t>授权</w:t>
      </w:r>
      <w:r>
        <w:rPr>
          <w:rFonts w:hint="eastAsia"/>
        </w:rPr>
        <w:t>显得尤为重要。自然，需要的</w:t>
      </w:r>
      <w:r>
        <w:t>地图服务、数据采集和必要的计算资源费</w:t>
      </w:r>
      <w:r>
        <w:rPr>
          <w:rFonts w:hint="eastAsia"/>
        </w:rPr>
        <w:t>用</w:t>
      </w:r>
      <w:r>
        <w:rPr>
          <w:rFonts w:hint="eastAsia"/>
        </w:rPr>
        <w:t>则</w:t>
      </w:r>
      <w:r>
        <w:rPr>
          <w:rFonts w:hint="eastAsia"/>
        </w:rPr>
        <w:t>另行计算</w:t>
      </w:r>
      <w:r>
        <w:t>。</w:t>
      </w:r>
    </w:p>
    <w:p w:rsidR="0021426D" w:rsidRDefault="00A661EE">
      <w:pPr>
        <w:pStyle w:val="1"/>
        <w:keepNext/>
        <w:spacing w:before="240" w:after="192"/>
        <w:rPr>
          <w:rFonts w:hint="eastAsia"/>
        </w:rPr>
      </w:pPr>
      <w:bookmarkStart w:id="47" w:name="_Toc242490958"/>
      <w:r>
        <w:lastRenderedPageBreak/>
        <w:t xml:space="preserve">6  </w:t>
      </w:r>
      <w:r>
        <w:t>预计困难及解决方案</w:t>
      </w:r>
      <w:bookmarkEnd w:id="47"/>
    </w:p>
    <w:p w:rsidR="0021426D" w:rsidRDefault="00A661EE">
      <w:pPr>
        <w:pStyle w:val="2"/>
        <w:keepNext/>
        <w:spacing w:before="120" w:after="120"/>
        <w:jc w:val="left"/>
        <w:rPr>
          <w:rFonts w:hint="eastAsia"/>
        </w:rPr>
      </w:pPr>
      <w:bookmarkStart w:id="48" w:name="_Toc242490959"/>
      <w:r>
        <w:t xml:space="preserve">6.1  </w:t>
      </w:r>
      <w:r>
        <w:t>预计困难与技术难点</w:t>
      </w:r>
      <w:bookmarkEnd w:id="48"/>
    </w:p>
    <w:p w:rsidR="0021426D" w:rsidRDefault="00A661EE">
      <w:pPr>
        <w:ind w:firstLine="480"/>
      </w:pPr>
      <w:r>
        <w:t>研究困难集中在事件含义、空间测量和长期窗口三个方面。许可、集中活动、实际施工、交付和设施开放各自改变的信息不同，分期拆除范围与建设宗地也有不同边界。当前两个官方轮廓尚待地理配准，住宅位置还需独立核验；原始价格文件截至</w:t>
      </w:r>
      <w:r>
        <w:t>2024</w:t>
      </w:r>
      <w:r>
        <w:t>年</w:t>
      </w:r>
      <w:r>
        <w:t>4</w:t>
      </w:r>
      <w:r>
        <w:t>月</w:t>
      </w:r>
      <w:r>
        <w:t>25</w:t>
      </w:r>
      <w:r>
        <w:t>日，</w:t>
      </w:r>
      <w:r>
        <w:t>2025</w:t>
      </w:r>
      <w:r>
        <w:t>年配租后的价格观察缺失。已运行的片区比较还显示明显事件前走势差异，更新预期、共同片区冲击、其他项目和成交构成会影响当前系数的解释。</w:t>
      </w:r>
    </w:p>
    <w:p w:rsidR="0021426D" w:rsidRDefault="00A661EE">
      <w:pPr>
        <w:ind w:firstLine="480"/>
      </w:pPr>
      <w:r>
        <w:rPr>
          <w:rFonts w:hint="eastAsia"/>
        </w:rPr>
        <w:t>图像测量的难点在于表征是否真正对应本地环境，而不只是模型能否运行。围挡、入口、绿化与遮挡需由独立人工标签校验，编码器和标准化参数在训练项目内确定，随后冻结并用于留出项目。图测度拟与距离、路网、重力和图像单模态基线在同一验证集上比较，评价概念误差、联系拟合与跨项目稳定性。只有验证支持增量时，才将复杂测度纳入正式价格分析；否则保留可解释的简单空间基线。相关模型训练和增量比较尚未完成，不能将拟开展的验证写成已有结果。</w:t>
      </w:r>
    </w:p>
    <w:p w:rsidR="0021426D" w:rsidRDefault="00A661EE">
      <w:pPr>
        <w:pStyle w:val="2"/>
        <w:keepNext/>
        <w:spacing w:before="120" w:after="120"/>
        <w:jc w:val="left"/>
        <w:rPr>
          <w:rFonts w:hint="eastAsia"/>
        </w:rPr>
      </w:pPr>
      <w:bookmarkStart w:id="49" w:name="_Toc242490960"/>
      <w:r>
        <w:t xml:space="preserve">6.2  </w:t>
      </w:r>
      <w:r>
        <w:t>解决方案</w:t>
      </w:r>
      <w:bookmarkEnd w:id="49"/>
    </w:p>
    <w:p w:rsidR="0021426D" w:rsidRDefault="00A661EE">
      <w:pPr>
        <w:ind w:firstLine="480"/>
      </w:pPr>
      <w:r>
        <w:rPr>
          <w:rFonts w:hint="eastAsia"/>
        </w:rPr>
        <w:t>后续将从资料完整的分期推进，先由明确坐标基准和同名地物控制依据核定边界，再核验住宅基期身份及空间归属。价格数据按同一口径逐年接入，按日历季度检查零成交期、事前窗口和交付后随访。计量比较将同时呈现动态区间、事件前走势和比较组敏感性，并核定同期交通、学区及其他更新事件。服务按入口、准入、容量和真实开放日期测量，供给按用途与替代关系核对，分别解释长期收益兑现与竞争作用。</w:t>
      </w:r>
    </w:p>
    <w:p w:rsidR="0021426D" w:rsidRDefault="00A661EE">
      <w:pPr>
        <w:pStyle w:val="1"/>
        <w:keepNext/>
        <w:spacing w:before="240" w:after="192"/>
        <w:rPr>
          <w:rFonts w:hint="eastAsia"/>
        </w:rPr>
      </w:pPr>
      <w:bookmarkStart w:id="50" w:name="_Toc242490961"/>
      <w:r>
        <w:lastRenderedPageBreak/>
        <w:t>参考文献</w:t>
      </w:r>
      <w:bookmarkEnd w:id="50"/>
    </w:p>
    <w:p w:rsidR="0021426D" w:rsidRDefault="0021426D"/>
    <w:p w:rsidR="0021426D" w:rsidRDefault="00A661EE">
      <w:pPr>
        <w:keepLines/>
        <w:ind w:left="480" w:hanging="480"/>
        <w:jc w:val="left"/>
      </w:pPr>
      <w:r>
        <w:t>［</w:t>
      </w:r>
      <w:r>
        <w:t>1</w:t>
      </w:r>
      <w:r>
        <w:t>］</w:t>
      </w:r>
      <w:r>
        <w:t>ROSEN S</w:t>
      </w:r>
      <w:r>
        <w:t>．</w:t>
      </w:r>
      <w:r>
        <w:t>Hedonic Prices and Implicit Markets</w:t>
      </w:r>
      <w:r>
        <w:t>：</w:t>
      </w:r>
      <w:r>
        <w:t>Product Differentiation in Pure Competition</w:t>
      </w:r>
      <w:r>
        <w:t>［</w:t>
      </w:r>
      <w:r>
        <w:t>J</w:t>
      </w:r>
      <w:r>
        <w:t>］．</w:t>
      </w:r>
      <w:r>
        <w:t>Journal of Political Economy</w:t>
      </w:r>
      <w:r>
        <w:t>，</w:t>
      </w:r>
      <w:r>
        <w:t>1974</w:t>
      </w:r>
      <w:r>
        <w:t>，</w:t>
      </w:r>
      <w:r>
        <w:t>82</w:t>
      </w:r>
      <w:r>
        <w:t>（</w:t>
      </w:r>
      <w:r>
        <w:t>1</w:t>
      </w:r>
      <w:r>
        <w:t>）：</w:t>
      </w:r>
      <w:r>
        <w:t>34</w:t>
      </w:r>
      <w:r>
        <w:t>－</w:t>
      </w:r>
      <w:r>
        <w:t>55</w:t>
      </w:r>
      <w:r>
        <w:t>．</w:t>
      </w:r>
      <w:r>
        <w:t>DOI</w:t>
      </w:r>
      <w:r>
        <w:t>：</w:t>
      </w:r>
      <w:r>
        <w:t>10.1086/260169</w:t>
      </w:r>
      <w:r>
        <w:t>．</w:t>
      </w:r>
    </w:p>
    <w:p w:rsidR="0021426D" w:rsidRDefault="00A661EE">
      <w:pPr>
        <w:keepLines/>
        <w:ind w:left="480" w:hanging="480"/>
        <w:jc w:val="left"/>
      </w:pPr>
      <w:r>
        <w:t>［</w:t>
      </w:r>
      <w:r>
        <w:t>2</w:t>
      </w:r>
      <w:r>
        <w:t>］贾生华，温海珍．房地产特征价格模型的理论发展及其应用［</w:t>
      </w:r>
      <w:r>
        <w:t>J</w:t>
      </w:r>
      <w:r>
        <w:t>］．外国经济与管理，</w:t>
      </w:r>
      <w:r>
        <w:t>2004</w:t>
      </w:r>
      <w:r>
        <w:t>，</w:t>
      </w:r>
      <w:r>
        <w:t>26</w:t>
      </w:r>
      <w:r>
        <w:t>（</w:t>
      </w:r>
      <w:r>
        <w:t>5</w:t>
      </w:r>
      <w:r>
        <w:t>）：</w:t>
      </w:r>
      <w:r>
        <w:t>42</w:t>
      </w:r>
      <w:r>
        <w:t>－</w:t>
      </w:r>
      <w:r>
        <w:t>44</w:t>
      </w:r>
      <w:r>
        <w:t>．</w:t>
      </w:r>
    </w:p>
    <w:p w:rsidR="0021426D" w:rsidRDefault="00A661EE">
      <w:pPr>
        <w:keepLines/>
        <w:ind w:left="480" w:hanging="480"/>
        <w:jc w:val="left"/>
      </w:pPr>
      <w:r>
        <w:t>［</w:t>
      </w:r>
      <w:r>
        <w:t>3</w:t>
      </w:r>
      <w:r>
        <w:t>］刘昕．深圳城市更新中的政府角色与作为</w:t>
      </w:r>
      <w:r>
        <w:t>——</w:t>
      </w:r>
      <w:r>
        <w:t>从利益共享走向责任共担［</w:t>
      </w:r>
      <w:r>
        <w:t>J</w:t>
      </w:r>
      <w:r>
        <w:t>］．国际城市规划，</w:t>
      </w:r>
      <w:r>
        <w:t>2011</w:t>
      </w:r>
      <w:r>
        <w:t>，</w:t>
      </w:r>
      <w:r>
        <w:t>26</w:t>
      </w:r>
      <w:r>
        <w:t>（</w:t>
      </w:r>
      <w:r>
        <w:t>1</w:t>
      </w:r>
      <w:r>
        <w:t>）：</w:t>
      </w:r>
      <w:r>
        <w:t>41</w:t>
      </w:r>
      <w:r>
        <w:t>－</w:t>
      </w:r>
      <w:r>
        <w:t>45</w:t>
      </w:r>
      <w:r>
        <w:t>．</w:t>
      </w:r>
    </w:p>
    <w:p w:rsidR="0021426D" w:rsidRDefault="00A661EE">
      <w:pPr>
        <w:keepLines/>
        <w:ind w:left="480" w:hanging="480"/>
        <w:jc w:val="left"/>
      </w:pPr>
      <w:r>
        <w:t>［</w:t>
      </w:r>
      <w:r>
        <w:t>4</w:t>
      </w:r>
      <w:r>
        <w:t>］</w:t>
      </w:r>
      <w:r>
        <w:t>COLLINS WJ</w:t>
      </w:r>
      <w:r>
        <w:t>，</w:t>
      </w:r>
      <w:r>
        <w:t>SHESTER KL</w:t>
      </w:r>
      <w:r>
        <w:t>．</w:t>
      </w:r>
      <w:r>
        <w:t>Slum Clearance and Urban Renewal in the United States</w:t>
      </w:r>
      <w:r>
        <w:t>［</w:t>
      </w:r>
      <w:r>
        <w:t>J</w:t>
      </w:r>
      <w:r>
        <w:t>］．</w:t>
      </w:r>
      <w:r>
        <w:t>American Economic Journal</w:t>
      </w:r>
      <w:r>
        <w:t>：</w:t>
      </w:r>
      <w:r>
        <w:t>Applied Economics</w:t>
      </w:r>
      <w:r>
        <w:t>，</w:t>
      </w:r>
      <w:r>
        <w:t>2013</w:t>
      </w:r>
      <w:r>
        <w:t>，</w:t>
      </w:r>
      <w:r>
        <w:t>5</w:t>
      </w:r>
      <w:r>
        <w:t>（</w:t>
      </w:r>
      <w:r>
        <w:t>1</w:t>
      </w:r>
      <w:r>
        <w:t>）：</w:t>
      </w:r>
      <w:r>
        <w:t>239</w:t>
      </w:r>
      <w:r>
        <w:t>－</w:t>
      </w:r>
      <w:r>
        <w:t>273</w:t>
      </w:r>
      <w:r>
        <w:t>．</w:t>
      </w:r>
      <w:r>
        <w:t>DOI</w:t>
      </w:r>
      <w:r>
        <w:t>：</w:t>
      </w:r>
      <w:r>
        <w:t>10.1257/app.5.1.239</w:t>
      </w:r>
      <w:r>
        <w:t>．</w:t>
      </w:r>
    </w:p>
    <w:p w:rsidR="0021426D" w:rsidRDefault="00A661EE">
      <w:pPr>
        <w:keepLines/>
        <w:ind w:left="480" w:hanging="480"/>
        <w:jc w:val="left"/>
      </w:pPr>
      <w:r>
        <w:t>［</w:t>
      </w:r>
      <w:r>
        <w:t>5</w:t>
      </w:r>
      <w:r>
        <w:t>］李松林，刘修岩．城市更新的政策效应评估：以深圳市为例［</w:t>
      </w:r>
      <w:r>
        <w:t>J</w:t>
      </w:r>
      <w:r>
        <w:t>］．世界经济，</w:t>
      </w:r>
      <w:r>
        <w:t>2022</w:t>
      </w:r>
      <w:r>
        <w:t>，</w:t>
      </w:r>
      <w:r>
        <w:t>45</w:t>
      </w:r>
      <w:r>
        <w:t>（</w:t>
      </w:r>
      <w:r>
        <w:t>9</w:t>
      </w:r>
      <w:r>
        <w:t>）：</w:t>
      </w:r>
      <w:r>
        <w:t>179</w:t>
      </w:r>
      <w:r>
        <w:t>－</w:t>
      </w:r>
      <w:r>
        <w:t>203</w:t>
      </w:r>
      <w:r>
        <w:t>．</w:t>
      </w:r>
    </w:p>
    <w:p w:rsidR="0021426D" w:rsidRDefault="00A661EE">
      <w:pPr>
        <w:keepLines/>
        <w:ind w:left="480" w:hanging="480"/>
        <w:jc w:val="left"/>
      </w:pPr>
      <w:r>
        <w:t>［</w:t>
      </w:r>
      <w:r>
        <w:t>6</w:t>
      </w:r>
      <w:r>
        <w:t>］</w:t>
      </w:r>
      <w:r>
        <w:t>LI X</w:t>
      </w:r>
      <w:r>
        <w:t>，</w:t>
      </w:r>
      <w:r>
        <w:t>WANG J</w:t>
      </w:r>
      <w:r>
        <w:t>，</w:t>
      </w:r>
      <w:r>
        <w:t>LUO K</w:t>
      </w:r>
      <w:r>
        <w:t>，</w:t>
      </w:r>
      <w:r>
        <w:t>LIANG Y</w:t>
      </w:r>
      <w:r>
        <w:t>，</w:t>
      </w:r>
      <w:r>
        <w:t>WANG S</w:t>
      </w:r>
      <w:r>
        <w:t>．</w:t>
      </w:r>
      <w:r>
        <w:t>Exploring the Spillover Effects of Urban Renewal on Local House Prices Using Multi-Source Data and Machine Learning</w:t>
      </w:r>
      <w:r>
        <w:t>：</w:t>
      </w:r>
      <w:r>
        <w:t>The Case of Shenzhen</w:t>
      </w:r>
      <w:r>
        <w:t>，</w:t>
      </w:r>
      <w:r>
        <w:t>China</w:t>
      </w:r>
      <w:r>
        <w:t>［</w:t>
      </w:r>
      <w:r>
        <w:t>J</w:t>
      </w:r>
      <w:r>
        <w:t>］．</w:t>
      </w:r>
      <w:r>
        <w:t>Land</w:t>
      </w:r>
      <w:r>
        <w:t>，</w:t>
      </w:r>
      <w:r>
        <w:t>2022</w:t>
      </w:r>
      <w:r>
        <w:t>，</w:t>
      </w:r>
      <w:r>
        <w:t>11</w:t>
      </w:r>
      <w:r>
        <w:t>（</w:t>
      </w:r>
      <w:r>
        <w:t>9</w:t>
      </w:r>
      <w:r>
        <w:t>）：</w:t>
      </w:r>
      <w:r>
        <w:t>1439</w:t>
      </w:r>
      <w:r>
        <w:t>．</w:t>
      </w:r>
      <w:r>
        <w:t>DOI</w:t>
      </w:r>
      <w:r>
        <w:t>：</w:t>
      </w:r>
      <w:r>
        <w:t>10.3390/land11091439</w:t>
      </w:r>
      <w:r>
        <w:t>．</w:t>
      </w:r>
    </w:p>
    <w:p w:rsidR="0021426D" w:rsidRDefault="00A661EE">
      <w:pPr>
        <w:keepLines/>
        <w:ind w:left="480" w:hanging="480"/>
        <w:jc w:val="left"/>
      </w:pPr>
      <w:r>
        <w:t>［</w:t>
      </w:r>
      <w:r>
        <w:t>7</w:t>
      </w:r>
      <w:r>
        <w:t>］司南，朱永，阴劼．存量发展阶段城市更新模式对商品住宅价格的影响</w:t>
      </w:r>
      <w:r>
        <w:t>——</w:t>
      </w:r>
      <w:r>
        <w:t>基于深圳样本的实证研究［</w:t>
      </w:r>
      <w:r>
        <w:t>J</w:t>
      </w:r>
      <w:r>
        <w:t>］．北京大学学报（自然科学版），</w:t>
      </w:r>
      <w:r>
        <w:t>2020</w:t>
      </w:r>
      <w:r>
        <w:t>，</w:t>
      </w:r>
      <w:r>
        <w:t>56</w:t>
      </w:r>
      <w:r>
        <w:t>（</w:t>
      </w:r>
      <w:r>
        <w:t>5</w:t>
      </w:r>
      <w:r>
        <w:t>）：</w:t>
      </w:r>
      <w:r>
        <w:t>959</w:t>
      </w:r>
      <w:r>
        <w:t>－</w:t>
      </w:r>
      <w:r>
        <w:t>965</w:t>
      </w:r>
      <w:r>
        <w:t>．</w:t>
      </w:r>
      <w:r>
        <w:t>DOI</w:t>
      </w:r>
      <w:r>
        <w:t>：</w:t>
      </w:r>
      <w:r>
        <w:t>10.13209/j.0479-8023.2020.073</w:t>
      </w:r>
      <w:r>
        <w:t>．</w:t>
      </w:r>
    </w:p>
    <w:p w:rsidR="0021426D" w:rsidRDefault="00A661EE">
      <w:pPr>
        <w:keepLines/>
        <w:ind w:left="480" w:hanging="480"/>
        <w:jc w:val="left"/>
      </w:pPr>
      <w:r>
        <w:t>［</w:t>
      </w:r>
      <w:r>
        <w:t>8</w:t>
      </w:r>
      <w:r>
        <w:t>］黄忠华，徐卫丽，杜雪君．城市更新对房地产市场的时空影响效应：基于杭州市的实证研究［</w:t>
      </w:r>
      <w:r>
        <w:t>J</w:t>
      </w:r>
      <w:r>
        <w:t>］．地理科学，</w:t>
      </w:r>
      <w:r>
        <w:t>2019</w:t>
      </w:r>
      <w:r>
        <w:t>，</w:t>
      </w:r>
      <w:r>
        <w:t>39</w:t>
      </w:r>
      <w:r>
        <w:t>（</w:t>
      </w:r>
      <w:r>
        <w:t>11</w:t>
      </w:r>
      <w:r>
        <w:t>）：</w:t>
      </w:r>
      <w:r>
        <w:t>1757</w:t>
      </w:r>
      <w:r>
        <w:t>－</w:t>
      </w:r>
      <w:r>
        <w:t>1762</w:t>
      </w:r>
      <w:r>
        <w:t>．</w:t>
      </w:r>
      <w:r>
        <w:t>DOI</w:t>
      </w:r>
      <w:r>
        <w:t>：</w:t>
      </w:r>
      <w:r>
        <w:t>10.13249/j.cnki.sgs.2019.11.009</w:t>
      </w:r>
      <w:r>
        <w:t>．</w:t>
      </w:r>
    </w:p>
    <w:p w:rsidR="0021426D" w:rsidRDefault="00A661EE">
      <w:pPr>
        <w:keepLines/>
        <w:ind w:left="480" w:hanging="480"/>
        <w:jc w:val="left"/>
      </w:pPr>
      <w:r>
        <w:t>［</w:t>
      </w:r>
      <w:r>
        <w:t>9</w:t>
      </w:r>
      <w:r>
        <w:t>］</w:t>
      </w:r>
      <w:r>
        <w:t>PENG Y</w:t>
      </w:r>
      <w:r>
        <w:t>，</w:t>
      </w:r>
      <w:r>
        <w:t>TIAN C</w:t>
      </w:r>
      <w:r>
        <w:t>．</w:t>
      </w:r>
      <w:r>
        <w:t>Removal and reconstruction</w:t>
      </w:r>
      <w:r>
        <w:t>：</w:t>
      </w:r>
      <w:r>
        <w:t>Multi-period price effects on nearby housing from urban village redevelopment</w:t>
      </w:r>
      <w:r>
        <w:t>［</w:t>
      </w:r>
      <w:r>
        <w:t>J</w:t>
      </w:r>
      <w:r>
        <w:t>］．</w:t>
      </w:r>
      <w:r>
        <w:t>Land Use Policy</w:t>
      </w:r>
      <w:r>
        <w:t>，</w:t>
      </w:r>
      <w:r>
        <w:t>2022</w:t>
      </w:r>
      <w:r>
        <w:t>，</w:t>
      </w:r>
      <w:r>
        <w:t>113</w:t>
      </w:r>
      <w:r>
        <w:t>：</w:t>
      </w:r>
      <w:r>
        <w:t>105877</w:t>
      </w:r>
      <w:r>
        <w:t>．</w:t>
      </w:r>
      <w:r>
        <w:t>DOI</w:t>
      </w:r>
      <w:r>
        <w:t>：</w:t>
      </w:r>
      <w:r>
        <w:t>10.1016/j.landusepol.2021.105877</w:t>
      </w:r>
      <w:r>
        <w:t>．</w:t>
      </w:r>
    </w:p>
    <w:p w:rsidR="0021426D" w:rsidRDefault="00A661EE">
      <w:pPr>
        <w:keepLines/>
        <w:ind w:left="480" w:hanging="480"/>
        <w:jc w:val="left"/>
      </w:pPr>
      <w:r>
        <w:t>［</w:t>
      </w:r>
      <w:r>
        <w:t>10</w:t>
      </w:r>
      <w:r>
        <w:t>］</w:t>
      </w:r>
      <w:r>
        <w:t>WU SM</w:t>
      </w:r>
      <w:r>
        <w:t>，</w:t>
      </w:r>
      <w:r>
        <w:t>DENG Y</w:t>
      </w:r>
      <w:r>
        <w:t>．</w:t>
      </w:r>
      <w:r>
        <w:t>Typological differentiation and time-series effects of urban renewal on housing prices</w:t>
      </w:r>
      <w:r>
        <w:t>［</w:t>
      </w:r>
      <w:r>
        <w:t>J</w:t>
      </w:r>
      <w:r>
        <w:t>］．</w:t>
      </w:r>
      <w:r>
        <w:t>Cities</w:t>
      </w:r>
      <w:r>
        <w:t>，</w:t>
      </w:r>
      <w:r>
        <w:t>2024</w:t>
      </w:r>
      <w:r>
        <w:t>，</w:t>
      </w:r>
      <w:r>
        <w:t>145</w:t>
      </w:r>
      <w:r>
        <w:t>：</w:t>
      </w:r>
      <w:r>
        <w:t>104668</w:t>
      </w:r>
      <w:r>
        <w:t>．</w:t>
      </w:r>
      <w:r>
        <w:t>DOI</w:t>
      </w:r>
      <w:r>
        <w:t>：</w:t>
      </w:r>
      <w:r>
        <w:t>10.1016/j.cities.2023.104668</w:t>
      </w:r>
      <w:r>
        <w:t>．</w:t>
      </w:r>
    </w:p>
    <w:p w:rsidR="0021426D" w:rsidRDefault="00A661EE">
      <w:pPr>
        <w:keepLines/>
        <w:ind w:left="480" w:hanging="480"/>
        <w:jc w:val="left"/>
      </w:pPr>
      <w:r>
        <w:lastRenderedPageBreak/>
        <w:t>［</w:t>
      </w:r>
      <w:r>
        <w:t>11</w:t>
      </w:r>
      <w:r>
        <w:t>］</w:t>
      </w:r>
      <w:r>
        <w:t>QU W</w:t>
      </w:r>
      <w:r>
        <w:t>，</w:t>
      </w:r>
      <w:r>
        <w:t>LIU X</w:t>
      </w:r>
      <w:r>
        <w:t>，</w:t>
      </w:r>
      <w:r>
        <w:t>HUANG Y</w:t>
      </w:r>
      <w:r>
        <w:t>．</w:t>
      </w:r>
      <w:r>
        <w:t>Urban Village Redevelopment and Local Housing Market in China</w:t>
      </w:r>
      <w:r>
        <w:t>［</w:t>
      </w:r>
      <w:r>
        <w:t>J</w:t>
      </w:r>
      <w:r>
        <w:t>］．</w:t>
      </w:r>
      <w:r>
        <w:t>International Real Estate Review</w:t>
      </w:r>
      <w:r>
        <w:t>，</w:t>
      </w:r>
      <w:r>
        <w:t>2025</w:t>
      </w:r>
      <w:r>
        <w:t>，</w:t>
      </w:r>
      <w:r>
        <w:t>28</w:t>
      </w:r>
      <w:r>
        <w:t>（</w:t>
      </w:r>
      <w:r>
        <w:t>1</w:t>
      </w:r>
      <w:r>
        <w:t>）：</w:t>
      </w:r>
      <w:r>
        <w:t>21</w:t>
      </w:r>
      <w:r>
        <w:t>－</w:t>
      </w:r>
      <w:r>
        <w:t>51</w:t>
      </w:r>
      <w:r>
        <w:t>．</w:t>
      </w:r>
      <w:r>
        <w:t>DOI</w:t>
      </w:r>
      <w:r>
        <w:t>：</w:t>
      </w:r>
      <w:r>
        <w:t>10.53383/100396</w:t>
      </w:r>
      <w:r>
        <w:t>．</w:t>
      </w:r>
    </w:p>
    <w:p w:rsidR="0021426D" w:rsidRDefault="00A661EE">
      <w:pPr>
        <w:keepLines/>
        <w:ind w:left="480" w:hanging="480"/>
        <w:jc w:val="left"/>
      </w:pPr>
      <w:r>
        <w:t>［</w:t>
      </w:r>
      <w:r>
        <w:t>12</w:t>
      </w:r>
      <w:r>
        <w:t>］黄志基，石涛，易成栋，陈敬安．城市更新抑制房价快速增长了吗？</w:t>
      </w:r>
      <w:r>
        <w:t>——</w:t>
      </w:r>
      <w:r>
        <w:t>基于广东省</w:t>
      </w:r>
      <w:r>
        <w:t>“</w:t>
      </w:r>
      <w:r>
        <w:t>三旧</w:t>
      </w:r>
      <w:r>
        <w:t>”</w:t>
      </w:r>
      <w:r>
        <w:t>改造实践的实证研究［</w:t>
      </w:r>
      <w:r>
        <w:t>J</w:t>
      </w:r>
      <w:r>
        <w:t>］．中国管理科学，</w:t>
      </w:r>
      <w:r>
        <w:t>2024</w:t>
      </w:r>
      <w:r>
        <w:t>，</w:t>
      </w:r>
      <w:r>
        <w:t>32</w:t>
      </w:r>
      <w:r>
        <w:t>（</w:t>
      </w:r>
      <w:r>
        <w:t>11</w:t>
      </w:r>
      <w:r>
        <w:t>）：</w:t>
      </w:r>
      <w:r>
        <w:t>65</w:t>
      </w:r>
      <w:r>
        <w:t>－</w:t>
      </w:r>
      <w:r>
        <w:t>77</w:t>
      </w:r>
      <w:r>
        <w:t>．</w:t>
      </w:r>
      <w:r>
        <w:t>DOI</w:t>
      </w:r>
      <w:r>
        <w:t>：</w:t>
      </w:r>
      <w:r>
        <w:t>10.16381/j.cnki.issn1003-207x.2021.2442</w:t>
      </w:r>
      <w:r>
        <w:t>．</w:t>
      </w:r>
    </w:p>
    <w:p w:rsidR="0021426D" w:rsidRDefault="00A661EE">
      <w:pPr>
        <w:keepLines/>
        <w:ind w:left="480" w:hanging="480"/>
        <w:jc w:val="left"/>
      </w:pPr>
      <w:r>
        <w:t>［</w:t>
      </w:r>
      <w:r>
        <w:t>13</w:t>
      </w:r>
      <w:r>
        <w:t>］曾鹏，耿洁慧，杨彬，王雨，李晋轩．多维空间价值租差视角的城市更新路径识别与对比研究</w:t>
      </w:r>
      <w:r>
        <w:t>——</w:t>
      </w:r>
      <w:r>
        <w:t>以深圳市三个典型城中村为例［</w:t>
      </w:r>
      <w:r>
        <w:t>J</w:t>
      </w:r>
      <w:r>
        <w:t>］．城市学报，</w:t>
      </w:r>
      <w:r>
        <w:t>2025</w:t>
      </w:r>
      <w:r>
        <w:t>，</w:t>
      </w:r>
      <w:r>
        <w:t>3</w:t>
      </w:r>
      <w:r>
        <w:t>（</w:t>
      </w:r>
      <w:r>
        <w:t>2</w:t>
      </w:r>
      <w:r>
        <w:t>）：</w:t>
      </w:r>
      <w:r>
        <w:t>5</w:t>
      </w:r>
      <w:r>
        <w:t>－</w:t>
      </w:r>
      <w:r>
        <w:t>15</w:t>
      </w:r>
      <w:r>
        <w:t>．</w:t>
      </w:r>
    </w:p>
    <w:p w:rsidR="0021426D" w:rsidRDefault="00A661EE">
      <w:pPr>
        <w:keepLines/>
        <w:ind w:left="480" w:hanging="480"/>
        <w:jc w:val="left"/>
      </w:pPr>
      <w:r>
        <w:t>［</w:t>
      </w:r>
      <w:r>
        <w:t>14</w:t>
      </w:r>
      <w:r>
        <w:t>］</w:t>
      </w:r>
      <w:r>
        <w:t>LI L</w:t>
      </w:r>
      <w:r>
        <w:t>，</w:t>
      </w:r>
      <w:r>
        <w:t>BAO HXH</w:t>
      </w:r>
      <w:r>
        <w:t>，</w:t>
      </w:r>
      <w:r>
        <w:t>CHAU KW</w:t>
      </w:r>
      <w:r>
        <w:t>．</w:t>
      </w:r>
      <w:r>
        <w:t>On the Strategic Timing of Sales by Real Estate Developers</w:t>
      </w:r>
      <w:r>
        <w:t>：</w:t>
      </w:r>
      <w:r>
        <w:t>To Wait or To Presell</w:t>
      </w:r>
      <w:r>
        <w:t>？［</w:t>
      </w:r>
      <w:r>
        <w:t>J</w:t>
      </w:r>
      <w:r>
        <w:t>］．</w:t>
      </w:r>
      <w:r>
        <w:t>The Journal of Real Estate Finance and Economics</w:t>
      </w:r>
      <w:r>
        <w:t>，</w:t>
      </w:r>
      <w:r>
        <w:t>2023</w:t>
      </w:r>
      <w:r>
        <w:t>，</w:t>
      </w:r>
      <w:r>
        <w:t>66</w:t>
      </w:r>
      <w:r>
        <w:t>（</w:t>
      </w:r>
      <w:r>
        <w:t>1</w:t>
      </w:r>
      <w:r>
        <w:t>）：</w:t>
      </w:r>
      <w:r>
        <w:t>169</w:t>
      </w:r>
      <w:r>
        <w:t>－</w:t>
      </w:r>
      <w:r>
        <w:t>196</w:t>
      </w:r>
      <w:r>
        <w:t>．</w:t>
      </w:r>
      <w:r>
        <w:t>DOI</w:t>
      </w:r>
      <w:r>
        <w:t>：</w:t>
      </w:r>
      <w:r>
        <w:t>10.1007/s11146-022-09894-0</w:t>
      </w:r>
      <w:r>
        <w:t>．</w:t>
      </w:r>
    </w:p>
    <w:p w:rsidR="0021426D" w:rsidRDefault="00A661EE">
      <w:pPr>
        <w:keepLines/>
        <w:ind w:left="480" w:hanging="480"/>
        <w:jc w:val="left"/>
      </w:pPr>
      <w:r>
        <w:t>［</w:t>
      </w:r>
      <w:r>
        <w:t>15</w:t>
      </w:r>
      <w:r>
        <w:t>］</w:t>
      </w:r>
      <w:r>
        <w:t>LAW S</w:t>
      </w:r>
      <w:r>
        <w:t>，</w:t>
      </w:r>
      <w:r>
        <w:t>PAIGE B</w:t>
      </w:r>
      <w:r>
        <w:t>，</w:t>
      </w:r>
      <w:r>
        <w:t>RUSSELL C</w:t>
      </w:r>
      <w:r>
        <w:t>．</w:t>
      </w:r>
      <w:r>
        <w:t>Take a Look Around</w:t>
      </w:r>
      <w:r>
        <w:t>：</w:t>
      </w:r>
      <w:r>
        <w:t>Using Street View and Satellite Images to Estimate House Prices</w:t>
      </w:r>
      <w:r>
        <w:t>［</w:t>
      </w:r>
      <w:r>
        <w:t>J</w:t>
      </w:r>
      <w:r>
        <w:t>］．</w:t>
      </w:r>
      <w:r>
        <w:t>ACM Transactions on Intelligent Systems and Technology</w:t>
      </w:r>
      <w:r>
        <w:t>，</w:t>
      </w:r>
      <w:r>
        <w:t>2019</w:t>
      </w:r>
      <w:r>
        <w:t>，</w:t>
      </w:r>
      <w:r>
        <w:t>10</w:t>
      </w:r>
      <w:r>
        <w:t>（</w:t>
      </w:r>
      <w:r>
        <w:t>5</w:t>
      </w:r>
      <w:r>
        <w:t>）：</w:t>
      </w:r>
      <w:r>
        <w:t>54</w:t>
      </w:r>
      <w:r>
        <w:t>：</w:t>
      </w:r>
      <w:r>
        <w:t>1</w:t>
      </w:r>
      <w:r>
        <w:t>－</w:t>
      </w:r>
      <w:r>
        <w:t>54</w:t>
      </w:r>
      <w:r>
        <w:t>：</w:t>
      </w:r>
      <w:r>
        <w:t>19</w:t>
      </w:r>
      <w:r>
        <w:t>．</w:t>
      </w:r>
      <w:r>
        <w:t>DOI</w:t>
      </w:r>
      <w:r>
        <w:t>：</w:t>
      </w:r>
      <w:r>
        <w:t>10.1145/3342240</w:t>
      </w:r>
      <w:r>
        <w:t>．</w:t>
      </w:r>
    </w:p>
    <w:p w:rsidR="0021426D" w:rsidRDefault="00A661EE">
      <w:pPr>
        <w:keepLines/>
        <w:ind w:left="480" w:hanging="480"/>
        <w:jc w:val="left"/>
      </w:pPr>
      <w:r>
        <w:t>［</w:t>
      </w:r>
      <w:r>
        <w:t>16</w:t>
      </w:r>
      <w:r>
        <w:t>］</w:t>
      </w:r>
      <w:r>
        <w:t>BROWN CF</w:t>
      </w:r>
      <w:r>
        <w:t>，</w:t>
      </w:r>
      <w:r>
        <w:t>BRUMBY SP</w:t>
      </w:r>
      <w:r>
        <w:t>，</w:t>
      </w:r>
      <w:r>
        <w:t>GUZDER-WILLIAMS B</w:t>
      </w:r>
      <w:r>
        <w:t>，</w:t>
      </w:r>
      <w:r>
        <w:t>BIRCH T</w:t>
      </w:r>
      <w:r>
        <w:t>，</w:t>
      </w:r>
      <w:r>
        <w:t>HYDE SB</w:t>
      </w:r>
      <w:r>
        <w:t>，</w:t>
      </w:r>
      <w:r>
        <w:t>MAZZARIELLO J</w:t>
      </w:r>
      <w:r>
        <w:t>，</w:t>
      </w:r>
      <w:r>
        <w:t>CZERWINSKI W</w:t>
      </w:r>
      <w:r>
        <w:t>，</w:t>
      </w:r>
      <w:r>
        <w:t>PASQUARELLA VJ</w:t>
      </w:r>
      <w:r>
        <w:t>，</w:t>
      </w:r>
      <w:r>
        <w:t>HAERTEL R</w:t>
      </w:r>
      <w:r>
        <w:t>，</w:t>
      </w:r>
      <w:r>
        <w:t>ILYUSHCHENKO S</w:t>
      </w:r>
      <w:r>
        <w:t>，</w:t>
      </w:r>
      <w:r>
        <w:t>SCHWEHR K</w:t>
      </w:r>
      <w:r>
        <w:t>，</w:t>
      </w:r>
      <w:r>
        <w:t>WEISSE M</w:t>
      </w:r>
      <w:r>
        <w:t>，</w:t>
      </w:r>
      <w:r>
        <w:t>STOLLE F</w:t>
      </w:r>
      <w:r>
        <w:t>，</w:t>
      </w:r>
      <w:r>
        <w:t>HANSON C</w:t>
      </w:r>
      <w:r>
        <w:t>，</w:t>
      </w:r>
      <w:r>
        <w:t>GUINAN O</w:t>
      </w:r>
      <w:r>
        <w:t>，</w:t>
      </w:r>
      <w:r>
        <w:t>MOORE R</w:t>
      </w:r>
      <w:r>
        <w:t>，</w:t>
      </w:r>
      <w:r>
        <w:t>TAIT AM</w:t>
      </w:r>
      <w:r>
        <w:t>．</w:t>
      </w:r>
      <w:r>
        <w:t>Dynamic World</w:t>
      </w:r>
      <w:r>
        <w:t>，</w:t>
      </w:r>
      <w:r>
        <w:t>Near real-time global 10 m land use land cover mapping</w:t>
      </w:r>
      <w:r>
        <w:t>［</w:t>
      </w:r>
      <w:r>
        <w:t>J</w:t>
      </w:r>
      <w:r>
        <w:t>］．</w:t>
      </w:r>
      <w:r>
        <w:t>Scientific Data</w:t>
      </w:r>
      <w:r>
        <w:t>，</w:t>
      </w:r>
      <w:r>
        <w:t>2022</w:t>
      </w:r>
      <w:r>
        <w:t>，</w:t>
      </w:r>
      <w:r>
        <w:t>9</w:t>
      </w:r>
      <w:r>
        <w:t>：</w:t>
      </w:r>
      <w:r>
        <w:t>251</w:t>
      </w:r>
      <w:r>
        <w:t>．</w:t>
      </w:r>
      <w:r>
        <w:t>DOI</w:t>
      </w:r>
      <w:r>
        <w:t>：</w:t>
      </w:r>
      <w:r>
        <w:t>10.1038/s41597-022-01307-4</w:t>
      </w:r>
      <w:r>
        <w:t>．</w:t>
      </w:r>
    </w:p>
    <w:p w:rsidR="0021426D" w:rsidRDefault="00A661EE">
      <w:pPr>
        <w:keepLines/>
        <w:ind w:left="480" w:hanging="480"/>
        <w:jc w:val="left"/>
      </w:pPr>
      <w:r>
        <w:t>［</w:t>
      </w:r>
      <w:r>
        <w:t>17</w:t>
      </w:r>
      <w:r>
        <w:t>］</w:t>
      </w:r>
      <w:r>
        <w:t>CALLAWAY B</w:t>
      </w:r>
      <w:r>
        <w:t>，</w:t>
      </w:r>
      <w:r>
        <w:t>SANT’ANNA PHC</w:t>
      </w:r>
      <w:r>
        <w:t>．</w:t>
      </w:r>
      <w:r>
        <w:t>Difference-in-Differences with multiple time periods</w:t>
      </w:r>
      <w:r>
        <w:t>［</w:t>
      </w:r>
      <w:r>
        <w:t>J</w:t>
      </w:r>
      <w:r>
        <w:t>］．</w:t>
      </w:r>
      <w:r>
        <w:t>Journal of Econometrics</w:t>
      </w:r>
      <w:r>
        <w:t>，</w:t>
      </w:r>
      <w:r>
        <w:t>2021</w:t>
      </w:r>
      <w:r>
        <w:t>，</w:t>
      </w:r>
      <w:r>
        <w:t>225</w:t>
      </w:r>
      <w:r>
        <w:t>（</w:t>
      </w:r>
      <w:r>
        <w:t>2</w:t>
      </w:r>
      <w:r>
        <w:t>）：</w:t>
      </w:r>
      <w:r>
        <w:t>200</w:t>
      </w:r>
      <w:r>
        <w:t>－</w:t>
      </w:r>
      <w:r>
        <w:t>230</w:t>
      </w:r>
      <w:r>
        <w:t>．</w:t>
      </w:r>
      <w:r>
        <w:t>DOI</w:t>
      </w:r>
      <w:r>
        <w:t>：</w:t>
      </w:r>
      <w:r>
        <w:t>10.1016/j.jeconom.2020.12.001</w:t>
      </w:r>
      <w:r>
        <w:t>．</w:t>
      </w:r>
    </w:p>
    <w:p w:rsidR="0021426D" w:rsidRDefault="00A661EE">
      <w:pPr>
        <w:keepLines/>
        <w:ind w:left="480" w:hanging="480"/>
        <w:jc w:val="left"/>
      </w:pPr>
      <w:r>
        <w:t>［</w:t>
      </w:r>
      <w:r>
        <w:t>18</w:t>
      </w:r>
      <w:r>
        <w:t>］</w:t>
      </w:r>
      <w:r>
        <w:t>SUN L</w:t>
      </w:r>
      <w:r>
        <w:t>，</w:t>
      </w:r>
      <w:r>
        <w:t>ABRAHAM S</w:t>
      </w:r>
      <w:r>
        <w:t>．</w:t>
      </w:r>
      <w:r>
        <w:t>Estimating dynamic treatment effects in event studies with heterogeneous treatment effects</w:t>
      </w:r>
      <w:r>
        <w:t>［</w:t>
      </w:r>
      <w:r>
        <w:t>J</w:t>
      </w:r>
      <w:r>
        <w:t>］．</w:t>
      </w:r>
      <w:r>
        <w:t>Journal of Econometrics</w:t>
      </w:r>
      <w:r>
        <w:t>，</w:t>
      </w:r>
      <w:r>
        <w:t>2021</w:t>
      </w:r>
      <w:r>
        <w:t>，</w:t>
      </w:r>
      <w:r>
        <w:t>225</w:t>
      </w:r>
      <w:r>
        <w:t>（</w:t>
      </w:r>
      <w:r>
        <w:t>2</w:t>
      </w:r>
      <w:r>
        <w:t>）：</w:t>
      </w:r>
      <w:r>
        <w:t>175</w:t>
      </w:r>
      <w:r>
        <w:t>－</w:t>
      </w:r>
      <w:r>
        <w:t>199</w:t>
      </w:r>
      <w:r>
        <w:t>．</w:t>
      </w:r>
      <w:r>
        <w:t>DOI</w:t>
      </w:r>
      <w:r>
        <w:t>：</w:t>
      </w:r>
      <w:r>
        <w:t>10.1016/j.jeconom.2020.09.006</w:t>
      </w:r>
      <w:r>
        <w:t>．</w:t>
      </w:r>
    </w:p>
    <w:p w:rsidR="0021426D" w:rsidRDefault="00A661EE">
      <w:pPr>
        <w:keepLines/>
        <w:ind w:left="480" w:hanging="480"/>
        <w:jc w:val="left"/>
      </w:pPr>
      <w:r>
        <w:t>［</w:t>
      </w:r>
      <w:r>
        <w:t>19</w:t>
      </w:r>
      <w:r>
        <w:t>］</w:t>
      </w:r>
      <w:r>
        <w:t>GOODMAN-BACON A</w:t>
      </w:r>
      <w:r>
        <w:t>．</w:t>
      </w:r>
      <w:r>
        <w:t>Difference-in-differences with variation in treatment timing</w:t>
      </w:r>
      <w:r>
        <w:t>［</w:t>
      </w:r>
      <w:r>
        <w:t>J</w:t>
      </w:r>
      <w:r>
        <w:t>］．</w:t>
      </w:r>
      <w:r>
        <w:t>Journal of Econometrics</w:t>
      </w:r>
      <w:r>
        <w:t>，</w:t>
      </w:r>
      <w:r>
        <w:t>2021</w:t>
      </w:r>
      <w:r>
        <w:t>，</w:t>
      </w:r>
      <w:r>
        <w:t>225</w:t>
      </w:r>
      <w:r>
        <w:t>（</w:t>
      </w:r>
      <w:r>
        <w:t>2</w:t>
      </w:r>
      <w:r>
        <w:t>）：</w:t>
      </w:r>
      <w:r>
        <w:t>254</w:t>
      </w:r>
      <w:r>
        <w:t>－</w:t>
      </w:r>
      <w:r>
        <w:t>277</w:t>
      </w:r>
      <w:r>
        <w:t>．</w:t>
      </w:r>
      <w:r>
        <w:t>DOI</w:t>
      </w:r>
      <w:r>
        <w:t>：</w:t>
      </w:r>
      <w:r>
        <w:t>10.1016/j.jeconom.2021.03.014</w:t>
      </w:r>
      <w:r>
        <w:t>．</w:t>
      </w:r>
    </w:p>
    <w:p w:rsidR="0021426D" w:rsidRDefault="00A661EE">
      <w:pPr>
        <w:keepLines/>
        <w:ind w:left="480" w:hanging="480"/>
        <w:jc w:val="left"/>
      </w:pPr>
      <w:r>
        <w:lastRenderedPageBreak/>
        <w:t>［</w:t>
      </w:r>
      <w:r>
        <w:t>20</w:t>
      </w:r>
      <w:r>
        <w:t>］</w:t>
      </w:r>
      <w:r>
        <w:t>ROTH J</w:t>
      </w:r>
      <w:r>
        <w:t>，</w:t>
      </w:r>
      <w:r>
        <w:t>SANT’ANNA PHC</w:t>
      </w:r>
      <w:r>
        <w:t>，</w:t>
      </w:r>
      <w:r>
        <w:t>BILINSKI A</w:t>
      </w:r>
      <w:r>
        <w:t>，</w:t>
      </w:r>
      <w:r>
        <w:t>POE J</w:t>
      </w:r>
      <w:r>
        <w:t>．</w:t>
      </w:r>
      <w:r>
        <w:t>What’s trending in difference-in-differences</w:t>
      </w:r>
      <w:r>
        <w:t>？</w:t>
      </w:r>
      <w:r>
        <w:t>A synthesis of the recent econometrics literature</w:t>
      </w:r>
      <w:r>
        <w:t>［</w:t>
      </w:r>
      <w:r>
        <w:t>J</w:t>
      </w:r>
      <w:r>
        <w:t>］．</w:t>
      </w:r>
      <w:r>
        <w:t>Journal of Econometrics</w:t>
      </w:r>
      <w:r>
        <w:t>，</w:t>
      </w:r>
      <w:r>
        <w:t>2023</w:t>
      </w:r>
      <w:r>
        <w:t>，</w:t>
      </w:r>
      <w:r>
        <w:t>235</w:t>
      </w:r>
      <w:r>
        <w:t>（</w:t>
      </w:r>
      <w:r>
        <w:t>2</w:t>
      </w:r>
      <w:r>
        <w:t>）：</w:t>
      </w:r>
      <w:r>
        <w:t>2218</w:t>
      </w:r>
      <w:r>
        <w:t>－</w:t>
      </w:r>
      <w:r>
        <w:t>2244</w:t>
      </w:r>
      <w:r>
        <w:t>．</w:t>
      </w:r>
      <w:r>
        <w:t>DOI</w:t>
      </w:r>
      <w:r>
        <w:t>：</w:t>
      </w:r>
      <w:r>
        <w:t>10.1016/j.jeconom.2023.03.008</w:t>
      </w:r>
      <w:r>
        <w:t>．</w:t>
      </w:r>
    </w:p>
    <w:p w:rsidR="0021426D" w:rsidRDefault="00A661EE">
      <w:pPr>
        <w:keepLines/>
        <w:ind w:left="480" w:hanging="480"/>
        <w:jc w:val="left"/>
      </w:pPr>
      <w:r>
        <w:t>［</w:t>
      </w:r>
      <w:r>
        <w:t>21</w:t>
      </w:r>
      <w:r>
        <w:t>］</w:t>
      </w:r>
      <w:r>
        <w:t>RAMBACHAN A</w:t>
      </w:r>
      <w:r>
        <w:t>，</w:t>
      </w:r>
      <w:r>
        <w:t>ROTH J</w:t>
      </w:r>
      <w:r>
        <w:t>．</w:t>
      </w:r>
      <w:r>
        <w:t>A More Credible Approach to Parallel Trends</w:t>
      </w:r>
      <w:r>
        <w:t>［</w:t>
      </w:r>
      <w:r>
        <w:t>J</w:t>
      </w:r>
      <w:r>
        <w:t>］．</w:t>
      </w:r>
      <w:r>
        <w:t>The Review of Economic Studies</w:t>
      </w:r>
      <w:r>
        <w:t>，</w:t>
      </w:r>
      <w:r>
        <w:t>2023</w:t>
      </w:r>
      <w:r>
        <w:t>，</w:t>
      </w:r>
      <w:r>
        <w:t>90</w:t>
      </w:r>
      <w:r>
        <w:t>（</w:t>
      </w:r>
      <w:r>
        <w:t>5</w:t>
      </w:r>
      <w:r>
        <w:t>）：</w:t>
      </w:r>
      <w:r>
        <w:t>2555</w:t>
      </w:r>
      <w:r>
        <w:t>－</w:t>
      </w:r>
      <w:r>
        <w:t>2591</w:t>
      </w:r>
      <w:r>
        <w:t>．</w:t>
      </w:r>
      <w:r>
        <w:t>DOI</w:t>
      </w:r>
      <w:r>
        <w:t>：</w:t>
      </w:r>
      <w:r>
        <w:t>10.1093/restud/rdad018</w:t>
      </w:r>
      <w:r>
        <w:t>．</w:t>
      </w:r>
    </w:p>
    <w:p w:rsidR="0021426D" w:rsidRDefault="00A661EE">
      <w:pPr>
        <w:keepLines/>
        <w:ind w:left="480" w:hanging="480"/>
        <w:jc w:val="left"/>
      </w:pPr>
      <w:r>
        <w:t>［</w:t>
      </w:r>
      <w:r>
        <w:t>22</w:t>
      </w:r>
      <w:r>
        <w:t>］</w:t>
      </w:r>
      <w:r>
        <w:t>BORUSYAK K</w:t>
      </w:r>
      <w:r>
        <w:t>，</w:t>
      </w:r>
      <w:r>
        <w:t>JARAVEL X</w:t>
      </w:r>
      <w:r>
        <w:t>，</w:t>
      </w:r>
      <w:r>
        <w:t>SPIESS J</w:t>
      </w:r>
      <w:r>
        <w:t>．</w:t>
      </w:r>
      <w:r>
        <w:t>Revisiting Event-Study Designs</w:t>
      </w:r>
      <w:r>
        <w:t>：</w:t>
      </w:r>
      <w:r>
        <w:t>Robust and Efficient Estimation</w:t>
      </w:r>
      <w:r>
        <w:t>［</w:t>
      </w:r>
      <w:r>
        <w:t>J</w:t>
      </w:r>
      <w:r>
        <w:t>］．</w:t>
      </w:r>
      <w:r>
        <w:t>The Review of Economic Studies</w:t>
      </w:r>
      <w:r>
        <w:t>，</w:t>
      </w:r>
      <w:r>
        <w:t>2024</w:t>
      </w:r>
      <w:r>
        <w:t>，</w:t>
      </w:r>
      <w:r>
        <w:t>91</w:t>
      </w:r>
      <w:r>
        <w:t>（</w:t>
      </w:r>
      <w:r>
        <w:t>6</w:t>
      </w:r>
      <w:r>
        <w:t>）：</w:t>
      </w:r>
      <w:r>
        <w:t>3253</w:t>
      </w:r>
      <w:r>
        <w:t>－</w:t>
      </w:r>
      <w:r>
        <w:t>3285</w:t>
      </w:r>
      <w:r>
        <w:t>．</w:t>
      </w:r>
      <w:r>
        <w:t>DOI</w:t>
      </w:r>
      <w:r>
        <w:t>：</w:t>
      </w:r>
      <w:r>
        <w:t>10.1093/restud/rdae007</w:t>
      </w:r>
      <w:r>
        <w:t>．</w:t>
      </w:r>
    </w:p>
    <w:p w:rsidR="0021426D" w:rsidRDefault="00A661EE">
      <w:pPr>
        <w:keepLines/>
        <w:ind w:left="480" w:hanging="480"/>
        <w:jc w:val="left"/>
      </w:pPr>
      <w:r>
        <w:t>［</w:t>
      </w:r>
      <w:r>
        <w:t>23</w:t>
      </w:r>
      <w:r>
        <w:t>］</w:t>
      </w:r>
      <w:r>
        <w:t>CONLEY TG</w:t>
      </w:r>
      <w:r>
        <w:t>．</w:t>
      </w:r>
      <w:r>
        <w:t>GMM estimation with cross sectional dependence</w:t>
      </w:r>
      <w:r>
        <w:t>［</w:t>
      </w:r>
      <w:r>
        <w:t>J</w:t>
      </w:r>
      <w:r>
        <w:t>］．</w:t>
      </w:r>
      <w:r>
        <w:t>Journal of Econometrics</w:t>
      </w:r>
      <w:r>
        <w:t>，</w:t>
      </w:r>
      <w:r>
        <w:t>1999</w:t>
      </w:r>
      <w:r>
        <w:t>，</w:t>
      </w:r>
      <w:r>
        <w:t>92</w:t>
      </w:r>
      <w:r>
        <w:t>（</w:t>
      </w:r>
      <w:r>
        <w:t>1</w:t>
      </w:r>
      <w:r>
        <w:t>）：</w:t>
      </w:r>
      <w:r>
        <w:t>1</w:t>
      </w:r>
      <w:r>
        <w:t>－</w:t>
      </w:r>
      <w:r>
        <w:t>45</w:t>
      </w:r>
      <w:r>
        <w:t>．</w:t>
      </w:r>
      <w:r>
        <w:t>DOI</w:t>
      </w:r>
      <w:r>
        <w:t>：</w:t>
      </w:r>
      <w:r>
        <w:t>10.1016/S0304-4076(98)00084-0</w:t>
      </w:r>
      <w:r>
        <w:t>．</w:t>
      </w:r>
    </w:p>
    <w:p w:rsidR="0021426D" w:rsidRDefault="00A661EE">
      <w:pPr>
        <w:keepLines/>
        <w:ind w:left="480" w:hanging="480"/>
        <w:jc w:val="left"/>
      </w:pPr>
      <w:r>
        <w:t>［</w:t>
      </w:r>
      <w:r>
        <w:t>24</w:t>
      </w:r>
      <w:r>
        <w:t>］</w:t>
      </w:r>
      <w:r>
        <w:t>BUTTS K</w:t>
      </w:r>
      <w:r>
        <w:t>．</w:t>
      </w:r>
      <w:r>
        <w:t>JUE Insight</w:t>
      </w:r>
      <w:r>
        <w:t>：</w:t>
      </w:r>
      <w:r>
        <w:t>Difference-in-differences with geocoded microdata</w:t>
      </w:r>
      <w:r>
        <w:t>［</w:t>
      </w:r>
      <w:r>
        <w:t>J</w:t>
      </w:r>
      <w:r>
        <w:t>］．</w:t>
      </w:r>
      <w:r>
        <w:t>Journal of Urban Economics</w:t>
      </w:r>
      <w:r>
        <w:t>，</w:t>
      </w:r>
      <w:r>
        <w:t>2023</w:t>
      </w:r>
      <w:r>
        <w:t>，</w:t>
      </w:r>
      <w:r>
        <w:t>133</w:t>
      </w:r>
      <w:r>
        <w:t>：</w:t>
      </w:r>
      <w:r>
        <w:t>103493</w:t>
      </w:r>
      <w:r>
        <w:t>．</w:t>
      </w:r>
      <w:r>
        <w:t>DOI</w:t>
      </w:r>
      <w:r>
        <w:t>：</w:t>
      </w:r>
      <w:r>
        <w:t>10.1016/j.jue.2022.103493</w:t>
      </w:r>
      <w:r>
        <w:t>．</w:t>
      </w:r>
    </w:p>
    <w:p w:rsidR="0021426D" w:rsidRDefault="00A661EE">
      <w:pPr>
        <w:keepLines/>
        <w:ind w:left="480" w:hanging="480"/>
        <w:jc w:val="left"/>
      </w:pPr>
      <w:r>
        <w:t>［</w:t>
      </w:r>
      <w:r>
        <w:t>25</w:t>
      </w:r>
      <w:r>
        <w:t>］</w:t>
      </w:r>
      <w:r>
        <w:t>ROTH J</w:t>
      </w:r>
      <w:r>
        <w:t>．</w:t>
      </w:r>
      <w:r>
        <w:t>Pretest with Caution</w:t>
      </w:r>
      <w:r>
        <w:t>：</w:t>
      </w:r>
      <w:r>
        <w:t>Event-Study Estimates after Testing for Parallel Trends</w:t>
      </w:r>
      <w:r>
        <w:t>［</w:t>
      </w:r>
      <w:r>
        <w:t>J</w:t>
      </w:r>
      <w:r>
        <w:t>］．</w:t>
      </w:r>
      <w:r>
        <w:t>American Economic Review</w:t>
      </w:r>
      <w:r>
        <w:t>：</w:t>
      </w:r>
      <w:r>
        <w:t>Insights</w:t>
      </w:r>
      <w:r>
        <w:t>，</w:t>
      </w:r>
      <w:r>
        <w:t>2022</w:t>
      </w:r>
      <w:r>
        <w:t>，</w:t>
      </w:r>
      <w:r>
        <w:t>4</w:t>
      </w:r>
      <w:r>
        <w:t>（</w:t>
      </w:r>
      <w:r>
        <w:t>3</w:t>
      </w:r>
      <w:r>
        <w:t>）：</w:t>
      </w:r>
      <w:r>
        <w:t>305</w:t>
      </w:r>
      <w:r>
        <w:t>－</w:t>
      </w:r>
      <w:r>
        <w:t>322</w:t>
      </w:r>
      <w:r>
        <w:t>．</w:t>
      </w:r>
      <w:r>
        <w:t>DOI</w:t>
      </w:r>
      <w:r>
        <w:t>：</w:t>
      </w:r>
      <w:r>
        <w:t>10.1257/aeri.20210236</w:t>
      </w:r>
      <w:r>
        <w:t>．</w:t>
      </w:r>
    </w:p>
    <w:p w:rsidR="0021426D" w:rsidRDefault="00A661EE">
      <w:pPr>
        <w:keepLines/>
        <w:ind w:left="480" w:hanging="480"/>
        <w:jc w:val="left"/>
      </w:pPr>
      <w:r>
        <w:t>［</w:t>
      </w:r>
      <w:r>
        <w:t>26</w:t>
      </w:r>
      <w:r>
        <w:t>］</w:t>
      </w:r>
      <w:r>
        <w:t>ROSSI-HANSBERG E</w:t>
      </w:r>
      <w:r>
        <w:t>，</w:t>
      </w:r>
      <w:r>
        <w:t>SARTE PD</w:t>
      </w:r>
      <w:r>
        <w:t>，</w:t>
      </w:r>
      <w:r>
        <w:t>OWENS R III</w:t>
      </w:r>
      <w:r>
        <w:t>．</w:t>
      </w:r>
      <w:r>
        <w:t>Housing Externalities</w:t>
      </w:r>
      <w:r>
        <w:t>［</w:t>
      </w:r>
      <w:r>
        <w:t>J</w:t>
      </w:r>
      <w:r>
        <w:t>］．</w:t>
      </w:r>
      <w:r>
        <w:t>Journal of Political Economy</w:t>
      </w:r>
      <w:r>
        <w:t>，</w:t>
      </w:r>
      <w:r>
        <w:t>2010</w:t>
      </w:r>
      <w:r>
        <w:t>，</w:t>
      </w:r>
      <w:r>
        <w:t>118</w:t>
      </w:r>
      <w:r>
        <w:t>（</w:t>
      </w:r>
      <w:r>
        <w:t>3</w:t>
      </w:r>
      <w:r>
        <w:t>）：</w:t>
      </w:r>
      <w:r>
        <w:t>485</w:t>
      </w:r>
      <w:r>
        <w:t>－</w:t>
      </w:r>
      <w:r>
        <w:t>535</w:t>
      </w:r>
      <w:r>
        <w:t>．</w:t>
      </w:r>
      <w:r>
        <w:t>DOI</w:t>
      </w:r>
      <w:r>
        <w:t>：</w:t>
      </w:r>
      <w:r>
        <w:t>10.1086/653138</w:t>
      </w:r>
      <w:r>
        <w:t>．</w:t>
      </w:r>
    </w:p>
    <w:p w:rsidR="0021426D" w:rsidRDefault="00A661EE">
      <w:pPr>
        <w:keepLines/>
        <w:ind w:left="480" w:hanging="480"/>
        <w:jc w:val="left"/>
      </w:pPr>
      <w:r>
        <w:t>［</w:t>
      </w:r>
      <w:r>
        <w:t>27</w:t>
      </w:r>
      <w:r>
        <w:t>］</w:t>
      </w:r>
      <w:r>
        <w:t>SANTOS SILVA JMC</w:t>
      </w:r>
      <w:r>
        <w:t>，</w:t>
      </w:r>
      <w:r>
        <w:t>TENREYRO S</w:t>
      </w:r>
      <w:r>
        <w:t>．</w:t>
      </w:r>
      <w:r>
        <w:t>The Log of Gravity</w:t>
      </w:r>
      <w:r>
        <w:t>［</w:t>
      </w:r>
      <w:r>
        <w:t>J</w:t>
      </w:r>
      <w:r>
        <w:t>］．</w:t>
      </w:r>
      <w:r>
        <w:t>The Review of Economics and Statistics</w:t>
      </w:r>
      <w:r>
        <w:t>，</w:t>
      </w:r>
      <w:r>
        <w:t>2006</w:t>
      </w:r>
      <w:r>
        <w:t>，</w:t>
      </w:r>
      <w:r>
        <w:t>88</w:t>
      </w:r>
      <w:r>
        <w:t>（</w:t>
      </w:r>
      <w:r>
        <w:t>4</w:t>
      </w:r>
      <w:r>
        <w:t>）：</w:t>
      </w:r>
      <w:r>
        <w:t>641</w:t>
      </w:r>
      <w:r>
        <w:t>－</w:t>
      </w:r>
      <w:r>
        <w:t>658</w:t>
      </w:r>
      <w:r>
        <w:t>．</w:t>
      </w:r>
      <w:r>
        <w:t>DOI</w:t>
      </w:r>
      <w:r>
        <w:t>：</w:t>
      </w:r>
      <w:r>
        <w:t>10.1162/rest.88.4.641</w:t>
      </w:r>
      <w:r>
        <w:t>．</w:t>
      </w:r>
    </w:p>
    <w:p w:rsidR="0021426D" w:rsidRDefault="00A661EE">
      <w:pPr>
        <w:keepLines/>
        <w:ind w:left="480" w:hanging="480"/>
        <w:jc w:val="left"/>
      </w:pPr>
      <w:r>
        <w:t>［</w:t>
      </w:r>
      <w:r>
        <w:t>28</w:t>
      </w:r>
      <w:r>
        <w:t>］</w:t>
      </w:r>
      <w:r>
        <w:t>SCHLICHTKRULL M</w:t>
      </w:r>
      <w:r>
        <w:t>，</w:t>
      </w:r>
      <w:r>
        <w:t>KIPF TN</w:t>
      </w:r>
      <w:r>
        <w:t>，</w:t>
      </w:r>
      <w:r>
        <w:t>BLOEM P</w:t>
      </w:r>
      <w:r>
        <w:t>，</w:t>
      </w:r>
      <w:r>
        <w:t>VAN DEN BERG R</w:t>
      </w:r>
      <w:r>
        <w:t>，</w:t>
      </w:r>
      <w:r>
        <w:t>TITOV I</w:t>
      </w:r>
      <w:r>
        <w:t>，</w:t>
      </w:r>
      <w:r>
        <w:t>WELLING M</w:t>
      </w:r>
      <w:r>
        <w:t>．</w:t>
      </w:r>
      <w:r>
        <w:t>Modeling Relational Data with Graph Convolutional Networks</w:t>
      </w:r>
      <w:r>
        <w:t>［</w:t>
      </w:r>
      <w:r>
        <w:t>C</w:t>
      </w:r>
      <w:r>
        <w:t>］．</w:t>
      </w:r>
      <w:r>
        <w:t>The Semantic Web</w:t>
      </w:r>
      <w:r>
        <w:t>：</w:t>
      </w:r>
      <w:r>
        <w:t>15th International Conference</w:t>
      </w:r>
      <w:r>
        <w:t>，</w:t>
      </w:r>
      <w:r>
        <w:t>ESWC 2018</w:t>
      </w:r>
      <w:r>
        <w:t>，</w:t>
      </w:r>
      <w:r>
        <w:t>Cham</w:t>
      </w:r>
      <w:r>
        <w:t>：</w:t>
      </w:r>
      <w:r>
        <w:t>Springer</w:t>
      </w:r>
      <w:r>
        <w:t>，</w:t>
      </w:r>
      <w:r>
        <w:t>2018</w:t>
      </w:r>
      <w:r>
        <w:t>：</w:t>
      </w:r>
      <w:r>
        <w:t>593</w:t>
      </w:r>
      <w:r>
        <w:t>－</w:t>
      </w:r>
      <w:r>
        <w:t>607</w:t>
      </w:r>
      <w:r>
        <w:t>．</w:t>
      </w:r>
      <w:r>
        <w:t>DOI</w:t>
      </w:r>
      <w:r>
        <w:t>：</w:t>
      </w:r>
      <w:r>
        <w:t>10.1007/978-3-319-93417-4_38</w:t>
      </w:r>
      <w:r>
        <w:t>．</w:t>
      </w:r>
    </w:p>
    <w:sectPr w:rsidR="0021426D">
      <w:headerReference w:type="default" r:id="rId30"/>
      <w:footerReference w:type="default" r:id="rId31"/>
      <w:pgSz w:w="11907" w:h="16840"/>
      <w:pgMar w:top="2154" w:right="1701" w:bottom="1701" w:left="1701" w:header="1361" w:footer="1304" w:gutter="0"/>
      <w:pgNumType w:start="1"/>
      <w:cols w:space="720"/>
      <w:docGrid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61EE" w:rsidRDefault="00A661EE">
      <w:pPr>
        <w:spacing w:line="240" w:lineRule="auto"/>
      </w:pPr>
      <w:r>
        <w:separator/>
      </w:r>
    </w:p>
  </w:endnote>
  <w:endnote w:type="continuationSeparator" w:id="0">
    <w:p w:rsidR="00A661EE" w:rsidRDefault="00A661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新魏">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426D" w:rsidRDefault="0021426D">
    <w:pPr>
      <w:pStyle w:val="ab"/>
      <w:tabs>
        <w:tab w:val="center" w:pos="4252"/>
      </w:tabs>
      <w:spacing w:before="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426D" w:rsidRDefault="00A661EE">
    <w:pPr>
      <w:pStyle w:val="ab"/>
      <w:spacing w:before="240"/>
      <w:ind w:right="360" w:firstLine="360"/>
      <w:jc w:val="center"/>
    </w:pPr>
    <w:r>
      <w:pict w14:anchorId="479DAB63">
        <v:shapetype id="_x0000_t202" coordsize="21600,21600" o:spt="202" path="m,l,21600r21600,l21600,xe">
          <v:stroke joinstyle="miter"/>
          <v:path gradientshapeok="t" o:connecttype="rect"/>
        </v:shapetype>
        <v:shape id="文本框 10" o:spid="_x0000_s1036" type="#_x0000_t202" style="position:absolute;left:0;text-align:left;margin-left:0;margin-top:0;width:2in;height:2in;z-index:251661312;mso-wrap-style:none;mso-position-horizontal:center;mso-position-horizontal-relative:margin;mso-width-relative:page;mso-height-relative:page"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AeNapHIAQAAmgMAAA4AAAAAAAAAAQAgAAAAHgEAAGRycy9lMm9Eb2Mu&#10;eG1sUEsFBgAAAAAGAAYAWQEAAFgFAAAAAA==&#10;" filled="f" stroked="f">
          <v:textbox style="mso-fit-shape-to-text:t" inset="0,0,0,0">
            <w:txbxContent>
              <w:p w:rsidR="0021426D" w:rsidRDefault="00A661EE">
                <w:pPr>
                  <w:pStyle w:val="ab"/>
                  <w:spacing w:before="240"/>
                  <w:ind w:right="360" w:firstLine="360"/>
                  <w:jc w:val="center"/>
                </w:pPr>
                <w:r>
                  <w:rPr>
                    <w:rStyle w:val="af1"/>
                  </w:rPr>
                  <w:fldChar w:fldCharType="begin"/>
                </w:r>
                <w:r>
                  <w:rPr>
                    <w:rStyle w:val="af1"/>
                  </w:rPr>
                  <w:instrText xml:space="preserve"> PAGE </w:instrText>
                </w:r>
                <w:r>
                  <w:rPr>
                    <w:rStyle w:val="af1"/>
                  </w:rPr>
                  <w:fldChar w:fldCharType="separate"/>
                </w:r>
                <w:r>
                  <w:rPr>
                    <w:rStyle w:val="af1"/>
                  </w:rPr>
                  <w:t>1</w:t>
                </w:r>
                <w:r>
                  <w:rPr>
                    <w:rStyle w:val="af1"/>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426D" w:rsidRDefault="00A661EE">
    <w:pPr>
      <w:pStyle w:val="ab"/>
      <w:spacing w:before="240"/>
      <w:ind w:right="360" w:firstLine="360"/>
      <w:jc w:val="center"/>
    </w:pPr>
    <w:r>
      <w:pict>
        <v:shapetype id="_x0000_t202" coordsize="21600,21600" o:spt="202" path="m,l,21600r21600,l21600,xe">
          <v:stroke joinstyle="miter"/>
          <v:path gradientshapeok="t" o:connecttype="rect"/>
        </v:shapetype>
        <v:shape id="_x0000_s1035" type="#_x0000_t202" style="position:absolute;left:0;text-align:left;margin-left:0;margin-top:0;width:2in;height:2in;z-index:251660288;mso-wrap-style:none;mso-position-horizontal:center;mso-position-horizontal-relative:margin;mso-width-relative:page;mso-height-relative:page" filled="f" stroked="f">
          <v:textbox style="mso-fit-shape-to-text:t" inset="0,0,0,0">
            <w:txbxContent>
              <w:p w:rsidR="0021426D" w:rsidRDefault="00A661EE">
                <w:pPr>
                  <w:pStyle w:val="ab"/>
                  <w:spacing w:before="240"/>
                  <w:ind w:right="360" w:firstLine="360"/>
                  <w:jc w:val="center"/>
                </w:pPr>
                <w:r>
                  <w:rPr>
                    <w:rStyle w:val="af1"/>
                    <w:rFonts w:hint="eastAsia"/>
                  </w:rPr>
                  <w:t xml:space="preserve">- </w:t>
                </w:r>
                <w:r>
                  <w:rPr>
                    <w:rStyle w:val="af1"/>
                  </w:rPr>
                  <w:fldChar w:fldCharType="begin"/>
                </w:r>
                <w:r>
                  <w:rPr>
                    <w:rStyle w:val="af1"/>
                  </w:rPr>
                  <w:instrText xml:space="preserve"> PAGE </w:instrText>
                </w:r>
                <w:r>
                  <w:rPr>
                    <w:rStyle w:val="af1"/>
                  </w:rPr>
                  <w:fldChar w:fldCharType="separate"/>
                </w:r>
                <w:r>
                  <w:rPr>
                    <w:rStyle w:val="af1"/>
                  </w:rPr>
                  <w:t>7</w:t>
                </w:r>
                <w:r>
                  <w:rPr>
                    <w:rStyle w:val="af1"/>
                  </w:rPr>
                  <w:fldChar w:fldCharType="end"/>
                </w:r>
                <w:r>
                  <w:rPr>
                    <w:rStyle w:val="af1"/>
                    <w:rFonts w:hint="eastAsia"/>
                  </w:rPr>
                  <w:t xml:space="preserve"> -</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61EE" w:rsidRDefault="00A661EE">
      <w:r>
        <w:separator/>
      </w:r>
    </w:p>
  </w:footnote>
  <w:footnote w:type="continuationSeparator" w:id="0">
    <w:p w:rsidR="00A661EE" w:rsidRDefault="00A66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426D" w:rsidRDefault="00A661EE">
    <w:pPr>
      <w:pStyle w:val="ac"/>
      <w:pBdr>
        <w:bottom w:val="thinThickSmallGap" w:sz="24" w:space="4" w:color="auto"/>
      </w:pBdr>
      <w:tabs>
        <w:tab w:val="left" w:pos="7415"/>
      </w:tabs>
      <w:adjustRightInd w:val="0"/>
      <w:spacing w:before="240"/>
    </w:pPr>
    <w:r>
      <w:rPr>
        <w:rFonts w:hint="eastAsia"/>
      </w:rPr>
      <w:t>哈尔滨工业大学深圳校区毕业论文（设计）开题报告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426D" w:rsidRDefault="00A661EE">
    <w:pPr>
      <w:pStyle w:val="ac"/>
      <w:pBdr>
        <w:bottom w:val="thinThickSmallGap" w:sz="24" w:space="4" w:color="auto"/>
      </w:pBdr>
      <w:tabs>
        <w:tab w:val="left" w:pos="7415"/>
      </w:tabs>
      <w:adjustRightInd w:val="0"/>
      <w:spacing w:before="240"/>
    </w:pPr>
    <w:r>
      <w:rPr>
        <w:rFonts w:hint="eastAsia"/>
      </w:rPr>
      <w:t>哈尔滨工业大学深圳校区毕业论文（设计）开题报告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249"/>
  <w:drawingGridVerticalSpacing w:val="208"/>
  <w:noPunctuationKerning/>
  <w:characterSpacingControl w:val="compressPunctuation"/>
  <w:hdrShapeDefaults>
    <o:shapedefaults v:ext="edit" spidmax="2052"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TY5NGMyZGQ4N2E4NmQxYTI1YWY4ZWI3ZGYzM2FiM2UifQ=="/>
  </w:docVars>
  <w:rsids>
    <w:rsidRoot w:val="006359CA"/>
    <w:rsid w:val="00005FC1"/>
    <w:rsid w:val="00006664"/>
    <w:rsid w:val="00010589"/>
    <w:rsid w:val="00011DF9"/>
    <w:rsid w:val="000144AD"/>
    <w:rsid w:val="000146CA"/>
    <w:rsid w:val="000149B0"/>
    <w:rsid w:val="0001554B"/>
    <w:rsid w:val="000156FD"/>
    <w:rsid w:val="00016378"/>
    <w:rsid w:val="00023663"/>
    <w:rsid w:val="00024610"/>
    <w:rsid w:val="00025DBD"/>
    <w:rsid w:val="00027C54"/>
    <w:rsid w:val="000409A7"/>
    <w:rsid w:val="00041EB0"/>
    <w:rsid w:val="00042C58"/>
    <w:rsid w:val="00046EDA"/>
    <w:rsid w:val="0005230B"/>
    <w:rsid w:val="0005361B"/>
    <w:rsid w:val="00064C37"/>
    <w:rsid w:val="00066602"/>
    <w:rsid w:val="00067972"/>
    <w:rsid w:val="00077A97"/>
    <w:rsid w:val="00084A56"/>
    <w:rsid w:val="00090286"/>
    <w:rsid w:val="00090A7C"/>
    <w:rsid w:val="00091BDE"/>
    <w:rsid w:val="000938E5"/>
    <w:rsid w:val="00093CB7"/>
    <w:rsid w:val="00095937"/>
    <w:rsid w:val="000A31A6"/>
    <w:rsid w:val="000A492D"/>
    <w:rsid w:val="000A686C"/>
    <w:rsid w:val="000A771F"/>
    <w:rsid w:val="000B25F7"/>
    <w:rsid w:val="000B6E65"/>
    <w:rsid w:val="000C0F4F"/>
    <w:rsid w:val="000C1531"/>
    <w:rsid w:val="000C1EC7"/>
    <w:rsid w:val="000C2E41"/>
    <w:rsid w:val="000D286A"/>
    <w:rsid w:val="000D3D75"/>
    <w:rsid w:val="000D412F"/>
    <w:rsid w:val="000E0024"/>
    <w:rsid w:val="000E0E20"/>
    <w:rsid w:val="000E5BCB"/>
    <w:rsid w:val="000F032E"/>
    <w:rsid w:val="000F0882"/>
    <w:rsid w:val="000F3669"/>
    <w:rsid w:val="000F37C1"/>
    <w:rsid w:val="000F409E"/>
    <w:rsid w:val="001027E3"/>
    <w:rsid w:val="00106F38"/>
    <w:rsid w:val="0011177F"/>
    <w:rsid w:val="00112FE1"/>
    <w:rsid w:val="00115524"/>
    <w:rsid w:val="00121BF7"/>
    <w:rsid w:val="00125ECC"/>
    <w:rsid w:val="0013232F"/>
    <w:rsid w:val="001346D0"/>
    <w:rsid w:val="00134BB8"/>
    <w:rsid w:val="00137FF5"/>
    <w:rsid w:val="00140D80"/>
    <w:rsid w:val="00140F16"/>
    <w:rsid w:val="00141359"/>
    <w:rsid w:val="001424F6"/>
    <w:rsid w:val="00143EEA"/>
    <w:rsid w:val="001509F6"/>
    <w:rsid w:val="001574BA"/>
    <w:rsid w:val="00162D78"/>
    <w:rsid w:val="00162D9F"/>
    <w:rsid w:val="0016451E"/>
    <w:rsid w:val="0016526A"/>
    <w:rsid w:val="00167AE3"/>
    <w:rsid w:val="00171902"/>
    <w:rsid w:val="00173513"/>
    <w:rsid w:val="00175E4D"/>
    <w:rsid w:val="001763FD"/>
    <w:rsid w:val="00181EB2"/>
    <w:rsid w:val="001851F0"/>
    <w:rsid w:val="001858E6"/>
    <w:rsid w:val="001956D5"/>
    <w:rsid w:val="0019666A"/>
    <w:rsid w:val="001A11AF"/>
    <w:rsid w:val="001A35E4"/>
    <w:rsid w:val="001A39D2"/>
    <w:rsid w:val="001B69E5"/>
    <w:rsid w:val="001B6C81"/>
    <w:rsid w:val="001B7920"/>
    <w:rsid w:val="001C0773"/>
    <w:rsid w:val="001C0C26"/>
    <w:rsid w:val="001C32BF"/>
    <w:rsid w:val="001C40A0"/>
    <w:rsid w:val="001C4C12"/>
    <w:rsid w:val="001C54E8"/>
    <w:rsid w:val="001C7EC5"/>
    <w:rsid w:val="001D42CD"/>
    <w:rsid w:val="001E05F4"/>
    <w:rsid w:val="001E26CC"/>
    <w:rsid w:val="001E5E83"/>
    <w:rsid w:val="001F53FF"/>
    <w:rsid w:val="00201535"/>
    <w:rsid w:val="00201E9D"/>
    <w:rsid w:val="00201EC9"/>
    <w:rsid w:val="00204501"/>
    <w:rsid w:val="002076D1"/>
    <w:rsid w:val="00212DBB"/>
    <w:rsid w:val="0021426D"/>
    <w:rsid w:val="0021434E"/>
    <w:rsid w:val="002205D2"/>
    <w:rsid w:val="00220B02"/>
    <w:rsid w:val="00220EB9"/>
    <w:rsid w:val="00220FD7"/>
    <w:rsid w:val="00220FEA"/>
    <w:rsid w:val="00221EA8"/>
    <w:rsid w:val="00224998"/>
    <w:rsid w:val="00226A50"/>
    <w:rsid w:val="00227467"/>
    <w:rsid w:val="002310F9"/>
    <w:rsid w:val="00231474"/>
    <w:rsid w:val="00232B9F"/>
    <w:rsid w:val="00235C12"/>
    <w:rsid w:val="00235E75"/>
    <w:rsid w:val="00240A2C"/>
    <w:rsid w:val="00241746"/>
    <w:rsid w:val="00243AC3"/>
    <w:rsid w:val="00243EEE"/>
    <w:rsid w:val="00246D4F"/>
    <w:rsid w:val="00247363"/>
    <w:rsid w:val="00251144"/>
    <w:rsid w:val="00252B12"/>
    <w:rsid w:val="0025401F"/>
    <w:rsid w:val="002550AA"/>
    <w:rsid w:val="00255E08"/>
    <w:rsid w:val="00265D16"/>
    <w:rsid w:val="00267EFA"/>
    <w:rsid w:val="002736FA"/>
    <w:rsid w:val="00274661"/>
    <w:rsid w:val="00276BE5"/>
    <w:rsid w:val="00281567"/>
    <w:rsid w:val="00282C4D"/>
    <w:rsid w:val="00286979"/>
    <w:rsid w:val="002945A6"/>
    <w:rsid w:val="002A0392"/>
    <w:rsid w:val="002A1A2F"/>
    <w:rsid w:val="002A28E1"/>
    <w:rsid w:val="002A4C0F"/>
    <w:rsid w:val="002A5916"/>
    <w:rsid w:val="002A5FEF"/>
    <w:rsid w:val="002A7808"/>
    <w:rsid w:val="002A78A0"/>
    <w:rsid w:val="002B0C07"/>
    <w:rsid w:val="002B5024"/>
    <w:rsid w:val="002C7514"/>
    <w:rsid w:val="002D0EE0"/>
    <w:rsid w:val="002D3312"/>
    <w:rsid w:val="002D343C"/>
    <w:rsid w:val="002E05CE"/>
    <w:rsid w:val="002E072E"/>
    <w:rsid w:val="002E14F3"/>
    <w:rsid w:val="002E3EA5"/>
    <w:rsid w:val="002E50D6"/>
    <w:rsid w:val="002E522C"/>
    <w:rsid w:val="002F0769"/>
    <w:rsid w:val="002F4174"/>
    <w:rsid w:val="002F4D88"/>
    <w:rsid w:val="002F5572"/>
    <w:rsid w:val="002F5A78"/>
    <w:rsid w:val="00300408"/>
    <w:rsid w:val="00306A4C"/>
    <w:rsid w:val="00306C00"/>
    <w:rsid w:val="00306C65"/>
    <w:rsid w:val="0030772A"/>
    <w:rsid w:val="003079A5"/>
    <w:rsid w:val="003106BA"/>
    <w:rsid w:val="00310E3F"/>
    <w:rsid w:val="00311369"/>
    <w:rsid w:val="00311B30"/>
    <w:rsid w:val="00312E66"/>
    <w:rsid w:val="00314C15"/>
    <w:rsid w:val="00316431"/>
    <w:rsid w:val="003165D3"/>
    <w:rsid w:val="003169BB"/>
    <w:rsid w:val="00321DB9"/>
    <w:rsid w:val="00326758"/>
    <w:rsid w:val="003363A4"/>
    <w:rsid w:val="0033763A"/>
    <w:rsid w:val="00344696"/>
    <w:rsid w:val="00345616"/>
    <w:rsid w:val="003503E1"/>
    <w:rsid w:val="00360527"/>
    <w:rsid w:val="00362146"/>
    <w:rsid w:val="0036255D"/>
    <w:rsid w:val="003626E0"/>
    <w:rsid w:val="003659B5"/>
    <w:rsid w:val="00365DA4"/>
    <w:rsid w:val="00366604"/>
    <w:rsid w:val="00367468"/>
    <w:rsid w:val="003675E5"/>
    <w:rsid w:val="003677C6"/>
    <w:rsid w:val="00367DE9"/>
    <w:rsid w:val="00373538"/>
    <w:rsid w:val="00375431"/>
    <w:rsid w:val="00375E5B"/>
    <w:rsid w:val="00377757"/>
    <w:rsid w:val="00380C15"/>
    <w:rsid w:val="0038788A"/>
    <w:rsid w:val="00391304"/>
    <w:rsid w:val="0039178B"/>
    <w:rsid w:val="00392A94"/>
    <w:rsid w:val="003A3F96"/>
    <w:rsid w:val="003A4064"/>
    <w:rsid w:val="003B14D5"/>
    <w:rsid w:val="003B3267"/>
    <w:rsid w:val="003B48CF"/>
    <w:rsid w:val="003B51E6"/>
    <w:rsid w:val="003B6320"/>
    <w:rsid w:val="003C0DA8"/>
    <w:rsid w:val="003C39C7"/>
    <w:rsid w:val="003D12A5"/>
    <w:rsid w:val="003D1AE0"/>
    <w:rsid w:val="003D2201"/>
    <w:rsid w:val="003D225C"/>
    <w:rsid w:val="003D2A0B"/>
    <w:rsid w:val="003D37AB"/>
    <w:rsid w:val="003D424E"/>
    <w:rsid w:val="003E3D88"/>
    <w:rsid w:val="003E4F8E"/>
    <w:rsid w:val="003E52E0"/>
    <w:rsid w:val="003E6724"/>
    <w:rsid w:val="003E7D00"/>
    <w:rsid w:val="003F154E"/>
    <w:rsid w:val="003F1C42"/>
    <w:rsid w:val="003F6364"/>
    <w:rsid w:val="003F7D0E"/>
    <w:rsid w:val="00400A30"/>
    <w:rsid w:val="00401073"/>
    <w:rsid w:val="00401D0B"/>
    <w:rsid w:val="00405ACA"/>
    <w:rsid w:val="00406E4A"/>
    <w:rsid w:val="0041072D"/>
    <w:rsid w:val="00411BF8"/>
    <w:rsid w:val="004138AF"/>
    <w:rsid w:val="00415C79"/>
    <w:rsid w:val="004201D5"/>
    <w:rsid w:val="00425AD5"/>
    <w:rsid w:val="004267F8"/>
    <w:rsid w:val="0043128D"/>
    <w:rsid w:val="004327B8"/>
    <w:rsid w:val="00432BE7"/>
    <w:rsid w:val="00432C17"/>
    <w:rsid w:val="00432C51"/>
    <w:rsid w:val="0043367E"/>
    <w:rsid w:val="00437C53"/>
    <w:rsid w:val="004417FD"/>
    <w:rsid w:val="0044245E"/>
    <w:rsid w:val="00443E7F"/>
    <w:rsid w:val="0044679F"/>
    <w:rsid w:val="00446D98"/>
    <w:rsid w:val="00446FBE"/>
    <w:rsid w:val="00451A99"/>
    <w:rsid w:val="00453E47"/>
    <w:rsid w:val="00454C08"/>
    <w:rsid w:val="0046040B"/>
    <w:rsid w:val="00462667"/>
    <w:rsid w:val="00471F9D"/>
    <w:rsid w:val="00472938"/>
    <w:rsid w:val="00474DBF"/>
    <w:rsid w:val="00475275"/>
    <w:rsid w:val="004764F4"/>
    <w:rsid w:val="00476A3E"/>
    <w:rsid w:val="004779CE"/>
    <w:rsid w:val="004807AC"/>
    <w:rsid w:val="00480C89"/>
    <w:rsid w:val="00480E3F"/>
    <w:rsid w:val="004846C5"/>
    <w:rsid w:val="00484DB3"/>
    <w:rsid w:val="00492152"/>
    <w:rsid w:val="00494166"/>
    <w:rsid w:val="004A0EDF"/>
    <w:rsid w:val="004A25AE"/>
    <w:rsid w:val="004A3C6C"/>
    <w:rsid w:val="004A65B6"/>
    <w:rsid w:val="004A7055"/>
    <w:rsid w:val="004A7726"/>
    <w:rsid w:val="004B4DE3"/>
    <w:rsid w:val="004B5113"/>
    <w:rsid w:val="004B75E1"/>
    <w:rsid w:val="004C187D"/>
    <w:rsid w:val="004D2CEF"/>
    <w:rsid w:val="004D5862"/>
    <w:rsid w:val="004E43E5"/>
    <w:rsid w:val="004E5159"/>
    <w:rsid w:val="004E7385"/>
    <w:rsid w:val="004E74C7"/>
    <w:rsid w:val="004E7601"/>
    <w:rsid w:val="004F0265"/>
    <w:rsid w:val="004F2D95"/>
    <w:rsid w:val="004F48A7"/>
    <w:rsid w:val="00502534"/>
    <w:rsid w:val="005041EA"/>
    <w:rsid w:val="0051129A"/>
    <w:rsid w:val="00512423"/>
    <w:rsid w:val="00513674"/>
    <w:rsid w:val="005156E5"/>
    <w:rsid w:val="00515AF0"/>
    <w:rsid w:val="00521E01"/>
    <w:rsid w:val="005238D5"/>
    <w:rsid w:val="005249D9"/>
    <w:rsid w:val="00527946"/>
    <w:rsid w:val="005300F5"/>
    <w:rsid w:val="005315CD"/>
    <w:rsid w:val="00536927"/>
    <w:rsid w:val="00537A28"/>
    <w:rsid w:val="005414C5"/>
    <w:rsid w:val="00542A3C"/>
    <w:rsid w:val="00544709"/>
    <w:rsid w:val="00550CD5"/>
    <w:rsid w:val="005510C7"/>
    <w:rsid w:val="00552289"/>
    <w:rsid w:val="0055365B"/>
    <w:rsid w:val="00553EEC"/>
    <w:rsid w:val="00555DAA"/>
    <w:rsid w:val="00556EC0"/>
    <w:rsid w:val="00563ADB"/>
    <w:rsid w:val="00571013"/>
    <w:rsid w:val="005711BE"/>
    <w:rsid w:val="005713BE"/>
    <w:rsid w:val="00574EB3"/>
    <w:rsid w:val="00576AA2"/>
    <w:rsid w:val="0057786B"/>
    <w:rsid w:val="005808F0"/>
    <w:rsid w:val="00583FEA"/>
    <w:rsid w:val="0058582D"/>
    <w:rsid w:val="00587522"/>
    <w:rsid w:val="00587B93"/>
    <w:rsid w:val="00591C75"/>
    <w:rsid w:val="00596F3F"/>
    <w:rsid w:val="00597BC4"/>
    <w:rsid w:val="005A35A5"/>
    <w:rsid w:val="005A4AA1"/>
    <w:rsid w:val="005A6239"/>
    <w:rsid w:val="005A6307"/>
    <w:rsid w:val="005B058B"/>
    <w:rsid w:val="005B0E62"/>
    <w:rsid w:val="005B1760"/>
    <w:rsid w:val="005B4EC8"/>
    <w:rsid w:val="005C02B0"/>
    <w:rsid w:val="005C2935"/>
    <w:rsid w:val="005D16BF"/>
    <w:rsid w:val="005D2450"/>
    <w:rsid w:val="005D4025"/>
    <w:rsid w:val="005D429C"/>
    <w:rsid w:val="005D4A0B"/>
    <w:rsid w:val="005E0134"/>
    <w:rsid w:val="005E2CA9"/>
    <w:rsid w:val="005F0E5A"/>
    <w:rsid w:val="005F1C34"/>
    <w:rsid w:val="005F28DD"/>
    <w:rsid w:val="005F2D4F"/>
    <w:rsid w:val="005F388C"/>
    <w:rsid w:val="005F3B07"/>
    <w:rsid w:val="006004B9"/>
    <w:rsid w:val="00600CE8"/>
    <w:rsid w:val="00601233"/>
    <w:rsid w:val="0060377E"/>
    <w:rsid w:val="00603EE7"/>
    <w:rsid w:val="00604469"/>
    <w:rsid w:val="00605AAC"/>
    <w:rsid w:val="0060726B"/>
    <w:rsid w:val="00611447"/>
    <w:rsid w:val="006148DE"/>
    <w:rsid w:val="0061563A"/>
    <w:rsid w:val="00615B11"/>
    <w:rsid w:val="006166B2"/>
    <w:rsid w:val="006175CB"/>
    <w:rsid w:val="006219E0"/>
    <w:rsid w:val="00627A42"/>
    <w:rsid w:val="00630861"/>
    <w:rsid w:val="00632696"/>
    <w:rsid w:val="0063343C"/>
    <w:rsid w:val="006359CA"/>
    <w:rsid w:val="00636D88"/>
    <w:rsid w:val="00637986"/>
    <w:rsid w:val="00640EA8"/>
    <w:rsid w:val="00640F02"/>
    <w:rsid w:val="006421BC"/>
    <w:rsid w:val="00643D1E"/>
    <w:rsid w:val="0064646F"/>
    <w:rsid w:val="0065136D"/>
    <w:rsid w:val="006544B9"/>
    <w:rsid w:val="00655A8F"/>
    <w:rsid w:val="00655B41"/>
    <w:rsid w:val="00660C7D"/>
    <w:rsid w:val="00663DFD"/>
    <w:rsid w:val="006640D9"/>
    <w:rsid w:val="0066507E"/>
    <w:rsid w:val="006744A0"/>
    <w:rsid w:val="006753DB"/>
    <w:rsid w:val="006769E0"/>
    <w:rsid w:val="00677EC2"/>
    <w:rsid w:val="00681E1D"/>
    <w:rsid w:val="00690414"/>
    <w:rsid w:val="00692085"/>
    <w:rsid w:val="0069427A"/>
    <w:rsid w:val="00697850"/>
    <w:rsid w:val="00697D9A"/>
    <w:rsid w:val="006A0EF0"/>
    <w:rsid w:val="006A121A"/>
    <w:rsid w:val="006A2C4F"/>
    <w:rsid w:val="006A3236"/>
    <w:rsid w:val="006A3FE6"/>
    <w:rsid w:val="006A5BF5"/>
    <w:rsid w:val="006A6CA9"/>
    <w:rsid w:val="006A7D37"/>
    <w:rsid w:val="006C2719"/>
    <w:rsid w:val="006C2F7A"/>
    <w:rsid w:val="006C3F57"/>
    <w:rsid w:val="006C4A8F"/>
    <w:rsid w:val="006C54A5"/>
    <w:rsid w:val="006C5A96"/>
    <w:rsid w:val="006C7AAE"/>
    <w:rsid w:val="006E0530"/>
    <w:rsid w:val="006E16E1"/>
    <w:rsid w:val="006E18CD"/>
    <w:rsid w:val="006E3848"/>
    <w:rsid w:val="006E5CE8"/>
    <w:rsid w:val="006F00D0"/>
    <w:rsid w:val="006F3AEE"/>
    <w:rsid w:val="006F4327"/>
    <w:rsid w:val="006F447D"/>
    <w:rsid w:val="006F53B9"/>
    <w:rsid w:val="006F6082"/>
    <w:rsid w:val="006F7556"/>
    <w:rsid w:val="007012A9"/>
    <w:rsid w:val="00703D86"/>
    <w:rsid w:val="00705C5F"/>
    <w:rsid w:val="0070668C"/>
    <w:rsid w:val="00707E1C"/>
    <w:rsid w:val="00710100"/>
    <w:rsid w:val="00711B04"/>
    <w:rsid w:val="0071513C"/>
    <w:rsid w:val="00715F33"/>
    <w:rsid w:val="0072213D"/>
    <w:rsid w:val="00724A8F"/>
    <w:rsid w:val="00730875"/>
    <w:rsid w:val="007313A2"/>
    <w:rsid w:val="00733091"/>
    <w:rsid w:val="007355A7"/>
    <w:rsid w:val="00742CA8"/>
    <w:rsid w:val="00743FDC"/>
    <w:rsid w:val="00747C8F"/>
    <w:rsid w:val="00760DD1"/>
    <w:rsid w:val="00767C45"/>
    <w:rsid w:val="00772384"/>
    <w:rsid w:val="0077306F"/>
    <w:rsid w:val="007812B0"/>
    <w:rsid w:val="00781C8F"/>
    <w:rsid w:val="00785F5A"/>
    <w:rsid w:val="0078784A"/>
    <w:rsid w:val="007A0DDD"/>
    <w:rsid w:val="007A4A4D"/>
    <w:rsid w:val="007A4B4A"/>
    <w:rsid w:val="007B00AB"/>
    <w:rsid w:val="007B226D"/>
    <w:rsid w:val="007B22E8"/>
    <w:rsid w:val="007B656A"/>
    <w:rsid w:val="007C0865"/>
    <w:rsid w:val="007C142C"/>
    <w:rsid w:val="007C19F8"/>
    <w:rsid w:val="007C481A"/>
    <w:rsid w:val="007D00AB"/>
    <w:rsid w:val="007D0A3A"/>
    <w:rsid w:val="007D0CC1"/>
    <w:rsid w:val="007D53FD"/>
    <w:rsid w:val="007D66F3"/>
    <w:rsid w:val="007E0EA5"/>
    <w:rsid w:val="007E79CD"/>
    <w:rsid w:val="007F24D8"/>
    <w:rsid w:val="00801FC1"/>
    <w:rsid w:val="008046C1"/>
    <w:rsid w:val="00804F35"/>
    <w:rsid w:val="0080536A"/>
    <w:rsid w:val="00807AA6"/>
    <w:rsid w:val="008132B3"/>
    <w:rsid w:val="00813C42"/>
    <w:rsid w:val="008217FC"/>
    <w:rsid w:val="008271C7"/>
    <w:rsid w:val="00827A04"/>
    <w:rsid w:val="00827FE3"/>
    <w:rsid w:val="00830601"/>
    <w:rsid w:val="00831966"/>
    <w:rsid w:val="00834BE2"/>
    <w:rsid w:val="0084387B"/>
    <w:rsid w:val="00855980"/>
    <w:rsid w:val="0086055C"/>
    <w:rsid w:val="00867EBF"/>
    <w:rsid w:val="008722DC"/>
    <w:rsid w:val="00874F3F"/>
    <w:rsid w:val="00876BF3"/>
    <w:rsid w:val="00877FC9"/>
    <w:rsid w:val="0088196F"/>
    <w:rsid w:val="008830BE"/>
    <w:rsid w:val="00885B93"/>
    <w:rsid w:val="00886618"/>
    <w:rsid w:val="0089196E"/>
    <w:rsid w:val="00891AEA"/>
    <w:rsid w:val="0089614C"/>
    <w:rsid w:val="008968D6"/>
    <w:rsid w:val="008A166F"/>
    <w:rsid w:val="008A1844"/>
    <w:rsid w:val="008A61C0"/>
    <w:rsid w:val="008B2630"/>
    <w:rsid w:val="008B33D5"/>
    <w:rsid w:val="008B5EF2"/>
    <w:rsid w:val="008B65AF"/>
    <w:rsid w:val="008C358E"/>
    <w:rsid w:val="008C615E"/>
    <w:rsid w:val="008C6C90"/>
    <w:rsid w:val="008D4195"/>
    <w:rsid w:val="008D45F7"/>
    <w:rsid w:val="008D4AB0"/>
    <w:rsid w:val="008E045F"/>
    <w:rsid w:val="008E5AB1"/>
    <w:rsid w:val="008E788C"/>
    <w:rsid w:val="008F6ECF"/>
    <w:rsid w:val="00902233"/>
    <w:rsid w:val="00904AC0"/>
    <w:rsid w:val="00910D55"/>
    <w:rsid w:val="00911F6B"/>
    <w:rsid w:val="00912ACE"/>
    <w:rsid w:val="0091347B"/>
    <w:rsid w:val="009216A3"/>
    <w:rsid w:val="00923541"/>
    <w:rsid w:val="00923D18"/>
    <w:rsid w:val="00931701"/>
    <w:rsid w:val="009329C4"/>
    <w:rsid w:val="00932A8B"/>
    <w:rsid w:val="00934151"/>
    <w:rsid w:val="00935848"/>
    <w:rsid w:val="00935A33"/>
    <w:rsid w:val="00951F39"/>
    <w:rsid w:val="00953549"/>
    <w:rsid w:val="00966ADF"/>
    <w:rsid w:val="00973E00"/>
    <w:rsid w:val="00980FAE"/>
    <w:rsid w:val="00983A74"/>
    <w:rsid w:val="0098650F"/>
    <w:rsid w:val="009923C9"/>
    <w:rsid w:val="009932A0"/>
    <w:rsid w:val="009951E1"/>
    <w:rsid w:val="00995F17"/>
    <w:rsid w:val="009A1517"/>
    <w:rsid w:val="009A2195"/>
    <w:rsid w:val="009A7086"/>
    <w:rsid w:val="009B4CE8"/>
    <w:rsid w:val="009B5E0A"/>
    <w:rsid w:val="009B635A"/>
    <w:rsid w:val="009C0570"/>
    <w:rsid w:val="009C1A8B"/>
    <w:rsid w:val="009C27BC"/>
    <w:rsid w:val="009C2B42"/>
    <w:rsid w:val="009C2B82"/>
    <w:rsid w:val="009C3562"/>
    <w:rsid w:val="009C61B6"/>
    <w:rsid w:val="009D03E9"/>
    <w:rsid w:val="009D2163"/>
    <w:rsid w:val="009D346B"/>
    <w:rsid w:val="009D46CE"/>
    <w:rsid w:val="009E2F72"/>
    <w:rsid w:val="009E2FD2"/>
    <w:rsid w:val="009E56AD"/>
    <w:rsid w:val="009F2EB8"/>
    <w:rsid w:val="009F65CD"/>
    <w:rsid w:val="00A00C5D"/>
    <w:rsid w:val="00A00F09"/>
    <w:rsid w:val="00A01ABA"/>
    <w:rsid w:val="00A05ACF"/>
    <w:rsid w:val="00A10288"/>
    <w:rsid w:val="00A115C5"/>
    <w:rsid w:val="00A119F4"/>
    <w:rsid w:val="00A12E0F"/>
    <w:rsid w:val="00A12EC7"/>
    <w:rsid w:val="00A15CFD"/>
    <w:rsid w:val="00A163AF"/>
    <w:rsid w:val="00A20A23"/>
    <w:rsid w:val="00A21499"/>
    <w:rsid w:val="00A21EAF"/>
    <w:rsid w:val="00A2266E"/>
    <w:rsid w:val="00A22B0F"/>
    <w:rsid w:val="00A22C20"/>
    <w:rsid w:val="00A30D6E"/>
    <w:rsid w:val="00A31018"/>
    <w:rsid w:val="00A32CCC"/>
    <w:rsid w:val="00A3304A"/>
    <w:rsid w:val="00A34398"/>
    <w:rsid w:val="00A372EB"/>
    <w:rsid w:val="00A41213"/>
    <w:rsid w:val="00A414EA"/>
    <w:rsid w:val="00A463B3"/>
    <w:rsid w:val="00A47A17"/>
    <w:rsid w:val="00A52B5B"/>
    <w:rsid w:val="00A5631D"/>
    <w:rsid w:val="00A570B4"/>
    <w:rsid w:val="00A576D6"/>
    <w:rsid w:val="00A61C7E"/>
    <w:rsid w:val="00A635D6"/>
    <w:rsid w:val="00A63681"/>
    <w:rsid w:val="00A63B92"/>
    <w:rsid w:val="00A661EE"/>
    <w:rsid w:val="00A66300"/>
    <w:rsid w:val="00A66BE4"/>
    <w:rsid w:val="00A71914"/>
    <w:rsid w:val="00A81655"/>
    <w:rsid w:val="00A817ED"/>
    <w:rsid w:val="00A8304B"/>
    <w:rsid w:val="00A85AC1"/>
    <w:rsid w:val="00A85CD5"/>
    <w:rsid w:val="00A9412A"/>
    <w:rsid w:val="00A94D9D"/>
    <w:rsid w:val="00A9638A"/>
    <w:rsid w:val="00AA21A1"/>
    <w:rsid w:val="00AB09BB"/>
    <w:rsid w:val="00AB3286"/>
    <w:rsid w:val="00AB4D67"/>
    <w:rsid w:val="00AB554B"/>
    <w:rsid w:val="00AB63E6"/>
    <w:rsid w:val="00AB6621"/>
    <w:rsid w:val="00AB692E"/>
    <w:rsid w:val="00AB6B1C"/>
    <w:rsid w:val="00AC0B29"/>
    <w:rsid w:val="00AC3856"/>
    <w:rsid w:val="00AC40CD"/>
    <w:rsid w:val="00AC4A95"/>
    <w:rsid w:val="00AC4BED"/>
    <w:rsid w:val="00AC4F9D"/>
    <w:rsid w:val="00AC5660"/>
    <w:rsid w:val="00AC7525"/>
    <w:rsid w:val="00AD176D"/>
    <w:rsid w:val="00AD4FF7"/>
    <w:rsid w:val="00AD5360"/>
    <w:rsid w:val="00AD5958"/>
    <w:rsid w:val="00AD6BF9"/>
    <w:rsid w:val="00AD79BE"/>
    <w:rsid w:val="00AE35CB"/>
    <w:rsid w:val="00AE3706"/>
    <w:rsid w:val="00AF021F"/>
    <w:rsid w:val="00AF0E61"/>
    <w:rsid w:val="00AF25E8"/>
    <w:rsid w:val="00AF37C3"/>
    <w:rsid w:val="00B02BFE"/>
    <w:rsid w:val="00B03B9E"/>
    <w:rsid w:val="00B062C5"/>
    <w:rsid w:val="00B07BC0"/>
    <w:rsid w:val="00B1052B"/>
    <w:rsid w:val="00B1642C"/>
    <w:rsid w:val="00B16A1D"/>
    <w:rsid w:val="00B226BA"/>
    <w:rsid w:val="00B228A6"/>
    <w:rsid w:val="00B26040"/>
    <w:rsid w:val="00B30E8B"/>
    <w:rsid w:val="00B32DEA"/>
    <w:rsid w:val="00B360CA"/>
    <w:rsid w:val="00B364BA"/>
    <w:rsid w:val="00B36930"/>
    <w:rsid w:val="00B36BA1"/>
    <w:rsid w:val="00B42611"/>
    <w:rsid w:val="00B42A09"/>
    <w:rsid w:val="00B45115"/>
    <w:rsid w:val="00B47002"/>
    <w:rsid w:val="00B4719C"/>
    <w:rsid w:val="00B4765D"/>
    <w:rsid w:val="00B479C3"/>
    <w:rsid w:val="00B47BD0"/>
    <w:rsid w:val="00B513B0"/>
    <w:rsid w:val="00B5323C"/>
    <w:rsid w:val="00B542FC"/>
    <w:rsid w:val="00B554EE"/>
    <w:rsid w:val="00B600BD"/>
    <w:rsid w:val="00B61AF3"/>
    <w:rsid w:val="00B63D52"/>
    <w:rsid w:val="00B71583"/>
    <w:rsid w:val="00B71F42"/>
    <w:rsid w:val="00B721FC"/>
    <w:rsid w:val="00B74FD7"/>
    <w:rsid w:val="00B76A32"/>
    <w:rsid w:val="00B77BCE"/>
    <w:rsid w:val="00B813BF"/>
    <w:rsid w:val="00B81D0C"/>
    <w:rsid w:val="00B82E1F"/>
    <w:rsid w:val="00B8686C"/>
    <w:rsid w:val="00B874ED"/>
    <w:rsid w:val="00B87927"/>
    <w:rsid w:val="00B939B3"/>
    <w:rsid w:val="00B93D25"/>
    <w:rsid w:val="00B94DC7"/>
    <w:rsid w:val="00B95581"/>
    <w:rsid w:val="00B969A0"/>
    <w:rsid w:val="00BA09F3"/>
    <w:rsid w:val="00BA190C"/>
    <w:rsid w:val="00BA1C98"/>
    <w:rsid w:val="00BA306A"/>
    <w:rsid w:val="00BA486B"/>
    <w:rsid w:val="00BB2C5A"/>
    <w:rsid w:val="00BB3B45"/>
    <w:rsid w:val="00BB4CFD"/>
    <w:rsid w:val="00BB6962"/>
    <w:rsid w:val="00BC0258"/>
    <w:rsid w:val="00BC397A"/>
    <w:rsid w:val="00BC76EC"/>
    <w:rsid w:val="00BC7FF3"/>
    <w:rsid w:val="00BD261E"/>
    <w:rsid w:val="00BD3F1C"/>
    <w:rsid w:val="00BD4009"/>
    <w:rsid w:val="00BD4A71"/>
    <w:rsid w:val="00BD4ACD"/>
    <w:rsid w:val="00BD7557"/>
    <w:rsid w:val="00BD7641"/>
    <w:rsid w:val="00BD7F44"/>
    <w:rsid w:val="00BE1152"/>
    <w:rsid w:val="00BE1BFB"/>
    <w:rsid w:val="00C00729"/>
    <w:rsid w:val="00C00C9A"/>
    <w:rsid w:val="00C0244A"/>
    <w:rsid w:val="00C04487"/>
    <w:rsid w:val="00C053A2"/>
    <w:rsid w:val="00C062AE"/>
    <w:rsid w:val="00C075D7"/>
    <w:rsid w:val="00C119C6"/>
    <w:rsid w:val="00C140FF"/>
    <w:rsid w:val="00C23378"/>
    <w:rsid w:val="00C25751"/>
    <w:rsid w:val="00C26044"/>
    <w:rsid w:val="00C273A4"/>
    <w:rsid w:val="00C3092A"/>
    <w:rsid w:val="00C30E2F"/>
    <w:rsid w:val="00C3333C"/>
    <w:rsid w:val="00C33F12"/>
    <w:rsid w:val="00C379D9"/>
    <w:rsid w:val="00C402C5"/>
    <w:rsid w:val="00C41368"/>
    <w:rsid w:val="00C45CCD"/>
    <w:rsid w:val="00C45FFC"/>
    <w:rsid w:val="00C5037B"/>
    <w:rsid w:val="00C5258D"/>
    <w:rsid w:val="00C548A8"/>
    <w:rsid w:val="00C54AB3"/>
    <w:rsid w:val="00C608B0"/>
    <w:rsid w:val="00C62BAB"/>
    <w:rsid w:val="00C630FD"/>
    <w:rsid w:val="00C63D9F"/>
    <w:rsid w:val="00C64B58"/>
    <w:rsid w:val="00C66867"/>
    <w:rsid w:val="00C66959"/>
    <w:rsid w:val="00C66F94"/>
    <w:rsid w:val="00C704BE"/>
    <w:rsid w:val="00C769CF"/>
    <w:rsid w:val="00C76BE1"/>
    <w:rsid w:val="00C77963"/>
    <w:rsid w:val="00C77E34"/>
    <w:rsid w:val="00C805D2"/>
    <w:rsid w:val="00C81347"/>
    <w:rsid w:val="00C82A25"/>
    <w:rsid w:val="00C82BA9"/>
    <w:rsid w:val="00C84133"/>
    <w:rsid w:val="00C84928"/>
    <w:rsid w:val="00C92AE8"/>
    <w:rsid w:val="00C9346E"/>
    <w:rsid w:val="00C95924"/>
    <w:rsid w:val="00CA00F3"/>
    <w:rsid w:val="00CA1493"/>
    <w:rsid w:val="00CA4233"/>
    <w:rsid w:val="00CA59DC"/>
    <w:rsid w:val="00CA6299"/>
    <w:rsid w:val="00CB45B5"/>
    <w:rsid w:val="00CB7F98"/>
    <w:rsid w:val="00CC0B22"/>
    <w:rsid w:val="00CC5235"/>
    <w:rsid w:val="00CC6A4D"/>
    <w:rsid w:val="00CD7072"/>
    <w:rsid w:val="00CE2A5B"/>
    <w:rsid w:val="00CE2CBC"/>
    <w:rsid w:val="00CE4845"/>
    <w:rsid w:val="00CE645F"/>
    <w:rsid w:val="00CF197B"/>
    <w:rsid w:val="00CF2E9B"/>
    <w:rsid w:val="00CF508A"/>
    <w:rsid w:val="00CF78D8"/>
    <w:rsid w:val="00D02BEB"/>
    <w:rsid w:val="00D0426D"/>
    <w:rsid w:val="00D048BA"/>
    <w:rsid w:val="00D05A08"/>
    <w:rsid w:val="00D07BBE"/>
    <w:rsid w:val="00D11048"/>
    <w:rsid w:val="00D12A0E"/>
    <w:rsid w:val="00D1355A"/>
    <w:rsid w:val="00D14FC0"/>
    <w:rsid w:val="00D20A4D"/>
    <w:rsid w:val="00D21651"/>
    <w:rsid w:val="00D2415B"/>
    <w:rsid w:val="00D26B09"/>
    <w:rsid w:val="00D30103"/>
    <w:rsid w:val="00D34A6D"/>
    <w:rsid w:val="00D359CE"/>
    <w:rsid w:val="00D35CDC"/>
    <w:rsid w:val="00D408EE"/>
    <w:rsid w:val="00D4377E"/>
    <w:rsid w:val="00D455E1"/>
    <w:rsid w:val="00D475FC"/>
    <w:rsid w:val="00D52046"/>
    <w:rsid w:val="00D537DF"/>
    <w:rsid w:val="00D54507"/>
    <w:rsid w:val="00D57D44"/>
    <w:rsid w:val="00D6082E"/>
    <w:rsid w:val="00D63A8F"/>
    <w:rsid w:val="00D64ECB"/>
    <w:rsid w:val="00D65030"/>
    <w:rsid w:val="00D656F0"/>
    <w:rsid w:val="00D676C3"/>
    <w:rsid w:val="00D70C05"/>
    <w:rsid w:val="00D7242A"/>
    <w:rsid w:val="00D753BB"/>
    <w:rsid w:val="00D80B65"/>
    <w:rsid w:val="00D82AE6"/>
    <w:rsid w:val="00D8707A"/>
    <w:rsid w:val="00D90973"/>
    <w:rsid w:val="00D94416"/>
    <w:rsid w:val="00D9492F"/>
    <w:rsid w:val="00D95A88"/>
    <w:rsid w:val="00DA03AA"/>
    <w:rsid w:val="00DA0C59"/>
    <w:rsid w:val="00DA15F6"/>
    <w:rsid w:val="00DA3AC8"/>
    <w:rsid w:val="00DA4C76"/>
    <w:rsid w:val="00DA5175"/>
    <w:rsid w:val="00DA56D1"/>
    <w:rsid w:val="00DA66DB"/>
    <w:rsid w:val="00DB21C2"/>
    <w:rsid w:val="00DB21DE"/>
    <w:rsid w:val="00DB3B88"/>
    <w:rsid w:val="00DB713E"/>
    <w:rsid w:val="00DC1A44"/>
    <w:rsid w:val="00DC301F"/>
    <w:rsid w:val="00DC3520"/>
    <w:rsid w:val="00DD1FC3"/>
    <w:rsid w:val="00DD64E3"/>
    <w:rsid w:val="00DE1C6A"/>
    <w:rsid w:val="00DE272F"/>
    <w:rsid w:val="00DE37A4"/>
    <w:rsid w:val="00DE59E7"/>
    <w:rsid w:val="00DE7899"/>
    <w:rsid w:val="00DF0D1F"/>
    <w:rsid w:val="00DF28E5"/>
    <w:rsid w:val="00DF7FC9"/>
    <w:rsid w:val="00E03D90"/>
    <w:rsid w:val="00E1172C"/>
    <w:rsid w:val="00E17747"/>
    <w:rsid w:val="00E177F4"/>
    <w:rsid w:val="00E23C9B"/>
    <w:rsid w:val="00E23E17"/>
    <w:rsid w:val="00E24D57"/>
    <w:rsid w:val="00E25221"/>
    <w:rsid w:val="00E32CE4"/>
    <w:rsid w:val="00E36173"/>
    <w:rsid w:val="00E37B85"/>
    <w:rsid w:val="00E40DC0"/>
    <w:rsid w:val="00E40E33"/>
    <w:rsid w:val="00E43A4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5957"/>
    <w:rsid w:val="00E76336"/>
    <w:rsid w:val="00E826CD"/>
    <w:rsid w:val="00E82770"/>
    <w:rsid w:val="00E82C6A"/>
    <w:rsid w:val="00E8404A"/>
    <w:rsid w:val="00E8610F"/>
    <w:rsid w:val="00E86EB6"/>
    <w:rsid w:val="00E9141F"/>
    <w:rsid w:val="00EA0225"/>
    <w:rsid w:val="00EA0A83"/>
    <w:rsid w:val="00EA4ED9"/>
    <w:rsid w:val="00EA74EE"/>
    <w:rsid w:val="00EB02CA"/>
    <w:rsid w:val="00EB05F2"/>
    <w:rsid w:val="00EB2BC0"/>
    <w:rsid w:val="00EB4077"/>
    <w:rsid w:val="00EB540D"/>
    <w:rsid w:val="00EB6047"/>
    <w:rsid w:val="00EB7929"/>
    <w:rsid w:val="00EC27C6"/>
    <w:rsid w:val="00EC560E"/>
    <w:rsid w:val="00EC62A0"/>
    <w:rsid w:val="00EC6C19"/>
    <w:rsid w:val="00ED092F"/>
    <w:rsid w:val="00ED09F5"/>
    <w:rsid w:val="00ED49DD"/>
    <w:rsid w:val="00EE09C6"/>
    <w:rsid w:val="00EE562B"/>
    <w:rsid w:val="00EE62C9"/>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9FA"/>
    <w:rsid w:val="00F1446A"/>
    <w:rsid w:val="00F1630A"/>
    <w:rsid w:val="00F2234B"/>
    <w:rsid w:val="00F224A1"/>
    <w:rsid w:val="00F24BE6"/>
    <w:rsid w:val="00F24EFE"/>
    <w:rsid w:val="00F264A5"/>
    <w:rsid w:val="00F26B03"/>
    <w:rsid w:val="00F31A46"/>
    <w:rsid w:val="00F33F89"/>
    <w:rsid w:val="00F34085"/>
    <w:rsid w:val="00F343AC"/>
    <w:rsid w:val="00F41CCD"/>
    <w:rsid w:val="00F44326"/>
    <w:rsid w:val="00F443F3"/>
    <w:rsid w:val="00F45FF6"/>
    <w:rsid w:val="00F46F4A"/>
    <w:rsid w:val="00F52C5D"/>
    <w:rsid w:val="00F55721"/>
    <w:rsid w:val="00F56683"/>
    <w:rsid w:val="00F61D11"/>
    <w:rsid w:val="00F622E2"/>
    <w:rsid w:val="00F652A6"/>
    <w:rsid w:val="00F66D5C"/>
    <w:rsid w:val="00F719D6"/>
    <w:rsid w:val="00F73482"/>
    <w:rsid w:val="00F74D16"/>
    <w:rsid w:val="00F75483"/>
    <w:rsid w:val="00F76D92"/>
    <w:rsid w:val="00F82ECC"/>
    <w:rsid w:val="00F84418"/>
    <w:rsid w:val="00F87109"/>
    <w:rsid w:val="00F9220E"/>
    <w:rsid w:val="00F93264"/>
    <w:rsid w:val="00F94B12"/>
    <w:rsid w:val="00F9603B"/>
    <w:rsid w:val="00FA16DC"/>
    <w:rsid w:val="00FA21FD"/>
    <w:rsid w:val="00FA5528"/>
    <w:rsid w:val="00FA59A0"/>
    <w:rsid w:val="00FA5E7B"/>
    <w:rsid w:val="00FA7403"/>
    <w:rsid w:val="00FB1014"/>
    <w:rsid w:val="00FB4212"/>
    <w:rsid w:val="00FB6DA6"/>
    <w:rsid w:val="00FB7490"/>
    <w:rsid w:val="00FC19CA"/>
    <w:rsid w:val="00FC2BB8"/>
    <w:rsid w:val="00FC6718"/>
    <w:rsid w:val="00FD334B"/>
    <w:rsid w:val="00FD6C6C"/>
    <w:rsid w:val="00FE2BDB"/>
    <w:rsid w:val="00FE3CBC"/>
    <w:rsid w:val="00FE61C7"/>
    <w:rsid w:val="00FF07A9"/>
    <w:rsid w:val="00FF1700"/>
    <w:rsid w:val="01846B34"/>
    <w:rsid w:val="02535CBD"/>
    <w:rsid w:val="030919D8"/>
    <w:rsid w:val="035D25F9"/>
    <w:rsid w:val="04576A9B"/>
    <w:rsid w:val="0559072B"/>
    <w:rsid w:val="060E27D6"/>
    <w:rsid w:val="072A775F"/>
    <w:rsid w:val="07D35584"/>
    <w:rsid w:val="07F95559"/>
    <w:rsid w:val="08275936"/>
    <w:rsid w:val="092E280F"/>
    <w:rsid w:val="097D2E66"/>
    <w:rsid w:val="09C37BCC"/>
    <w:rsid w:val="09D330AE"/>
    <w:rsid w:val="0A1C7AD0"/>
    <w:rsid w:val="0AEA4BF9"/>
    <w:rsid w:val="0BFE313E"/>
    <w:rsid w:val="0C565FD6"/>
    <w:rsid w:val="0C607954"/>
    <w:rsid w:val="0D532A54"/>
    <w:rsid w:val="0D9E6986"/>
    <w:rsid w:val="0F0569D9"/>
    <w:rsid w:val="0F4E6956"/>
    <w:rsid w:val="0FA864BA"/>
    <w:rsid w:val="0FE1581F"/>
    <w:rsid w:val="107C32AD"/>
    <w:rsid w:val="12371331"/>
    <w:rsid w:val="1278194F"/>
    <w:rsid w:val="1293465E"/>
    <w:rsid w:val="138560C0"/>
    <w:rsid w:val="1535420E"/>
    <w:rsid w:val="15E02AE5"/>
    <w:rsid w:val="1A563CC4"/>
    <w:rsid w:val="1B5B6E49"/>
    <w:rsid w:val="1B6F6B18"/>
    <w:rsid w:val="1BE148FF"/>
    <w:rsid w:val="1BF0527D"/>
    <w:rsid w:val="1C492226"/>
    <w:rsid w:val="1DBF3D95"/>
    <w:rsid w:val="1F4B5DD4"/>
    <w:rsid w:val="207154C4"/>
    <w:rsid w:val="2091593A"/>
    <w:rsid w:val="20D04191"/>
    <w:rsid w:val="20F13DAB"/>
    <w:rsid w:val="21B948DC"/>
    <w:rsid w:val="21D816F4"/>
    <w:rsid w:val="22E40BA2"/>
    <w:rsid w:val="24A75771"/>
    <w:rsid w:val="24D513E9"/>
    <w:rsid w:val="253A18E9"/>
    <w:rsid w:val="25C10A50"/>
    <w:rsid w:val="26393260"/>
    <w:rsid w:val="27B859FB"/>
    <w:rsid w:val="293B5FC4"/>
    <w:rsid w:val="29C514EA"/>
    <w:rsid w:val="2ABD76F2"/>
    <w:rsid w:val="2B3F0E06"/>
    <w:rsid w:val="2C99503A"/>
    <w:rsid w:val="2D1B5E13"/>
    <w:rsid w:val="2D583F8D"/>
    <w:rsid w:val="2D8A22FE"/>
    <w:rsid w:val="2E012AE2"/>
    <w:rsid w:val="2E327145"/>
    <w:rsid w:val="2E9F2F97"/>
    <w:rsid w:val="2F5D76D5"/>
    <w:rsid w:val="30EA46D5"/>
    <w:rsid w:val="32F35570"/>
    <w:rsid w:val="339F5DF9"/>
    <w:rsid w:val="33B60EFE"/>
    <w:rsid w:val="33C36A50"/>
    <w:rsid w:val="36B851BD"/>
    <w:rsid w:val="36C14DCD"/>
    <w:rsid w:val="36DD6847"/>
    <w:rsid w:val="374177D6"/>
    <w:rsid w:val="37605C00"/>
    <w:rsid w:val="37991DE9"/>
    <w:rsid w:val="38E23219"/>
    <w:rsid w:val="39991CCC"/>
    <w:rsid w:val="399E2887"/>
    <w:rsid w:val="3B722060"/>
    <w:rsid w:val="3D9077EA"/>
    <w:rsid w:val="3F6A38EF"/>
    <w:rsid w:val="41787619"/>
    <w:rsid w:val="42DF267A"/>
    <w:rsid w:val="43F6288F"/>
    <w:rsid w:val="443D4041"/>
    <w:rsid w:val="44983428"/>
    <w:rsid w:val="44AC0692"/>
    <w:rsid w:val="45192B14"/>
    <w:rsid w:val="452A0575"/>
    <w:rsid w:val="46362A21"/>
    <w:rsid w:val="463B1F86"/>
    <w:rsid w:val="468C48C7"/>
    <w:rsid w:val="48237939"/>
    <w:rsid w:val="4881126D"/>
    <w:rsid w:val="48B777AB"/>
    <w:rsid w:val="4913318E"/>
    <w:rsid w:val="49AD6B8D"/>
    <w:rsid w:val="49B91E77"/>
    <w:rsid w:val="4A21360D"/>
    <w:rsid w:val="4BE96149"/>
    <w:rsid w:val="4BEF3756"/>
    <w:rsid w:val="4DA82558"/>
    <w:rsid w:val="4E340D3D"/>
    <w:rsid w:val="4F9D0C99"/>
    <w:rsid w:val="513D5970"/>
    <w:rsid w:val="51587DBD"/>
    <w:rsid w:val="52C36CEF"/>
    <w:rsid w:val="52C73B2C"/>
    <w:rsid w:val="53CC5CD8"/>
    <w:rsid w:val="53E21740"/>
    <w:rsid w:val="54E553B0"/>
    <w:rsid w:val="54EE1B39"/>
    <w:rsid w:val="550B575A"/>
    <w:rsid w:val="568B01BF"/>
    <w:rsid w:val="56AA0B4C"/>
    <w:rsid w:val="56B26EE3"/>
    <w:rsid w:val="5700571B"/>
    <w:rsid w:val="572B3C88"/>
    <w:rsid w:val="584F2036"/>
    <w:rsid w:val="58C522A7"/>
    <w:rsid w:val="58CD2BF5"/>
    <w:rsid w:val="5A101BA8"/>
    <w:rsid w:val="5A2F42DD"/>
    <w:rsid w:val="5AC71D56"/>
    <w:rsid w:val="5B0171D9"/>
    <w:rsid w:val="5DDE4AFA"/>
    <w:rsid w:val="5E7C527D"/>
    <w:rsid w:val="5ED50910"/>
    <w:rsid w:val="5EF25FD1"/>
    <w:rsid w:val="5F275B1C"/>
    <w:rsid w:val="601F5F79"/>
    <w:rsid w:val="61077E03"/>
    <w:rsid w:val="61B8189F"/>
    <w:rsid w:val="63C71C76"/>
    <w:rsid w:val="63FC2F6F"/>
    <w:rsid w:val="650224F8"/>
    <w:rsid w:val="65EB296E"/>
    <w:rsid w:val="660951F0"/>
    <w:rsid w:val="66BB3BD4"/>
    <w:rsid w:val="66C8082C"/>
    <w:rsid w:val="683E503B"/>
    <w:rsid w:val="69B133E2"/>
    <w:rsid w:val="6A595B35"/>
    <w:rsid w:val="6ABB4B96"/>
    <w:rsid w:val="6B825EDC"/>
    <w:rsid w:val="6D4639C4"/>
    <w:rsid w:val="6DC40210"/>
    <w:rsid w:val="6E492F1A"/>
    <w:rsid w:val="701C7CDF"/>
    <w:rsid w:val="706D0D9E"/>
    <w:rsid w:val="70ED15D1"/>
    <w:rsid w:val="727C0561"/>
    <w:rsid w:val="72C90769"/>
    <w:rsid w:val="72DC65C5"/>
    <w:rsid w:val="72ED04FE"/>
    <w:rsid w:val="733471C7"/>
    <w:rsid w:val="73A851EF"/>
    <w:rsid w:val="73BA7868"/>
    <w:rsid w:val="74F14380"/>
    <w:rsid w:val="7559641F"/>
    <w:rsid w:val="772816EF"/>
    <w:rsid w:val="7811171D"/>
    <w:rsid w:val="79C732A6"/>
    <w:rsid w:val="7BE95D3C"/>
    <w:rsid w:val="7CDB41E5"/>
    <w:rsid w:val="7D063DF8"/>
    <w:rsid w:val="7DE66E9C"/>
    <w:rsid w:val="7DE82873"/>
    <w:rsid w:val="7DEB5F33"/>
    <w:rsid w:val="7E1A4651"/>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2"/>
    </o:shapelayout>
  </w:shapeDefaults>
  <w:decimalSymbol w:val="."/>
  <w:listSeparator w:val=","/>
  <w15:docId w15:val="{E81F248A-860E-4015-ABBF-17E39E972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header" w:qFormat="1"/>
    <w:lsdException w:name="footer" w:qFormat="1"/>
    <w:lsdException w:name="caption"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First Indent" w:qFormat="1"/>
    <w:lsdException w:name="Hyperlink" w:uiPriority="99" w:qFormat="1"/>
    <w:lsdException w:name="Strong"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00" w:lineRule="auto"/>
      <w:jc w:val="both"/>
    </w:pPr>
    <w:rPr>
      <w:kern w:val="2"/>
      <w:sz w:val="24"/>
      <w:szCs w:val="24"/>
    </w:rPr>
  </w:style>
  <w:style w:type="paragraph" w:styleId="1">
    <w:name w:val="heading 1"/>
    <w:basedOn w:val="a"/>
    <w:next w:val="a"/>
    <w:qFormat/>
    <w:pPr>
      <w:pageBreakBefore/>
      <w:spacing w:beforeLines="100" w:before="100" w:afterLines="80" w:after="80"/>
      <w:jc w:val="center"/>
      <w:outlineLvl w:val="0"/>
    </w:pPr>
    <w:rPr>
      <w:rFonts w:ascii="黑体" w:eastAsia="黑体" w:hAnsi="黑体"/>
      <w:kern w:val="44"/>
      <w:sz w:val="36"/>
      <w:szCs w:val="36"/>
    </w:rPr>
  </w:style>
  <w:style w:type="paragraph" w:styleId="2">
    <w:name w:val="heading 2"/>
    <w:basedOn w:val="a"/>
    <w:next w:val="a"/>
    <w:qFormat/>
    <w:pPr>
      <w:adjustRightInd w:val="0"/>
      <w:snapToGrid w:val="0"/>
      <w:spacing w:beforeLines="50" w:before="50" w:afterLines="50" w:after="50"/>
      <w:outlineLvl w:val="1"/>
    </w:pPr>
    <w:rPr>
      <w:rFonts w:ascii="黑体" w:eastAsia="黑体" w:hAnsi="黑体"/>
      <w:kern w:val="0"/>
      <w:sz w:val="30"/>
      <w:szCs w:val="30"/>
    </w:rPr>
  </w:style>
  <w:style w:type="paragraph" w:styleId="3">
    <w:name w:val="heading 3"/>
    <w:basedOn w:val="a"/>
    <w:next w:val="a"/>
    <w:qFormat/>
    <w:pPr>
      <w:adjustRightInd w:val="0"/>
      <w:snapToGrid w:val="0"/>
      <w:spacing w:beforeLines="50" w:before="50" w:afterLines="50" w:after="50"/>
      <w:outlineLvl w:val="2"/>
    </w:pPr>
    <w:rPr>
      <w:rFonts w:eastAsia="黑体"/>
      <w:kern w:val="0"/>
      <w:sz w:val="28"/>
      <w:szCs w:val="28"/>
      <w:lang w:val="zh-CN"/>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ind w:left="1440"/>
      <w:jc w:val="left"/>
    </w:pPr>
    <w:rPr>
      <w:szCs w:val="21"/>
    </w:rPr>
  </w:style>
  <w:style w:type="paragraph" w:styleId="a3">
    <w:name w:val="Normal Indent"/>
    <w:basedOn w:val="a"/>
    <w:qFormat/>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qFormat/>
    <w:pPr>
      <w:widowControl w:val="0"/>
      <w:autoSpaceDE w:val="0"/>
      <w:autoSpaceDN w:val="0"/>
      <w:adjustRightInd w:val="0"/>
    </w:pPr>
    <w:rPr>
      <w:color w:val="000000"/>
      <w:sz w:val="24"/>
      <w:szCs w:val="24"/>
    </w:rPr>
  </w:style>
  <w:style w:type="paragraph" w:styleId="a5">
    <w:name w:val="Document Map"/>
    <w:basedOn w:val="a"/>
    <w:semiHidden/>
    <w:qFormat/>
    <w:pPr>
      <w:shd w:val="clear" w:color="auto" w:fill="000080"/>
    </w:pPr>
  </w:style>
  <w:style w:type="paragraph" w:styleId="a6">
    <w:name w:val="Body Text"/>
    <w:basedOn w:val="a"/>
    <w:qFormat/>
    <w:pPr>
      <w:spacing w:after="120"/>
    </w:pPr>
  </w:style>
  <w:style w:type="paragraph" w:styleId="a7">
    <w:name w:val="Body Text Indent"/>
    <w:basedOn w:val="a"/>
    <w:qFormat/>
    <w:pPr>
      <w:spacing w:after="120"/>
      <w:ind w:leftChars="200" w:left="420"/>
    </w:pPr>
  </w:style>
  <w:style w:type="paragraph" w:styleId="TOC5">
    <w:name w:val="toc 5"/>
    <w:basedOn w:val="a"/>
    <w:next w:val="a"/>
    <w:semiHidden/>
    <w:qFormat/>
    <w:pPr>
      <w:ind w:left="958"/>
      <w:jc w:val="left"/>
    </w:pPr>
    <w:rPr>
      <w:szCs w:val="21"/>
    </w:rPr>
  </w:style>
  <w:style w:type="paragraph" w:styleId="TOC3">
    <w:name w:val="toc 3"/>
    <w:basedOn w:val="a"/>
    <w:next w:val="a"/>
    <w:uiPriority w:val="39"/>
    <w:qFormat/>
    <w:pPr>
      <w:spacing w:line="240" w:lineRule="auto"/>
      <w:ind w:left="480"/>
      <w:jc w:val="left"/>
    </w:pPr>
  </w:style>
  <w:style w:type="paragraph" w:styleId="a8">
    <w:name w:val="Plain Text"/>
    <w:basedOn w:val="a"/>
    <w:qFormat/>
    <w:rPr>
      <w:rFonts w:ascii="宋体" w:hAnsi="Courier New"/>
      <w:sz w:val="21"/>
      <w:szCs w:val="20"/>
    </w:rPr>
  </w:style>
  <w:style w:type="paragraph" w:styleId="TOC8">
    <w:name w:val="toc 8"/>
    <w:basedOn w:val="a"/>
    <w:next w:val="a"/>
    <w:semiHidden/>
    <w:qFormat/>
    <w:pPr>
      <w:ind w:left="1678"/>
      <w:jc w:val="left"/>
    </w:pPr>
    <w:rPr>
      <w:szCs w:val="21"/>
    </w:rPr>
  </w:style>
  <w:style w:type="paragraph" w:styleId="a9">
    <w:name w:val="Date"/>
    <w:basedOn w:val="a"/>
    <w:next w:val="a"/>
    <w:qFormat/>
    <w:rPr>
      <w:rFonts w:eastAsia="黑体"/>
      <w:szCs w:val="20"/>
    </w:rPr>
  </w:style>
  <w:style w:type="paragraph" w:styleId="aa">
    <w:name w:val="Balloon Text"/>
    <w:basedOn w:val="a"/>
    <w:semiHidden/>
    <w:qFormat/>
    <w:rPr>
      <w:sz w:val="18"/>
      <w:szCs w:val="18"/>
    </w:rPr>
  </w:style>
  <w:style w:type="paragraph" w:styleId="ab">
    <w:name w:val="footer"/>
    <w:basedOn w:val="a"/>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line="240" w:lineRule="auto"/>
      <w:jc w:val="left"/>
    </w:pPr>
    <w:rPr>
      <w:rFonts w:eastAsia="黑体"/>
    </w:rPr>
  </w:style>
  <w:style w:type="paragraph" w:styleId="TOC4">
    <w:name w:val="toc 4"/>
    <w:basedOn w:val="a"/>
    <w:next w:val="a"/>
    <w:semiHidden/>
    <w:qFormat/>
    <w:pPr>
      <w:ind w:left="720"/>
      <w:jc w:val="left"/>
    </w:pPr>
    <w:rPr>
      <w:szCs w:val="21"/>
    </w:rPr>
  </w:style>
  <w:style w:type="paragraph" w:styleId="TOC6">
    <w:name w:val="toc 6"/>
    <w:basedOn w:val="a"/>
    <w:next w:val="a"/>
    <w:semiHidden/>
    <w:qFormat/>
    <w:pPr>
      <w:ind w:left="1202"/>
      <w:jc w:val="left"/>
    </w:pPr>
    <w:rPr>
      <w:szCs w:val="21"/>
    </w:rPr>
  </w:style>
  <w:style w:type="paragraph" w:styleId="TOC2">
    <w:name w:val="toc 2"/>
    <w:basedOn w:val="a"/>
    <w:next w:val="a"/>
    <w:uiPriority w:val="39"/>
    <w:qFormat/>
    <w:pPr>
      <w:spacing w:line="240" w:lineRule="auto"/>
      <w:ind w:left="240"/>
      <w:jc w:val="left"/>
    </w:pPr>
  </w:style>
  <w:style w:type="paragraph" w:styleId="TOC9">
    <w:name w:val="toc 9"/>
    <w:basedOn w:val="a"/>
    <w:next w:val="a"/>
    <w:semiHidden/>
    <w:qFormat/>
    <w:pPr>
      <w:ind w:left="1922"/>
      <w:jc w:val="left"/>
    </w:pPr>
    <w:rPr>
      <w:szCs w:val="21"/>
    </w:rPr>
  </w:style>
  <w:style w:type="paragraph" w:styleId="ad">
    <w:name w:val="Title"/>
    <w:next w:val="ae"/>
    <w:qFormat/>
    <w:pPr>
      <w:keepLines/>
      <w:pageBreakBefore/>
      <w:widowControl w:val="0"/>
      <w:spacing w:before="240" w:after="120"/>
      <w:jc w:val="center"/>
      <w:outlineLvl w:val="0"/>
    </w:pPr>
    <w:rPr>
      <w:rFonts w:eastAsia="黑体"/>
      <w:b/>
      <w:kern w:val="2"/>
      <w:sz w:val="36"/>
    </w:rPr>
  </w:style>
  <w:style w:type="paragraph" w:styleId="ae">
    <w:name w:val="Body Text First Indent"/>
    <w:basedOn w:val="a6"/>
    <w:qFormat/>
    <w:pPr>
      <w:ind w:firstLineChars="200" w:firstLine="498"/>
    </w:pPr>
    <w:rPr>
      <w:szCs w:val="20"/>
    </w:rPr>
  </w:style>
  <w:style w:type="table" w:styleId="af">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qFormat/>
  </w:style>
  <w:style w:type="character" w:styleId="af2">
    <w:name w:val="Hyperlink"/>
    <w:uiPriority w:val="99"/>
    <w:qFormat/>
    <w:rPr>
      <w:color w:val="0000FF"/>
      <w:u w:val="single"/>
    </w:rPr>
  </w:style>
  <w:style w:type="paragraph" w:customStyle="1" w:styleId="CharCharCharChar">
    <w:name w:val="Char Char Char Char"/>
    <w:basedOn w:val="a"/>
    <w:qFormat/>
    <w:rPr>
      <w:rFonts w:ascii="Tahoma" w:hAnsi="Tahoma"/>
      <w:szCs w:val="20"/>
    </w:rPr>
  </w:style>
  <w:style w:type="paragraph" w:customStyle="1" w:styleId="30">
    <w:name w:val="样式3"/>
    <w:basedOn w:val="a"/>
    <w:qFormat/>
    <w:pPr>
      <w:snapToGrid w:val="0"/>
      <w:spacing w:line="360" w:lineRule="auto"/>
      <w:jc w:val="center"/>
    </w:pPr>
    <w:rPr>
      <w:rFonts w:eastAsia="黑体"/>
      <w:sz w:val="36"/>
      <w:szCs w:val="36"/>
    </w:rPr>
  </w:style>
  <w:style w:type="paragraph" w:customStyle="1" w:styleId="af3">
    <w:name w:val="章标题(不加入目录内)"/>
    <w:basedOn w:val="ad"/>
    <w:qFormat/>
    <w:pPr>
      <w:jc w:val="both"/>
      <w:outlineLvl w:val="9"/>
    </w:pPr>
  </w:style>
  <w:style w:type="paragraph" w:customStyle="1" w:styleId="10">
    <w:name w:val="正文+1"/>
    <w:basedOn w:val="Default"/>
    <w:next w:val="Default"/>
    <w:qFormat/>
    <w:rPr>
      <w:rFonts w:ascii="宋体"/>
      <w:color w:val="auto"/>
    </w:rPr>
  </w:style>
  <w:style w:type="paragraph" w:customStyle="1" w:styleId="11">
    <w:name w:val="正文文本+1"/>
    <w:basedOn w:val="Default"/>
    <w:next w:val="Default"/>
    <w:qFormat/>
    <w:rPr>
      <w:rFonts w:ascii="宋体"/>
      <w:color w:val="auto"/>
    </w:rPr>
  </w:style>
  <w:style w:type="paragraph" w:customStyle="1" w:styleId="af4">
    <w:name w:val="图表名"/>
    <w:basedOn w:val="Default"/>
    <w:next w:val="Default"/>
    <w:qFormat/>
    <w:pPr>
      <w:spacing w:before="120" w:after="156"/>
    </w:pPr>
    <w:rPr>
      <w:rFonts w:ascii="宋体"/>
      <w:color w:val="auto"/>
    </w:rPr>
  </w:style>
  <w:style w:type="paragraph" w:customStyle="1" w:styleId="style4">
    <w:name w:val="style4"/>
    <w:basedOn w:val="a"/>
    <w:qFormat/>
    <w:pPr>
      <w:widowControl/>
      <w:spacing w:before="100" w:beforeAutospacing="1" w:after="100" w:afterAutospacing="1"/>
      <w:jc w:val="left"/>
    </w:pPr>
    <w:rPr>
      <w:rFonts w:ascii="宋体" w:hAnsi="宋体" w:cs="宋体"/>
      <w:kern w:val="0"/>
    </w:rPr>
  </w:style>
  <w:style w:type="paragraph" w:customStyle="1" w:styleId="af5">
    <w:name w:val="节"/>
    <w:basedOn w:val="a"/>
    <w:qFormat/>
    <w:pPr>
      <w:snapToGrid w:val="0"/>
      <w:spacing w:beforeLines="50" w:afterLines="50"/>
    </w:pPr>
    <w:rPr>
      <w:rFonts w:eastAsia="黑体"/>
      <w:sz w:val="30"/>
    </w:rPr>
  </w:style>
  <w:style w:type="paragraph" w:customStyle="1" w:styleId="af6">
    <w:name w:val="条"/>
    <w:basedOn w:val="a"/>
    <w:qFormat/>
    <w:pPr>
      <w:snapToGrid w:val="0"/>
      <w:spacing w:beforeLines="50" w:afterLines="50"/>
    </w:pPr>
    <w:rPr>
      <w:rFonts w:eastAsia="黑体"/>
      <w:sz w:val="28"/>
    </w:rPr>
  </w:style>
  <w:style w:type="paragraph" w:customStyle="1" w:styleId="af7">
    <w:name w:val="款"/>
    <w:basedOn w:val="a"/>
    <w:qFormat/>
    <w:pPr>
      <w:snapToGrid w:val="0"/>
    </w:pPr>
    <w:rPr>
      <w:rFonts w:eastAsia="黑体"/>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6"/>
    <customShpInfo spid="_x0000_s1035"/>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708</TotalTime>
  <Pages>43</Pages>
  <Words>14723</Words>
  <Characters>18846</Characters>
  <Application>Microsoft Office Word</Application>
  <DocSecurity>0</DocSecurity>
  <Lines>897</Lines>
  <Paragraphs>860</Paragraphs>
  <ScaleCrop>false</ScaleCrop>
  <Company>sparkle</Company>
  <LinksUpToDate>false</LinksUpToDate>
  <CharactersWithSpaces>32709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creator>zhanhj</dc:creator>
  <cp:lastModifiedBy>Yangting Song</cp:lastModifiedBy>
  <cp:revision>12</cp:revision>
  <cp:lastPrinted>2021-12-09T03:47:00Z</cp:lastPrinted>
  <dcterms:created xsi:type="dcterms:W3CDTF">2026-10-05T06:28:00Z</dcterms:created>
  <dcterms:modified xsi:type="dcterms:W3CDTF">2026-10-09T18:15:00Z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82B07C2F473E477EACDFD10260D4068C</vt:lpwstr>
  </property>
  <property fmtid="{D5CDD505-2E9C-101B-9397-08002B2CF9AE}" pid="4" name="KSOTemplateDocerSaveRecord">
    <vt:lpwstr>eyJoZGlkIjoiYWMwMzIwZDgxMWI4NDAxNDRhNzMwM2RjMDhmNDE2ODciLCJ1c2VySWQiOiIxMzgzMzg5OTUzIn0=</vt:lpwstr>
  </property>
</Properties>
</file>