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8D231">
      <w:pPr>
        <w:spacing w:before="312" w:beforeLines="100" w:line="120" w:lineRule="atLeast"/>
        <w:rPr>
          <w:sz w:val="52"/>
          <w:szCs w:val="52"/>
        </w:rPr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0"/>
            <wp:wrapTight wrapText="bothSides">
              <wp:wrapPolygon>
                <wp:start x="0" y="0"/>
                <wp:lineTo x="0" y="20903"/>
                <wp:lineTo x="21000" y="20903"/>
                <wp:lineTo x="21000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/>
        </w:rPr>
        <w:object>
          <v:shape id="_x0000_i1025" o:spt="75" type="#_x0000_t75" style="height:30.85pt;width:122.05pt;" o:ole="t" fillcolor="#000005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MSDraw" ShapeID="_x0000_i1025" DrawAspect="Content" ObjectID="_1468075725" r:id="rId8">
            <o:LockedField>false</o:LockedField>
          </o:OLEObject>
        </w:object>
      </w:r>
    </w:p>
    <w:p w14:paraId="186477E5">
      <w:pPr>
        <w:spacing w:line="200" w:lineRule="exact"/>
        <w:rPr>
          <w:rFonts w:eastAsia="黑体"/>
          <w:b/>
          <w:bCs/>
          <w:sz w:val="18"/>
          <w:szCs w:val="44"/>
        </w:rPr>
      </w:pPr>
      <w:r>
        <w:rPr>
          <w:rFonts w:eastAsia="黑体"/>
          <w:b/>
          <w:bCs/>
          <w:sz w:val="18"/>
          <w:szCs w:val="44"/>
        </w:rPr>
        <w:t>Harbin Institute of Technology</w:t>
      </w:r>
    </w:p>
    <w:p w14:paraId="61585AB7">
      <w:pPr>
        <w:spacing w:line="200" w:lineRule="exact"/>
        <w:rPr>
          <w:rFonts w:eastAsia="黑体"/>
          <w:b/>
          <w:bCs/>
          <w:sz w:val="18"/>
          <w:szCs w:val="44"/>
        </w:rPr>
      </w:pPr>
    </w:p>
    <w:p w14:paraId="159D061C">
      <w:pPr>
        <w:spacing w:line="200" w:lineRule="exact"/>
        <w:rPr>
          <w:rFonts w:eastAsia="黑体"/>
          <w:b/>
          <w:bCs/>
          <w:sz w:val="18"/>
          <w:szCs w:val="44"/>
        </w:rPr>
      </w:pPr>
    </w:p>
    <w:p w14:paraId="44001BAA">
      <w:pPr>
        <w:spacing w:before="624" w:beforeLines="200" w:after="624" w:afterLines="200"/>
        <w:jc w:val="center"/>
        <w:rPr>
          <w:rFonts w:ascii="黑体" w:hAnsi="黑体" w:eastAsia="黑体"/>
          <w:b/>
          <w:bCs/>
          <w:sz w:val="52"/>
          <w:szCs w:val="52"/>
        </w:rPr>
      </w:pPr>
      <w:r>
        <w:rPr>
          <w:rFonts w:hint="eastAsia" w:ascii="黑体" w:hAnsi="黑体" w:eastAsia="黑体"/>
          <w:b/>
          <w:bCs/>
          <w:sz w:val="48"/>
          <w:szCs w:val="52"/>
        </w:rPr>
        <w:t>《具身大模型理论》课程</w:t>
      </w:r>
    </w:p>
    <w:p w14:paraId="53322B23">
      <w:pPr>
        <w:spacing w:before="624" w:beforeLines="200" w:after="624" w:afterLines="200"/>
        <w:jc w:val="center"/>
        <w:rPr>
          <w:rFonts w:ascii="黑体" w:hAnsi="黑体" w:eastAsia="黑体"/>
          <w:bCs/>
          <w:sz w:val="56"/>
          <w:szCs w:val="56"/>
        </w:rPr>
      </w:pPr>
      <w:r>
        <w:rPr>
          <w:rFonts w:hint="eastAsia" w:ascii="黑体" w:hAnsi="黑体" w:eastAsia="黑体"/>
          <w:bCs/>
          <w:sz w:val="56"/>
          <w:szCs w:val="56"/>
        </w:rPr>
        <w:t>实验</w:t>
      </w:r>
      <w:r>
        <w:rPr>
          <w:rFonts w:ascii="黑体" w:hAnsi="黑体" w:eastAsia="黑体"/>
          <w:bCs/>
          <w:sz w:val="56"/>
          <w:szCs w:val="56"/>
        </w:rPr>
        <w:t>报告</w:t>
      </w:r>
    </w:p>
    <w:p w14:paraId="46ADCA83">
      <w:pPr>
        <w:spacing w:before="624" w:beforeLines="200" w:after="624" w:afterLines="200"/>
        <w:jc w:val="center"/>
        <w:rPr>
          <w:szCs w:val="21"/>
        </w:rPr>
      </w:pPr>
    </w:p>
    <w:p w14:paraId="143ED38B">
      <w:pPr>
        <w:spacing w:before="624" w:beforeLines="200" w:after="624" w:afterLines="200"/>
        <w:jc w:val="center"/>
        <w:rPr>
          <w:szCs w:val="21"/>
        </w:rPr>
      </w:pPr>
    </w:p>
    <w:p w14:paraId="494627B4">
      <w:pPr>
        <w:spacing w:before="624" w:beforeLines="200" w:after="624" w:afterLines="200"/>
        <w:jc w:val="center"/>
        <w:rPr>
          <w:rFonts w:ascii="黑体" w:hAnsi="黑体" w:eastAsia="黑体"/>
          <w:szCs w:val="21"/>
        </w:rPr>
      </w:pPr>
    </w:p>
    <w:p w14:paraId="0F842FE5">
      <w:pPr>
        <w:spacing w:line="480" w:lineRule="auto"/>
        <w:ind w:left="539"/>
        <w:rPr>
          <w:rFonts w:ascii="黑体" w:hAnsi="黑体" w:eastAsia="黑体"/>
          <w:sz w:val="36"/>
          <w:szCs w:val="28"/>
          <w:u w:val="single"/>
        </w:rPr>
      </w:pPr>
    </w:p>
    <w:p w14:paraId="5D2E1259">
      <w:pPr>
        <w:spacing w:line="480" w:lineRule="auto"/>
        <w:ind w:firstLine="540" w:firstLineChars="150"/>
        <w:rPr>
          <w:rFonts w:ascii="黑体" w:hAnsi="黑体" w:eastAsia="黑体"/>
          <w:sz w:val="36"/>
          <w:szCs w:val="28"/>
          <w:u w:val="single"/>
        </w:rPr>
      </w:pPr>
      <w:r>
        <w:rPr>
          <w:rFonts w:hint="eastAsia" w:ascii="黑体" w:hAnsi="黑体" w:eastAsia="黑体"/>
          <w:sz w:val="36"/>
          <w:szCs w:val="28"/>
        </w:rPr>
        <w:t>姓    名：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</w:t>
      </w:r>
      <w:r>
        <w:rPr>
          <w:rFonts w:ascii="黑体" w:hAnsi="黑体" w:eastAsia="黑体"/>
          <w:sz w:val="36"/>
          <w:szCs w:val="28"/>
          <w:u w:val="single"/>
        </w:rPr>
        <w:t xml:space="preserve">  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   </w:t>
      </w:r>
      <w:r>
        <w:rPr>
          <w:rFonts w:ascii="黑体" w:hAnsi="黑体" w:eastAsia="黑体"/>
          <w:sz w:val="36"/>
          <w:szCs w:val="28"/>
          <w:u w:val="single"/>
        </w:rPr>
        <w:t xml:space="preserve">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</w:t>
      </w:r>
      <w:r>
        <w:rPr>
          <w:rFonts w:ascii="黑体" w:hAnsi="黑体" w:eastAsia="黑体"/>
          <w:sz w:val="36"/>
          <w:szCs w:val="28"/>
          <w:u w:val="single"/>
        </w:rPr>
        <w:t xml:space="preserve"> 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     </w:t>
      </w:r>
    </w:p>
    <w:p w14:paraId="4B82B5FA">
      <w:pPr>
        <w:spacing w:line="480" w:lineRule="auto"/>
        <w:ind w:left="539"/>
        <w:rPr>
          <w:rFonts w:ascii="黑体" w:hAnsi="黑体" w:eastAsia="黑体"/>
          <w:sz w:val="36"/>
          <w:szCs w:val="28"/>
          <w:u w:val="single"/>
        </w:rPr>
      </w:pPr>
      <w:r>
        <w:rPr>
          <w:rFonts w:hint="eastAsia" w:ascii="黑体" w:hAnsi="黑体" w:eastAsia="黑体"/>
          <w:sz w:val="36"/>
          <w:szCs w:val="28"/>
        </w:rPr>
        <w:t>学    号：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</w:t>
      </w:r>
      <w:r>
        <w:rPr>
          <w:rFonts w:ascii="黑体" w:hAnsi="黑体" w:eastAsia="黑体"/>
          <w:sz w:val="36"/>
          <w:szCs w:val="28"/>
          <w:u w:val="single"/>
        </w:rPr>
        <w:t xml:space="preserve">          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</w:t>
      </w:r>
      <w:r>
        <w:rPr>
          <w:rFonts w:ascii="黑体" w:hAnsi="黑体" w:eastAsia="黑体"/>
          <w:sz w:val="36"/>
          <w:szCs w:val="28"/>
          <w:u w:val="single"/>
        </w:rPr>
        <w:t xml:space="preserve">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     </w:t>
      </w:r>
    </w:p>
    <w:p w14:paraId="4EB623FC">
      <w:pPr>
        <w:spacing w:line="480" w:lineRule="auto"/>
        <w:ind w:firstLine="540" w:firstLineChars="150"/>
        <w:rPr>
          <w:rFonts w:ascii="黑体" w:hAnsi="黑体" w:eastAsia="黑体"/>
          <w:sz w:val="36"/>
          <w:szCs w:val="28"/>
          <w:u w:val="single"/>
        </w:rPr>
      </w:pPr>
      <w:r>
        <w:rPr>
          <w:rFonts w:hint="eastAsia" w:ascii="黑体" w:hAnsi="黑体" w:eastAsia="黑体"/>
          <w:sz w:val="36"/>
          <w:szCs w:val="28"/>
        </w:rPr>
        <w:t>院    系：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</w:t>
      </w:r>
      <w:r>
        <w:rPr>
          <w:rFonts w:ascii="黑体" w:hAnsi="黑体" w:eastAsia="黑体"/>
          <w:sz w:val="36"/>
          <w:szCs w:val="28"/>
          <w:u w:val="single"/>
        </w:rPr>
        <w:t xml:space="preserve">   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         </w:t>
      </w:r>
      <w:r>
        <w:rPr>
          <w:rFonts w:ascii="黑体" w:hAnsi="黑体" w:eastAsia="黑体"/>
          <w:sz w:val="36"/>
          <w:szCs w:val="28"/>
          <w:u w:val="single"/>
        </w:rPr>
        <w:t xml:space="preserve">         </w:t>
      </w:r>
    </w:p>
    <w:p w14:paraId="7552F399">
      <w:pPr>
        <w:spacing w:line="480" w:lineRule="auto"/>
        <w:ind w:left="539"/>
        <w:rPr>
          <w:rFonts w:ascii="黑体" w:hAnsi="黑体" w:eastAsia="黑体"/>
          <w:sz w:val="36"/>
          <w:szCs w:val="28"/>
          <w:u w:val="single"/>
        </w:rPr>
      </w:pPr>
      <w:r>
        <w:rPr>
          <w:rFonts w:hint="eastAsia" w:ascii="黑体" w:hAnsi="黑体" w:eastAsia="黑体"/>
          <w:sz w:val="36"/>
          <w:szCs w:val="28"/>
        </w:rPr>
        <w:t>专    业：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</w:t>
      </w:r>
      <w:r>
        <w:rPr>
          <w:rFonts w:ascii="黑体" w:hAnsi="黑体" w:eastAsia="黑体"/>
          <w:sz w:val="36"/>
          <w:szCs w:val="28"/>
          <w:u w:val="single"/>
        </w:rPr>
        <w:t xml:space="preserve"> 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                  </w:t>
      </w:r>
    </w:p>
    <w:p w14:paraId="0A581F95">
      <w:pPr>
        <w:spacing w:line="480" w:lineRule="auto"/>
        <w:ind w:firstLine="540" w:firstLineChars="150"/>
        <w:rPr>
          <w:rFonts w:ascii="黑体" w:hAnsi="黑体" w:eastAsia="黑体"/>
          <w:sz w:val="36"/>
          <w:szCs w:val="28"/>
          <w:u w:val="single"/>
        </w:rPr>
      </w:pPr>
      <w:r>
        <w:rPr>
          <w:rFonts w:hint="eastAsia" w:ascii="黑体" w:hAnsi="黑体" w:eastAsia="黑体"/>
          <w:sz w:val="36"/>
          <w:szCs w:val="28"/>
        </w:rPr>
        <w:t>指导教师：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</w:t>
      </w:r>
      <w:r>
        <w:rPr>
          <w:rFonts w:ascii="黑体" w:hAnsi="黑体" w:eastAsia="黑体"/>
          <w:sz w:val="36"/>
          <w:szCs w:val="28"/>
          <w:u w:val="single"/>
        </w:rPr>
        <w:t xml:space="preserve">      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高亚斌      </w:t>
      </w:r>
      <w:r>
        <w:rPr>
          <w:rFonts w:ascii="黑体" w:hAnsi="黑体" w:eastAsia="黑体"/>
          <w:sz w:val="36"/>
          <w:szCs w:val="28"/>
          <w:u w:val="single"/>
        </w:rPr>
        <w:t xml:space="preserve"> </w:t>
      </w:r>
      <w:r>
        <w:rPr>
          <w:rFonts w:hint="eastAsia" w:ascii="黑体" w:hAnsi="黑体" w:eastAsia="黑体"/>
          <w:sz w:val="36"/>
          <w:szCs w:val="28"/>
          <w:u w:val="single"/>
        </w:rPr>
        <w:t xml:space="preserve">    </w:t>
      </w:r>
    </w:p>
    <w:p w14:paraId="71C0594A">
      <w:pPr>
        <w:spacing w:line="480" w:lineRule="auto"/>
        <w:rPr>
          <w:rFonts w:ascii="黑体" w:hAnsi="黑体" w:eastAsia="黑体"/>
          <w:sz w:val="32"/>
          <w:szCs w:val="28"/>
        </w:rPr>
      </w:pPr>
    </w:p>
    <w:p w14:paraId="7B2E54A1">
      <w:pPr>
        <w:spacing w:line="480" w:lineRule="auto"/>
        <w:rPr>
          <w:rFonts w:ascii="黑体" w:hAnsi="黑体" w:eastAsia="黑体"/>
          <w:sz w:val="32"/>
          <w:szCs w:val="28"/>
        </w:rPr>
      </w:pPr>
    </w:p>
    <w:p w14:paraId="3B71A24B">
      <w:pPr>
        <w:jc w:val="center"/>
        <w:rPr>
          <w:rFonts w:ascii="黑体" w:hAnsi="黑体" w:eastAsia="黑体"/>
          <w:sz w:val="32"/>
          <w:szCs w:val="28"/>
        </w:rPr>
      </w:pPr>
      <w:r>
        <w:rPr>
          <w:rFonts w:hint="eastAsia" w:ascii="黑体" w:hAnsi="黑体" w:eastAsia="黑体"/>
          <w:sz w:val="32"/>
          <w:szCs w:val="28"/>
        </w:rPr>
        <w:t xml:space="preserve">哈尔滨工业大学    </w:t>
      </w:r>
    </w:p>
    <w:p w14:paraId="116BF030">
      <w:pPr>
        <w:jc w:val="center"/>
        <w:rPr>
          <w:b/>
          <w:sz w:val="36"/>
          <w:szCs w:val="36"/>
        </w:rPr>
        <w:sectPr>
          <w:headerReference r:id="rId3" w:type="default"/>
          <w:footerReference r:id="rId4" w:type="default"/>
          <w:pgSz w:w="11906" w:h="16838"/>
          <w:pgMar w:top="1134" w:right="1134" w:bottom="1134" w:left="1701" w:header="851" w:footer="567" w:gutter="0"/>
          <w:cols w:space="425" w:num="1"/>
          <w:titlePg/>
          <w:docGrid w:type="lines" w:linePitch="312" w:charSpace="0"/>
        </w:sectPr>
      </w:pPr>
      <w:r>
        <w:rPr>
          <w:rFonts w:hint="eastAsia"/>
          <w:b/>
          <w:sz w:val="36"/>
          <w:szCs w:val="36"/>
        </w:rPr>
        <w:t>20</w:t>
      </w:r>
      <w:r>
        <w:rPr>
          <w:b/>
          <w:sz w:val="36"/>
          <w:szCs w:val="36"/>
        </w:rPr>
        <w:t>26</w:t>
      </w:r>
      <w:r>
        <w:rPr>
          <w:rFonts w:hint="eastAsia"/>
          <w:b/>
          <w:sz w:val="36"/>
          <w:szCs w:val="36"/>
        </w:rPr>
        <w:t>年</w:t>
      </w:r>
      <w:r>
        <w:rPr>
          <w:b/>
          <w:sz w:val="36"/>
          <w:szCs w:val="36"/>
        </w:rPr>
        <w:t>5</w:t>
      </w:r>
      <w:r>
        <w:rPr>
          <w:rFonts w:hint="eastAsia"/>
          <w:b/>
          <w:sz w:val="36"/>
          <w:szCs w:val="36"/>
        </w:rPr>
        <w:t>月XX日</w:t>
      </w:r>
    </w:p>
    <w:p w14:paraId="74EA2C37">
      <w:pPr>
        <w:spacing w:before="468" w:beforeLines="150" w:after="312" w:afterLines="100"/>
        <w:rPr>
          <w:sz w:val="32"/>
          <w:szCs w:val="32"/>
        </w:rPr>
      </w:pPr>
      <w:r>
        <w:rPr>
          <w:rFonts w:hint="eastAsia"/>
          <w:sz w:val="32"/>
          <w:szCs w:val="32"/>
        </w:rPr>
        <w:t>审阅教师：</w:t>
      </w:r>
      <w:r>
        <w:rPr>
          <w:rFonts w:hint="eastAsia"/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</w:rPr>
        <w:t xml:space="preserve">   实验成绩：</w:t>
      </w:r>
      <w:r>
        <w:rPr>
          <w:rFonts w:hint="eastAsia"/>
          <w:sz w:val="32"/>
          <w:szCs w:val="32"/>
          <w:u w:val="single"/>
        </w:rPr>
        <w:t xml:space="preserve">             </w:t>
      </w:r>
    </w:p>
    <w:p w14:paraId="797CE37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C9B3A86">
      <w:pPr>
        <w:snapToGrid w:val="0"/>
        <w:spacing w:before="120" w:after="120"/>
        <w:rPr>
          <w:rFonts w:hint="default" w:ascii="宋体" w:hAnsi="宋体" w:eastAsia="宋体"/>
          <w:b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sz w:val="36"/>
          <w:szCs w:val="36"/>
        </w:rPr>
        <w:t>实验项目1：</w:t>
      </w:r>
      <w:r>
        <w:rPr>
          <w:rFonts w:hint="eastAsia" w:ascii="宋体" w:hAnsi="宋体"/>
          <w:b/>
          <w:sz w:val="36"/>
          <w:szCs w:val="36"/>
          <w:lang w:val="en-US" w:eastAsia="zh-CN"/>
        </w:rPr>
        <w:t>大模型搭建与使用</w:t>
      </w:r>
    </w:p>
    <w:p w14:paraId="6F2ECA6E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6AF1E75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一、实验目的</w:t>
      </w:r>
    </w:p>
    <w:p w14:paraId="17305EA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见</w:t>
      </w:r>
      <w:r>
        <w:rPr>
          <w:rFonts w:ascii="宋体" w:hAnsi="宋体"/>
          <w:sz w:val="24"/>
        </w:rPr>
        <w:t>《</w:t>
      </w:r>
      <w:r>
        <w:rPr>
          <w:rFonts w:hint="eastAsia" w:ascii="宋体" w:hAnsi="宋体"/>
          <w:sz w:val="24"/>
        </w:rPr>
        <w:t>实验任务书</w:t>
      </w:r>
      <w:r>
        <w:rPr>
          <w:rFonts w:ascii="宋体" w:hAnsi="宋体"/>
          <w:sz w:val="24"/>
        </w:rPr>
        <w:t>》。</w:t>
      </w:r>
    </w:p>
    <w:p w14:paraId="35ACC31A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二</w:t>
      </w:r>
      <w:r>
        <w:rPr>
          <w:rFonts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sz w:val="36"/>
          <w:szCs w:val="36"/>
        </w:rPr>
        <w:t>实验内容</w:t>
      </w:r>
    </w:p>
    <w:p w14:paraId="3FC5956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见</w:t>
      </w:r>
      <w:r>
        <w:rPr>
          <w:rFonts w:ascii="宋体" w:hAnsi="宋体"/>
          <w:sz w:val="24"/>
        </w:rPr>
        <w:t>《</w:t>
      </w:r>
      <w:r>
        <w:rPr>
          <w:rFonts w:hint="eastAsia" w:ascii="宋体" w:hAnsi="宋体"/>
          <w:sz w:val="24"/>
        </w:rPr>
        <w:t>实验任务书</w:t>
      </w:r>
      <w:r>
        <w:rPr>
          <w:rFonts w:ascii="宋体" w:hAnsi="宋体"/>
          <w:sz w:val="24"/>
        </w:rPr>
        <w:t>》。</w:t>
      </w:r>
      <w:bookmarkStart w:id="0" w:name="_GoBack"/>
      <w:bookmarkEnd w:id="0"/>
    </w:p>
    <w:p w14:paraId="1A00C1BF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三</w:t>
      </w:r>
      <w:r>
        <w:rPr>
          <w:rFonts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sz w:val="36"/>
          <w:szCs w:val="36"/>
        </w:rPr>
        <w:t>实验方案与步骤</w:t>
      </w:r>
    </w:p>
    <w:p w14:paraId="2A157A81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3.1 基础理论</w:t>
      </w:r>
    </w:p>
    <w:p w14:paraId="19BA1B9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3.1.1 大模型训练的基本概念</w:t>
      </w:r>
    </w:p>
    <w:p w14:paraId="1EAB223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语言模型（LM） 的本质是根据已知的前文内容，预测下一个最可能出现的 token（词元）。这个过程在训练时通过最大化似然概率来完成，在推理时则通过自回归采样逐步生成文本。MiniMind 项目采用 Transformer 架构作为基础，这一架构由 Vaswani 等人在 2017 年提出，核心是自注意力（Self-Attention）机制，能够高效建模序列中任意两个位置之间的依赖关系。</w:t>
      </w:r>
    </w:p>
    <w:p w14:paraId="0B0376E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MiniMind 项目 是一个从零实现大模型训练链路的开源项目。其最小版本仅需 25.8M 参数，体积仅为 GPT-3 的 1/7000，适合在普通个人 GPU 上快速训练和运行。项目包含完整的预训练（Pretrain）和有监督微调（Supervised Fine-Tuning, SFT）两个阶段，能够帮助开发者以极低成本理解大模型训练的全流程。</w:t>
      </w:r>
    </w:p>
    <w:p w14:paraId="2EE9807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3.1.2 GPU 与 CUDA 环境</w:t>
      </w:r>
    </w:p>
    <w:p w14:paraId="43606C1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深度学习模型的训练需要大量的矩阵运算。GPU（图形处理器）相比 CPU 拥有成百上千个小型计算核心，能够并行处理大量矩阵乘法运算，因此成为大模型训练的硬件基础。NVIDIA GPU 通过 CUDA（Compute Unified Device Architecture）架构向开发者提供通用计算能力。</w:t>
      </w:r>
    </w:p>
    <w:p w14:paraId="12B8C63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nvidia-smi 是 NVIDIA 提供的系统管理界面工具，用于查看显卡型号、驱动版本、显存使用情况和驱动支持的最高 CUDA 版本等关键信息。驱动支持的 CUDA 版本（如 12.x）代表硬件能力上限，而实际使用 PyTorch 时，还需要确保 PyTorch 编译时绑定的 CUDA 运行时版本与驱动兼容。</w:t>
      </w:r>
    </w:p>
    <w:p w14:paraId="4F63B4F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torch.cuda.is_available() 是 PyTorch 提供的接口，用于判断当前环境中 PyTorch 是否能够成功调用 NVIDIA GPU。返回 True 表示可以使用 GPU 加速训练，返回 False 则意味着训练将退化为 CPU 模式，速度会显著降低。</w:t>
      </w:r>
    </w:p>
    <w:p w14:paraId="28CFEF5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3.1.3 Tokenizer 的作用</w:t>
      </w:r>
    </w:p>
    <w:p w14:paraId="6F24EF2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文本不能直接输入神经网络。 神经网络处理的输入是数值向量（Tensor），而非人类可读的文本字符。Tokenizer（分词器）承担了将文本转换为模型可处理的数字序列的关键任务，其工作流程如下：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3396"/>
        <w:gridCol w:w="4182"/>
      </w:tblGrid>
      <w:tr w14:paraId="78C64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97A30A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步骤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C99356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7BA005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示例</w:t>
            </w:r>
          </w:p>
        </w:tc>
      </w:tr>
      <w:tr w14:paraId="0EDCA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A6B68C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原始文本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614C3D">
            <w:pPr>
              <w:snapToGrid w:val="0"/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人能直接读懂的文字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78BD9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"为什么天空是蓝色的？"</w:t>
            </w:r>
          </w:p>
        </w:tc>
      </w:tr>
      <w:tr w14:paraId="35E9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D30058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Token切分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840AE6">
            <w:pPr>
              <w:snapToGrid w:val="0"/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按词表规则将文本切分为 token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A55599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"为什么 / 天空 / 是 / 蓝色 / 的 / ？"</w:t>
            </w:r>
          </w:p>
        </w:tc>
      </w:tr>
      <w:tr w14:paraId="69E3D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DD3B2D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ID 映射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F62176">
            <w:pPr>
              <w:snapToGrid w:val="0"/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每个 token 映射到词表中的整数编号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B8AF8B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101, 234, 567, 890, 432, 115</w:t>
            </w:r>
          </w:p>
        </w:tc>
      </w:tr>
      <w:tr w14:paraId="79BEF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4BF11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Embedding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2D7E63">
            <w:pPr>
              <w:snapToGrid w:val="0"/>
              <w:spacing w:line="30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将整数 ID 转换为稠密向量矩阵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98CF30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模型用向量进行计算</w:t>
            </w:r>
          </w:p>
        </w:tc>
      </w:tr>
    </w:tbl>
    <w:p w14:paraId="30E3DDB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本实验中，同一套 tokenizer 应贯穿预训练、微调和推理全过程，以保证输入输出编号体系的一致性。</w:t>
      </w:r>
    </w:p>
    <w:p w14:paraId="50602CF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3.1.4 预训练（Pretraining）</w:t>
      </w:r>
    </w:p>
    <w:p w14:paraId="206896E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预训练的目标是让模型学习语言的基本规律和通用知识。在预训练阶段，模型在大规模纯文本语料上进行自回归语言建模——给定前文，预测下一个 token。预训练不提供标注信号（无监督学习），模型通过大量阅读文本自动总结语言的统计规律。</w:t>
      </w:r>
    </w:p>
    <w:p w14:paraId="2F27C3B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预训练完成后，模型具备强大的文本续写能力，但尚不具备明确的"助手"身份意识，回答风格偏向自由生成而非结构化问答。</w:t>
      </w:r>
    </w:p>
    <w:p w14:paraId="1B608F3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预训练阶段的训练效果通过 loss（损失值） 来衡量。Loss 越低，表示模型对训练数据的拟合程度越好。观察 loss 曲线是否整体下降、是否出现 NaN 异常，是判断预训练是否正常进行的重要依据。</w:t>
      </w:r>
    </w:p>
    <w:p w14:paraId="3BB954F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3.1.5 SFT 微调（Supervised Fine-Tuning）</w:t>
      </w:r>
    </w:p>
    <w:p w14:paraId="2D60762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SFT（Supervised Fine-Tuning，有监督微调）的目标是将预训练阶段学到的语言能力，调整为更适合对话和任务执行的输出方式。与预训练使用纯文本不同，SFT 使用多轮对话格式的数据，每条数据包含 user（用户）和 assistant（助手）的交替对话。</w:t>
      </w:r>
    </w:p>
    <w:p w14:paraId="4EF24E7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SFT 的核心意义在于：</w:t>
      </w:r>
    </w:p>
    <w:p w14:paraId="19D8D10C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73E457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指令跟随：让模型学会理解用户指令并给出符合要求的回答</w:t>
      </w:r>
    </w:p>
    <w:p w14:paraId="5D79C51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15DB60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5532DA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身份对齐：建立统一的助手口径，避免身份回答的不一致</w:t>
      </w:r>
    </w:p>
    <w:p w14:paraId="193365C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D870726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A81328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格式规范：使回答更结构化、更易于理解</w:t>
      </w:r>
    </w:p>
    <w:p w14:paraId="70DB967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6C54D1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SFT 不是简单"让模型更聪明"，而是将预训练已有的语言能力塑造成符合人类偏好的输出形式。</w:t>
      </w:r>
    </w:p>
    <w:p w14:paraId="47D9DD8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3.1.6 预训练与 SFT 的对比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5"/>
        <w:gridCol w:w="3120"/>
        <w:gridCol w:w="3145"/>
      </w:tblGrid>
      <w:tr w14:paraId="5BCE9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D6A1C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对比维度</w:t>
            </w:r>
          </w:p>
        </w:tc>
        <w:tc>
          <w:tcPr>
            <w:tcW w:w="0" w:type="auto"/>
            <w:shd w:val="clear"/>
            <w:vAlign w:val="center"/>
          </w:tcPr>
          <w:p w14:paraId="16B098A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预训练模型</w:t>
            </w:r>
          </w:p>
        </w:tc>
        <w:tc>
          <w:tcPr>
            <w:tcW w:w="0" w:type="auto"/>
            <w:shd w:val="clear"/>
            <w:vAlign w:val="center"/>
          </w:tcPr>
          <w:p w14:paraId="6791D982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SFT 微调后模型</w:t>
            </w:r>
          </w:p>
        </w:tc>
      </w:tr>
      <w:tr w14:paraId="5CD07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139D9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回答形式</w:t>
            </w:r>
          </w:p>
        </w:tc>
        <w:tc>
          <w:tcPr>
            <w:tcW w:w="0" w:type="auto"/>
            <w:shd w:val="clear"/>
            <w:vAlign w:val="center"/>
          </w:tcPr>
          <w:p w14:paraId="34C04211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更像文本续写或自由生成</w:t>
            </w:r>
          </w:p>
        </w:tc>
        <w:tc>
          <w:tcPr>
            <w:tcW w:w="0" w:type="auto"/>
            <w:shd w:val="clear"/>
            <w:vAlign w:val="center"/>
          </w:tcPr>
          <w:p w14:paraId="62D3F1C5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更像问答助手</w:t>
            </w:r>
          </w:p>
        </w:tc>
      </w:tr>
      <w:tr w14:paraId="13326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6B6C2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身份口径</w:t>
            </w:r>
          </w:p>
        </w:tc>
        <w:tc>
          <w:tcPr>
            <w:tcW w:w="0" w:type="auto"/>
            <w:shd w:val="clear"/>
            <w:vAlign w:val="center"/>
          </w:tcPr>
          <w:p w14:paraId="7DB76C0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回答口径可能不稳定</w:t>
            </w:r>
          </w:p>
        </w:tc>
        <w:tc>
          <w:tcPr>
            <w:tcW w:w="0" w:type="auto"/>
            <w:shd w:val="clear"/>
            <w:vAlign w:val="center"/>
          </w:tcPr>
          <w:p w14:paraId="01A4E7C8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更容易形成统一助手口径</w:t>
            </w:r>
          </w:p>
        </w:tc>
      </w:tr>
      <w:tr w14:paraId="529A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DAA4B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任务遵循</w:t>
            </w:r>
          </w:p>
        </w:tc>
        <w:tc>
          <w:tcPr>
            <w:tcW w:w="0" w:type="auto"/>
            <w:shd w:val="clear"/>
            <w:vAlign w:val="center"/>
          </w:tcPr>
          <w:p w14:paraId="76223C24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可能偏题或格式混乱</w:t>
            </w:r>
          </w:p>
        </w:tc>
        <w:tc>
          <w:tcPr>
            <w:tcW w:w="0" w:type="auto"/>
            <w:shd w:val="clear"/>
            <w:vAlign w:val="center"/>
          </w:tcPr>
          <w:p w14:paraId="75FE5FBC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更能按问题要求组织回答</w:t>
            </w:r>
          </w:p>
        </w:tc>
      </w:tr>
      <w:tr w14:paraId="3686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93DD4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语言流畅度</w:t>
            </w:r>
          </w:p>
        </w:tc>
        <w:tc>
          <w:tcPr>
            <w:tcW w:w="0" w:type="auto"/>
            <w:shd w:val="clear"/>
            <w:vAlign w:val="center"/>
          </w:tcPr>
          <w:p w14:paraId="56644C53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可能已有基础表达能力</w:t>
            </w:r>
          </w:p>
        </w:tc>
        <w:tc>
          <w:tcPr>
            <w:tcW w:w="0" w:type="auto"/>
            <w:shd w:val="clear"/>
            <w:vAlign w:val="center"/>
          </w:tcPr>
          <w:p w14:paraId="4C3D9CF1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表达通常更清晰、有条理</w:t>
            </w:r>
          </w:p>
        </w:tc>
      </w:tr>
      <w:tr w14:paraId="30D26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6CC33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1D17C643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文本补全、写作辅助</w:t>
            </w:r>
          </w:p>
        </w:tc>
        <w:tc>
          <w:tcPr>
            <w:tcW w:w="0" w:type="auto"/>
            <w:shd w:val="clear"/>
            <w:vAlign w:val="center"/>
          </w:tcPr>
          <w:p w14:paraId="622C1066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智能问答、任务执行</w:t>
            </w:r>
          </w:p>
        </w:tc>
      </w:tr>
    </w:tbl>
    <w:p w14:paraId="355FF8C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63146DF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3.2 实验</w:t>
      </w:r>
      <w:r>
        <w:rPr>
          <w:rFonts w:ascii="宋体" w:hAnsi="宋体"/>
          <w:b/>
          <w:sz w:val="28"/>
          <w:szCs w:val="28"/>
        </w:rPr>
        <w:t>流程</w:t>
      </w:r>
    </w:p>
    <w:p w14:paraId="15B1B71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本实验的完整流程如下：</w:t>
      </w:r>
    </w:p>
    <w:p w14:paraId="03094F4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┌─────────────────────────────────────────────┐</w:t>
      </w:r>
    </w:p>
    <w:p w14:paraId="4ED0B08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│          实验主线流程                          │</w:t>
      </w:r>
    </w:p>
    <w:p w14:paraId="41FBFEB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│                                             │</w:t>
      </w:r>
    </w:p>
    <w:p w14:paraId="09FE0C6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│  认识硬件 → 搭建环境 → 下载项目 → 数据准备     │</w:t>
      </w:r>
    </w:p>
    <w:p w14:paraId="12946C9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│       ↓                                      │</w:t>
      </w:r>
    </w:p>
    <w:p w14:paraId="32C6F45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│  预训练 → SFT 微调 → 模型评估与对比           │</w:t>
      </w:r>
    </w:p>
    <w:p w14:paraId="26BB2AA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└─────────────────────────────────────────────┘</w:t>
      </w:r>
    </w:p>
    <w:p w14:paraId="35CDE70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第一步：环境检查</w:t>
      </w:r>
    </w:p>
    <w:p w14:paraId="3DD94B0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目的：确认本地或服务器是否具备 GPU 训练条件。</w:t>
      </w:r>
    </w:p>
    <w:p w14:paraId="3B12047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40C2101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F771B1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打开 Anaconda Prompt 终端</w:t>
      </w:r>
    </w:p>
    <w:p w14:paraId="4973557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B649E3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DF003A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执行 nvidia-smi 命令，检查显卡型号、驱动版本和 CUDA 版本</w:t>
      </w:r>
    </w:p>
    <w:p w14:paraId="55D0938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B171C64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FA2C1E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重点关注：GPU Name（显卡型号）、Driver Version（驱动版本）、CUDA Version（驱动支持的最高 CUDA 版本）、Memory-Usage（显存使用情况）</w:t>
      </w:r>
    </w:p>
    <w:p w14:paraId="36EBED24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47501A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70BAB9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如电脑有多个显卡，执行 wmic path win32_VideoController get name 查看 Windows 识别到的所有显卡</w:t>
      </w:r>
    </w:p>
    <w:p w14:paraId="0FB1378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77983F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CA0B34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执行 PyTorch CUDA 检查命令验证 PyTorch 是否能调用 GPU：</w:t>
      </w:r>
    </w:p>
    <w:p w14:paraId="41F3A13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C48705A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python -c "import torch; print('torch 版本:', torch.__version__); print('CUDA 是否可用:', torch.cuda.is_available()); print('torch 使用的 CUDA 版本:', torch.version.cuda); print('显卡名称:', torch.cuda.get_device_name(0) if torch.cuda.is_available() else 'No CUDA')"</w:t>
      </w:r>
    </w:p>
    <w:p w14:paraId="183AD5B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判断标准：</w:t>
      </w:r>
    </w:p>
    <w:p w14:paraId="1DF18B6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91E11E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torch.cuda.is_available() 返回 True → PyTorch 已能调用 NVIDIA GPU，可进行 GPU 加速训练</w:t>
      </w:r>
    </w:p>
    <w:p w14:paraId="683EC4D6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B6F91A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D57145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torch.cuda.is_available() 返回 False → 训练将退化为 CPU 模式，应检查驱动、PyTorch CUDA 版本和环境是否激活</w:t>
      </w:r>
    </w:p>
    <w:p w14:paraId="0F2C0FE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B97DDF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第二步：环境配置</w:t>
      </w:r>
    </w:p>
    <w:p w14:paraId="08EB5FD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目的：创建独立的 Python 环境，避免包版本冲突。</w:t>
      </w:r>
    </w:p>
    <w:p w14:paraId="4350F72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270B5DC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2E8BC6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确认 conda 已安装：</w:t>
      </w:r>
    </w:p>
    <w:p w14:paraId="4AF29E8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09E33C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conda --version</w:t>
      </w:r>
    </w:p>
    <w:p w14:paraId="24906E76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BA169C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创建名为 minimind 的 Python 3.10 环境：</w:t>
      </w:r>
    </w:p>
    <w:p w14:paraId="5CAFA42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5688EC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conda create -n minimind python=3.10 -y</w:t>
      </w:r>
    </w:p>
    <w:p w14:paraId="26C2B4A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C789D6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激活环境：</w:t>
      </w:r>
    </w:p>
    <w:p w14:paraId="28E60DB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043741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conda activate minimind</w:t>
      </w:r>
    </w:p>
    <w:p w14:paraId="75DD693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激活后命令行前应出现 (minimind) 标识。每次重新打开终端都需要重新激活环境。</w:t>
      </w:r>
    </w:p>
    <w:p w14:paraId="4248609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384173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升级 pip：</w:t>
      </w:r>
    </w:p>
    <w:p w14:paraId="1544EE72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A563D9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python -m pip install --upgrade pip</w:t>
      </w:r>
    </w:p>
    <w:p w14:paraId="011C726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99E325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如需安装 PyTorch（已预装则跳过），前往 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HYPERLINK "https://pytorch.org/get-started/locally/"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PyTorch 官网</w:t>
      </w:r>
      <w:r>
        <w:rPr>
          <w:rFonts w:ascii="宋体" w:hAnsi="宋体"/>
          <w:sz w:val="24"/>
        </w:rPr>
        <w:fldChar w:fldCharType="end"/>
      </w:r>
      <w:r>
        <w:rPr>
          <w:rFonts w:ascii="宋体" w:hAnsi="宋体"/>
          <w:sz w:val="24"/>
        </w:rPr>
        <w:t>，选择 Windows + Pip + 对应 CUDA 版本，执行安装命令。</w:t>
      </w:r>
    </w:p>
    <w:p w14:paraId="42837A4D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B02D52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第三步：项目下载与依赖安装</w:t>
      </w:r>
    </w:p>
    <w:p w14:paraId="527A80C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目的：获取 MiniMind 项目代码和所需依赖。</w:t>
      </w:r>
    </w:p>
    <w:p w14:paraId="477C117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1069645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492B73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创建项目目录（如尚未创建）：</w:t>
      </w:r>
    </w:p>
    <w:p w14:paraId="73558EE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7641E6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mkdir D:\AI</w:t>
      </w:r>
    </w:p>
    <w:p w14:paraId="4BA3072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cd /d D:\AI</w:t>
      </w:r>
    </w:p>
    <w:p w14:paraId="21F6311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A8FBEE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克隆 MiniMind 仓库：</w:t>
      </w:r>
    </w:p>
    <w:p w14:paraId="136786EA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4EA763A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git clone --depth 1 https://github.com/jingyaogong/minimind</w:t>
      </w:r>
    </w:p>
    <w:p w14:paraId="127225F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B7C656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进入项目目录并安装依赖：</w:t>
      </w:r>
    </w:p>
    <w:p w14:paraId="4A54A8B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BBCFEE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cd minimind</w:t>
      </w:r>
    </w:p>
    <w:p w14:paraId="3EEFC0A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pip install -r requirements.txt -i https://mirrors.aliyun.com/pypi/simple</w:t>
      </w:r>
    </w:p>
    <w:p w14:paraId="0E0F3BE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第四步：数据准备</w:t>
      </w:r>
    </w:p>
    <w:p w14:paraId="0601E84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目的：下载训练数据并观察预训练数据与 SFT 数据的格式差异。</w:t>
      </w:r>
    </w:p>
    <w:p w14:paraId="025D29C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1B2290E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530132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创建数据集存放目录：</w:t>
      </w:r>
    </w:p>
    <w:p w14:paraId="4DEBE722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4FB3B4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mkdir dataset</w:t>
      </w:r>
    </w:p>
    <w:p w14:paraId="7BD228A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0CB8C3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通过 ModelScope 下载 mini 数据集：</w:t>
      </w:r>
    </w:p>
    <w:p w14:paraId="580B664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4C263E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pip install -U modelscope</w:t>
      </w:r>
    </w:p>
    <w:p w14:paraId="49B0453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modelscope download --dataset gongjy/minimind_dataset --include pretrain_t2t_mini.jsonl sft_t2t_mini.jsonl --local_dir dataset</w:t>
      </w:r>
    </w:p>
    <w:p w14:paraId="52B0149D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1C2030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观察数据格式差异：</w:t>
      </w:r>
    </w:p>
    <w:p w14:paraId="286BEB1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9DA24B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118572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pretrain_t2t_mini.jsonl：纯文本语料，每行是一个完整的文本片段，用于预训练阶段学习语言规律</w:t>
      </w:r>
    </w:p>
    <w:p w14:paraId="0389116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161A3F7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D89346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sft_t2t_mini.jsonl：多轮对话格式，每行包含 conversations 字段，其中每个对象有 role（user/assistant）和 content（对话内容），用于 SFT 阶段学习指令跟随和助手式回答</w:t>
      </w:r>
    </w:p>
    <w:p w14:paraId="11D7CDCC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DC56BB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第五步：预训练</w:t>
      </w:r>
    </w:p>
    <w:p w14:paraId="608BEA3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目的：使用纯文本语料训练模型，使其学习语言的基本规律。</w:t>
      </w:r>
    </w:p>
    <w:p w14:paraId="361CA45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6AD709D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C37B64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进入项目根目录，在地址栏输入 cmd 回车打开终端</w:t>
      </w:r>
    </w:p>
    <w:p w14:paraId="01254AD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2246B2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1EE40B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激活 minimind 环境：</w:t>
      </w:r>
    </w:p>
    <w:p w14:paraId="7D9FA22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FC6975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conda activate minimind</w:t>
      </w:r>
    </w:p>
    <w:p w14:paraId="4414CB8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4D2155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进入 trainer 目录：</w:t>
      </w:r>
    </w:p>
    <w:p w14:paraId="080F4C97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933E03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cd trainer</w:t>
      </w:r>
    </w:p>
    <w:p w14:paraId="449397D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271BA8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启动预训练脚本：</w:t>
      </w:r>
    </w:p>
    <w:p w14:paraId="62F5C22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FA3E4D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python train_pretrain.py</w:t>
      </w:r>
    </w:p>
    <w:p w14:paraId="45117FE6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308141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观察训练输出：</w:t>
      </w:r>
    </w:p>
    <w:p w14:paraId="224EC21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C0A642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6A5A68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Loss 值应整体呈下降趋势</w:t>
      </w:r>
    </w:p>
    <w:p w14:paraId="5DAABA8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4A22636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0D120F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每 1000 批次自动保存一次模型权重到 out/pretrain_768.pth</w:t>
      </w:r>
    </w:p>
    <w:p w14:paraId="3708CB7A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BFEAF0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0E14BC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可通过 SwanLab 观察 loss 曲线</w:t>
      </w:r>
    </w:p>
    <w:p w14:paraId="0E06A74A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E5CCFE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EEF043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如需中断训练，按 Ctrl+C（如卡住可多按几次）</w:t>
      </w:r>
    </w:p>
    <w:p w14:paraId="5CB195D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7E4262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第六步：SFT 微调</w:t>
      </w:r>
    </w:p>
    <w:p w14:paraId="44C683C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目的：使用对话格式数据微调预训练模型，使模型学会按助手风格回答问题。</w:t>
      </w:r>
    </w:p>
    <w:p w14:paraId="2476ECA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前置条件：确保 out/ 文件夹中已有 pretrain_768.pth 预训练权重文件。</w:t>
      </w:r>
    </w:p>
    <w:p w14:paraId="5F527DA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3826084A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F2516D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确保在 minimind 环境</w:t>
      </w:r>
    </w:p>
    <w:p w14:paraId="209F877D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53A65EE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2D48DB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进入 trainer 目录：</w:t>
      </w:r>
    </w:p>
    <w:p w14:paraId="2EBA82A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844E4D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cd trainer</w:t>
      </w:r>
    </w:p>
    <w:p w14:paraId="521050D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6B9333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启动 SFT 微调脚本：</w:t>
      </w:r>
    </w:p>
    <w:p w14:paraId="72DA2E9E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19065B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python train_full_sft.py</w:t>
      </w:r>
    </w:p>
    <w:p w14:paraId="4B1DF8C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C89AD6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观察训练输出：Loss 值应稳定下降</w:t>
      </w:r>
    </w:p>
    <w:p w14:paraId="6DE3BA97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DE5F992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4E39D2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每 1000 批次自动保存权重到 out/full_sft_768.pth</w:t>
      </w:r>
    </w:p>
    <w:p w14:paraId="7C819C2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556331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注意：由于完整训练时间较长，可提前中断训练（Ctrl+C），只需保证各步骤代码运行通畅并理解其应用即可。模型评估可使用已训练好的模型权重。</w:t>
      </w:r>
    </w:p>
    <w:p w14:paraId="73A540A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第七步：模型评估与对比</w:t>
      </w:r>
    </w:p>
    <w:p w14:paraId="1D60016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目的：测试预训练模型和 SFT 微调模型的实际回答效果，对比两者的差异。</w:t>
      </w:r>
    </w:p>
    <w:p w14:paraId="33C426B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操作步骤：</w:t>
      </w:r>
    </w:p>
    <w:p w14:paraId="1C0A79D2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5DE910A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将已训练模型权重放入 out/ 目录</w:t>
      </w:r>
    </w:p>
    <w:p w14:paraId="7637DD47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B61A2BC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C5037C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在项目根目录打开终端，激活 minimind 环境</w:t>
      </w:r>
    </w:p>
    <w:p w14:paraId="2CA6C0F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5CC9884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93BAE0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测试预训练模型：</w:t>
      </w:r>
    </w:p>
    <w:p w14:paraId="2B7A335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59CC56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python eval_llm.py --weight pretrain</w:t>
      </w:r>
    </w:p>
    <w:p w14:paraId="7D8BDBC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A769B8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测试 SFT 微调模型：</w:t>
      </w:r>
    </w:p>
    <w:p w14:paraId="6BB2EA1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47C33E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python eval_llm.py --weight full_sft</w:t>
      </w:r>
    </w:p>
    <w:p w14:paraId="708CDB9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可用模型权重说明：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5"/>
        <w:gridCol w:w="6866"/>
      </w:tblGrid>
      <w:tr w14:paraId="1EBC6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8A050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权重名称</w:t>
            </w:r>
          </w:p>
        </w:tc>
        <w:tc>
          <w:tcPr>
            <w:tcW w:w="0" w:type="auto"/>
            <w:shd w:val="clear"/>
            <w:vAlign w:val="center"/>
          </w:tcPr>
          <w:p w14:paraId="4EB8A83D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</w:tr>
      <w:tr w14:paraId="47970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285C4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pretrain_1_1000</w:t>
            </w:r>
          </w:p>
        </w:tc>
        <w:tc>
          <w:tcPr>
            <w:tcW w:w="0" w:type="auto"/>
            <w:shd w:val="clear"/>
            <w:vAlign w:val="center"/>
          </w:tcPr>
          <w:p w14:paraId="313D54CA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 1 个 epoch 中 1000 批次训练的模型（1 epoch = 39695 批次）</w:t>
            </w:r>
          </w:p>
        </w:tc>
      </w:tr>
      <w:tr w14:paraId="5B4E3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D0D5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pretrain_2_1000</w:t>
            </w:r>
          </w:p>
        </w:tc>
        <w:tc>
          <w:tcPr>
            <w:tcW w:w="0" w:type="auto"/>
            <w:shd w:val="clear"/>
            <w:vAlign w:val="center"/>
          </w:tcPr>
          <w:p w14:paraId="263D54FC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 2 个 epoch 中 1000 批次训练的模型</w:t>
            </w:r>
          </w:p>
        </w:tc>
      </w:tr>
      <w:tr w14:paraId="791E9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1C8F8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pretrain1</w:t>
            </w:r>
          </w:p>
        </w:tc>
        <w:tc>
          <w:tcPr>
            <w:tcW w:w="0" w:type="auto"/>
            <w:shd w:val="clear"/>
            <w:vAlign w:val="center"/>
          </w:tcPr>
          <w:p w14:paraId="358AE02E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2 个 epoch 完整训练的模型</w:t>
            </w:r>
          </w:p>
        </w:tc>
      </w:tr>
      <w:tr w14:paraId="38571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94CADF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full_sft_1_1000</w:t>
            </w:r>
          </w:p>
        </w:tc>
        <w:tc>
          <w:tcPr>
            <w:tcW w:w="0" w:type="auto"/>
            <w:shd w:val="clear"/>
            <w:vAlign w:val="center"/>
          </w:tcPr>
          <w:p w14:paraId="7412FF2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SFT 第 1 个 epoch 中 1000 批次训练的模型（1 epoch = 56608 批次）</w:t>
            </w:r>
          </w:p>
        </w:tc>
      </w:tr>
      <w:tr w14:paraId="3AFFA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DC3570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full_sft_2_1000</w:t>
            </w:r>
          </w:p>
        </w:tc>
        <w:tc>
          <w:tcPr>
            <w:tcW w:w="0" w:type="auto"/>
            <w:shd w:val="clear"/>
            <w:vAlign w:val="center"/>
          </w:tcPr>
          <w:p w14:paraId="22FB602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SFT 第 2 个 epoch 中 1000 批次训练的模型</w:t>
            </w:r>
          </w:p>
        </w:tc>
      </w:tr>
      <w:tr w14:paraId="2A144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B00CB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full_sft1</w:t>
            </w:r>
          </w:p>
        </w:tc>
        <w:tc>
          <w:tcPr>
            <w:tcW w:w="0" w:type="auto"/>
            <w:shd w:val="clear"/>
            <w:vAlign w:val="center"/>
          </w:tcPr>
          <w:p w14:paraId="520F8FA3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SFT 2 个 epoch 完整训练的模型</w:t>
            </w:r>
          </w:p>
        </w:tc>
      </w:tr>
    </w:tbl>
    <w:p w14:paraId="72D50239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效果对比维度（测试问题："具身智能是什么"）：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5"/>
        <w:gridCol w:w="3360"/>
        <w:gridCol w:w="4095"/>
      </w:tblGrid>
      <w:tr w14:paraId="038E5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FB610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对比维度</w:t>
            </w:r>
          </w:p>
        </w:tc>
        <w:tc>
          <w:tcPr>
            <w:tcW w:w="0" w:type="auto"/>
            <w:shd w:val="clear"/>
            <w:vAlign w:val="center"/>
          </w:tcPr>
          <w:p w14:paraId="59978CAD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预训练模型</w:t>
            </w:r>
          </w:p>
        </w:tc>
        <w:tc>
          <w:tcPr>
            <w:tcW w:w="0" w:type="auto"/>
            <w:shd w:val="clear"/>
            <w:vAlign w:val="center"/>
          </w:tcPr>
          <w:p w14:paraId="029DBBFD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SFT 微调模型</w:t>
            </w:r>
          </w:p>
        </w:tc>
      </w:tr>
      <w:tr w14:paraId="1EDC9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5C8EB4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回答形式</w:t>
            </w:r>
          </w:p>
        </w:tc>
        <w:tc>
          <w:tcPr>
            <w:tcW w:w="0" w:type="auto"/>
            <w:shd w:val="clear"/>
            <w:vAlign w:val="center"/>
          </w:tcPr>
          <w:p w14:paraId="134C389C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自由续写，无明确定义框架</w:t>
            </w:r>
          </w:p>
        </w:tc>
        <w:tc>
          <w:tcPr>
            <w:tcW w:w="0" w:type="auto"/>
            <w:shd w:val="clear"/>
            <w:vAlign w:val="center"/>
          </w:tcPr>
          <w:p w14:paraId="34B57071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以"具身智能是…"开篇，结构清晰</w:t>
            </w:r>
          </w:p>
        </w:tc>
      </w:tr>
      <w:tr w14:paraId="34F7F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79772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内容组织</w:t>
            </w:r>
          </w:p>
        </w:tc>
        <w:tc>
          <w:tcPr>
            <w:tcW w:w="0" w:type="auto"/>
            <w:shd w:val="clear"/>
            <w:vAlign w:val="center"/>
          </w:tcPr>
          <w:p w14:paraId="35103057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从任意角度展开</w:t>
            </w:r>
          </w:p>
        </w:tc>
        <w:tc>
          <w:tcPr>
            <w:tcW w:w="0" w:type="auto"/>
            <w:shd w:val="clear"/>
            <w:vAlign w:val="center"/>
          </w:tcPr>
          <w:p w14:paraId="4062F25E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先定义概念，分点解释，举例说明</w:t>
            </w:r>
          </w:p>
        </w:tc>
      </w:tr>
      <w:tr w14:paraId="47D9B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D04A1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任务遵循</w:t>
            </w:r>
          </w:p>
        </w:tc>
        <w:tc>
          <w:tcPr>
            <w:tcW w:w="0" w:type="auto"/>
            <w:shd w:val="clear"/>
            <w:vAlign w:val="center"/>
          </w:tcPr>
          <w:p w14:paraId="3951D408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可能偏题或格式混乱</w:t>
            </w:r>
          </w:p>
        </w:tc>
        <w:tc>
          <w:tcPr>
            <w:tcW w:w="0" w:type="auto"/>
            <w:shd w:val="clear"/>
            <w:vAlign w:val="center"/>
          </w:tcPr>
          <w:p w14:paraId="0653F7FE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理解问题类型，按规范结构回答</w:t>
            </w:r>
          </w:p>
        </w:tc>
      </w:tr>
      <w:tr w14:paraId="18C97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E4205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语言组织</w:t>
            </w:r>
          </w:p>
        </w:tc>
        <w:tc>
          <w:tcPr>
            <w:tcW w:w="0" w:type="auto"/>
            <w:shd w:val="clear"/>
            <w:vAlign w:val="center"/>
          </w:tcPr>
          <w:p w14:paraId="77A6A18F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基础通顺但较松散</w:t>
            </w:r>
          </w:p>
        </w:tc>
        <w:tc>
          <w:tcPr>
            <w:tcW w:w="0" w:type="auto"/>
            <w:shd w:val="clear"/>
            <w:vAlign w:val="center"/>
          </w:tcPr>
          <w:p w14:paraId="038EF59A">
            <w:pPr>
              <w:snapToGrid w:val="0"/>
              <w:spacing w:line="300" w:lineRule="auto"/>
              <w:ind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表达清晰，逻辑有条理</w:t>
            </w:r>
          </w:p>
        </w:tc>
      </w:tr>
    </w:tbl>
    <w:p w14:paraId="4719F15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B2E0385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四</w:t>
      </w:r>
      <w:r>
        <w:rPr>
          <w:rFonts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sz w:val="36"/>
          <w:szCs w:val="36"/>
        </w:rPr>
        <w:t>实验结果与</w:t>
      </w:r>
      <w:r>
        <w:rPr>
          <w:rFonts w:ascii="宋体" w:hAnsi="宋体"/>
          <w:b/>
          <w:sz w:val="36"/>
          <w:szCs w:val="36"/>
        </w:rPr>
        <w:t>分析</w:t>
      </w:r>
    </w:p>
    <w:p w14:paraId="6169789D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4</w:t>
      </w:r>
      <w:r>
        <w:rPr>
          <w:rFonts w:ascii="宋体" w:hAnsi="宋体"/>
          <w:b/>
          <w:sz w:val="28"/>
          <w:szCs w:val="28"/>
        </w:rPr>
        <w:t xml:space="preserve">.1 </w:t>
      </w:r>
      <w:r>
        <w:rPr>
          <w:rFonts w:hint="eastAsia" w:ascii="宋体" w:hAnsi="宋体"/>
          <w:b/>
          <w:sz w:val="28"/>
          <w:szCs w:val="28"/>
        </w:rPr>
        <w:t>实验结果</w:t>
      </w:r>
    </w:p>
    <w:p w14:paraId="0F59765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i/>
          <w:iCs/>
          <w:sz w:val="24"/>
        </w:rPr>
        <w:t>实验</w:t>
      </w:r>
      <w:r>
        <w:rPr>
          <w:rFonts w:ascii="宋体" w:hAnsi="宋体"/>
          <w:i/>
          <w:iCs/>
          <w:sz w:val="24"/>
        </w:rPr>
        <w:t>过程中得到的最终结果，包括图片、曲线等数据。</w:t>
      </w:r>
      <w:r>
        <w:rPr>
          <w:rFonts w:hint="eastAsia" w:ascii="宋体" w:hAnsi="宋体"/>
          <w:sz w:val="24"/>
        </w:rPr>
        <w:t>）</w:t>
      </w:r>
      <w:r>
        <w:rPr>
          <w:rFonts w:hint="eastAsia" w:ascii="宋体" w:hAnsi="宋体"/>
          <w:sz w:val="24"/>
        </w:rPr>
        <w:br w:type="textWrapping"/>
      </w:r>
      <w:r>
        <w:rPr>
          <w:rFonts w:hint="eastAsia" w:ascii="宋体" w:hAnsi="宋体"/>
          <w:sz w:val="24"/>
        </w:rPr>
        <w:t>4.1 环境检查结果</w:t>
      </w:r>
    </w:p>
    <w:p w14:paraId="1B2E970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本环节通过一系列系统命令完成对本机硬件与软件环境的全面检查。</w:t>
      </w:r>
    </w:p>
    <w:p w14:paraId="1E0C523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nvidia-smi 输出分析：</w:t>
      </w:r>
    </w:p>
    <w:p w14:paraId="1E74043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执行 nvidia-smi 命令后，输出包含以下关键信息：</w:t>
      </w:r>
    </w:p>
    <w:p w14:paraId="2DE1B35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5532CBB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GPU Name：显示本机所装备的 NVIDIA 显卡具体型号（如 RTX 3060、RTX 4090 等）</w:t>
      </w:r>
    </w:p>
    <w:p w14:paraId="4450D49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3E4D3BFE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5C38242E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Driver Version：NVIDIA 驱动版本号，驱动版本直接影响可支持的 CUDA 版本上限</w:t>
      </w:r>
    </w:p>
    <w:p w14:paraId="25C558B0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D0FF8CB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7F8F8D2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CUDA Version：驱动支持的最高 CUDA 运行版本（如 12.x），此为驱动层面的能力上限，不代表已安装完整 CUDA Toolkit</w:t>
      </w:r>
    </w:p>
    <w:p w14:paraId="65EDA54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1126B6EC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199FD75E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Memory-Usage：当前显存占用情况，训练大模型时显存不足会触发 "CUDA out of memory" 错误</w:t>
      </w:r>
    </w:p>
    <w:p w14:paraId="1226A58F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B9EDC0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若执行 nvidia-smi 报错，通常原因包括：本机无 NVIDIA 显卡、驱动未安装、驱动安装后未重启系统、命令行路径未生效等。</w:t>
      </w:r>
    </w:p>
    <w:p w14:paraId="67F955BC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PyTorch CUDA 检查结果：</w:t>
      </w:r>
    </w:p>
    <w:p w14:paraId="63F4025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执行 Python 检查命令后，应关注以下输出项：</w:t>
      </w:r>
    </w:p>
    <w:p w14:paraId="6672A8EB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2E79969E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torch.__version__：PyTorch 版本号，需与 Python 3.10 环境兼容</w:t>
      </w:r>
    </w:p>
    <w:p w14:paraId="03368F4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2BC8DD61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4568C26A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torch.cuda.is_available()：核心判断指标，True 表示 GPU 可用，False 表示 CPU 模式</w:t>
      </w:r>
    </w:p>
    <w:p w14:paraId="7328EB56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97D4DC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5E4A9BA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torch.version.cuda：PyTorch 绑定的 CUDA 运行时版本，应与驱动版本兼容</w:t>
      </w:r>
    </w:p>
    <w:p w14:paraId="69018C85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40471C1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35B59A5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torch.cuda.get_device_name(0)：检测到的第一块 NVIDIA 显卡名称</w:t>
      </w:r>
    </w:p>
    <w:p w14:paraId="06FDF24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45758FC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4.2 数据格式观察结果</w:t>
      </w:r>
    </w:p>
    <w:p w14:paraId="2B437330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预训练数据（pretrain_t2t_mini.jsonl）格式：</w:t>
      </w:r>
    </w:p>
    <w:p w14:paraId="31BEC62C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{"text": "这是一段纯文本内容，用于预训练阶段学习语言规律。"}</w:t>
      </w:r>
    </w:p>
    <w:p w14:paraId="67D82AEA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{"text": "另一段独立的纯文本语料，每行对应一个完整的文本片段。"}</w:t>
      </w:r>
    </w:p>
    <w:p w14:paraId="6D62C0F6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特点：每行是一个 JSON 对象，包含单一的 "text" 字段，值为未经结构化的纯文本。模型在预训练中学习的是"给定前文，预测下一个词"的语言建模能力，不涉及角色或对话格式。</w:t>
      </w:r>
    </w:p>
    <w:p w14:paraId="2C880BF0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SFT 数据（sft_t2t_mini.jsonl）格式：</w:t>
      </w:r>
    </w:p>
    <w:p w14:paraId="42348685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{"conversations": [</w:t>
      </w:r>
    </w:p>
    <w:p w14:paraId="3ECD1A4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{"role": "user", "content": "你是什么模型？"},</w:t>
      </w:r>
    </w:p>
    <w:p w14:paraId="2DE6BEDF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{"role": "assistant", "content": "我是由 jingyaogong 开发的高效小参数 AI 模型。"}</w:t>
      </w:r>
    </w:p>
    <w:p w14:paraId="607523D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]}</w:t>
      </w:r>
    </w:p>
    <w:p w14:paraId="44B8756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特点：每行是一个 JSON 对象，包含 "conversations" 数组字段，数组内以 role（user/assistant/system）和 content 字段的交替形式组织多轮对话。模型在 SFT 中学习的是"理解用户指令 → 给出符合助手身份的规范化回答"的映射关系。</w:t>
      </w:r>
    </w:p>
    <w:p w14:paraId="41C1EB0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两种数据的核心区别：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2160"/>
        <w:gridCol w:w="2415"/>
      </w:tblGrid>
      <w:tr w14:paraId="33968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59AC1F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5F3389C9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预训练数据</w:t>
            </w:r>
          </w:p>
        </w:tc>
        <w:tc>
          <w:tcPr>
            <w:tcW w:w="0" w:type="auto"/>
            <w:shd w:val="clear"/>
            <w:vAlign w:val="center"/>
          </w:tcPr>
          <w:p w14:paraId="090B57A7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SFT 数据</w:t>
            </w:r>
          </w:p>
        </w:tc>
      </w:tr>
      <w:tr w14:paraId="7AE02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46A41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结构</w:t>
            </w:r>
          </w:p>
        </w:tc>
        <w:tc>
          <w:tcPr>
            <w:tcW w:w="0" w:type="auto"/>
            <w:shd w:val="clear"/>
            <w:vAlign w:val="center"/>
          </w:tcPr>
          <w:p w14:paraId="7AB38C45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单一 text 字段</w:t>
            </w:r>
          </w:p>
        </w:tc>
        <w:tc>
          <w:tcPr>
            <w:tcW w:w="0" w:type="auto"/>
            <w:shd w:val="clear"/>
            <w:vAlign w:val="center"/>
          </w:tcPr>
          <w:p w14:paraId="4C74E524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多轮对话数组</w:t>
            </w:r>
          </w:p>
        </w:tc>
      </w:tr>
      <w:tr w14:paraId="3B147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22610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468C8F3B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纯文本自由生成</w:t>
            </w:r>
          </w:p>
        </w:tc>
        <w:tc>
          <w:tcPr>
            <w:tcW w:w="0" w:type="auto"/>
            <w:shd w:val="clear"/>
            <w:vAlign w:val="center"/>
          </w:tcPr>
          <w:p w14:paraId="1FCE16C5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指令-回答配对</w:t>
            </w:r>
          </w:p>
        </w:tc>
      </w:tr>
      <w:tr w14:paraId="1B86F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3350F2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2FB87B09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学习语言规律</w:t>
            </w:r>
          </w:p>
        </w:tc>
        <w:tc>
          <w:tcPr>
            <w:tcW w:w="0" w:type="auto"/>
            <w:shd w:val="clear"/>
            <w:vAlign w:val="center"/>
          </w:tcPr>
          <w:p w14:paraId="39AE467A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学习指令跟随</w:t>
            </w:r>
          </w:p>
        </w:tc>
      </w:tr>
      <w:tr w14:paraId="41F65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7A99B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格式</w:t>
            </w:r>
          </w:p>
        </w:tc>
        <w:tc>
          <w:tcPr>
            <w:tcW w:w="0" w:type="auto"/>
            <w:shd w:val="clear"/>
            <w:vAlign w:val="center"/>
          </w:tcPr>
          <w:p w14:paraId="20A67CA1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无格式约束</w:t>
            </w:r>
          </w:p>
        </w:tc>
        <w:tc>
          <w:tcPr>
            <w:tcW w:w="0" w:type="auto"/>
            <w:shd w:val="clear"/>
            <w:vAlign w:val="center"/>
          </w:tcPr>
          <w:p w14:paraId="7A3D7B3E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有角色和格式约束</w:t>
            </w:r>
          </w:p>
        </w:tc>
      </w:tr>
    </w:tbl>
    <w:p w14:paraId="6834D41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4.3 预训练结果分析</w:t>
      </w:r>
    </w:p>
    <w:p w14:paraId="1E3851E7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预训练阶段的核心观察指标是 loss（损失值） 随训练步数的变化。</w:t>
      </w:r>
    </w:p>
    <w:p w14:paraId="280DA58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loss 曲线分析：</w:t>
      </w:r>
    </w:p>
    <w:p w14:paraId="12DB2816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13FCCF5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正常情况下，loss 应整体呈下降趋势，表明模型对训练数据的拟合能力在逐步提升</w:t>
      </w:r>
    </w:p>
    <w:p w14:paraId="4EED4A41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5CAEDB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24803F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若 loss 出现 NaN（Not a Number），通常意味着梯度爆炸或学习率设置过高，需立即中断训练并调整超参数</w:t>
      </w:r>
    </w:p>
    <w:p w14:paraId="62D611B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1719706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289D6450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若 loss 下降过快后趋于平坦，说明模型可能已接近该数据规模下的收敛状态</w:t>
      </w:r>
    </w:p>
    <w:p w14:paraId="48CE8AC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5A15104F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训练稳定性观察：</w:t>
      </w:r>
    </w:p>
    <w:p w14:paraId="6236AB3B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5C418C5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每隔 1000 批次自动保存一次权重文件 pretrain_768.pth，可通过 SwanLab 实验平台实时观察 loss 曲线</w:t>
      </w:r>
    </w:p>
    <w:p w14:paraId="494815AB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9E706DF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342FC95B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训练过程中显存占用应保持稳定，若显存持续增长则可能存在内存泄漏问题</w:t>
      </w:r>
    </w:p>
    <w:p w14:paraId="59815B6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7D28773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预训练模型能力评估（eval_llm.py）：</w:t>
      </w:r>
    </w:p>
    <w:p w14:paraId="67E0AEE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使用测试问题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具身智能是什么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对预训练模型进行推理时，观察到以下典型行为：</w:t>
      </w:r>
    </w:p>
    <w:p w14:paraId="7440F01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79C52106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模型倾向于文本续写而非结构化回答——输入问题后，模型可能直接围绕"具身"或"智能"相关词汇续写下去，而非以"具身智能是…"的定义式回答开篇</w:t>
      </w:r>
    </w:p>
    <w:p w14:paraId="22D5DBE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F30A16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B305D45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对于概念解释类问题，预训练模型可能会从某个角度（如哲学、机器人学）展开自由续写，缺乏对问题类型的明确判断，无法自动形成"先定义、后解释、再举例"的规范结构</w:t>
      </w:r>
    </w:p>
    <w:p w14:paraId="70BA45FA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7AA277F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497900C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回答内容可能包含一定相关性但不够准确或完整，因为预训练阶段学到的是语言的统计规律而非精确的知识图谱</w:t>
      </w:r>
    </w:p>
    <w:p w14:paraId="196F979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BA0A65C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1A5A1D8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整体输出偏向于语言流畅但结构松散的形式</w:t>
      </w:r>
    </w:p>
    <w:p w14:paraId="004D3CE2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6C400B17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4.4 SFT 微调结果分析</w:t>
      </w:r>
    </w:p>
    <w:p w14:paraId="34FB95CC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SFT 微调阶段在预训练权重的基础上，使用对话数据进一步训练模型。</w:t>
      </w:r>
    </w:p>
    <w:p w14:paraId="39FB22A6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微调训练观察：</w:t>
      </w:r>
    </w:p>
    <w:p w14:paraId="3A08BF9C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3A245CF6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Loss 值同样应呈下降趋势，与预训练类似，但收敛速度可能因数据量更小而更快</w:t>
      </w:r>
    </w:p>
    <w:p w14:paraId="1676D621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2807D3D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2918077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微调阶段使用 train_full_sft.py 脚本启动，权重每 1000 批次保存为 full_sft_768.pth</w:t>
      </w:r>
    </w:p>
    <w:p w14:paraId="60DCB5E9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18CBD6D4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505720F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与预训练相同，完整训练时间较长，实验时可提前中断，只需确保代码运行通畅</w:t>
      </w:r>
    </w:p>
    <w:p w14:paraId="40FC761A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244ABD8E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SFT 模型能力评估（eval_llm.py）：</w:t>
      </w:r>
    </w:p>
    <w:p w14:paraId="033F102F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使用相同测试问题对 SFT 微调模型进行推理时，观察到以下改善：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0"/>
        <w:gridCol w:w="3485"/>
        <w:gridCol w:w="4266"/>
      </w:tblGrid>
      <w:tr w14:paraId="2827F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EE0EE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对比维度</w:t>
            </w:r>
          </w:p>
        </w:tc>
        <w:tc>
          <w:tcPr>
            <w:tcW w:w="0" w:type="auto"/>
            <w:shd w:val="clear"/>
            <w:vAlign w:val="center"/>
          </w:tcPr>
          <w:p w14:paraId="783B32EF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预训练模型表现</w:t>
            </w:r>
          </w:p>
        </w:tc>
        <w:tc>
          <w:tcPr>
            <w:tcW w:w="0" w:type="auto"/>
            <w:shd w:val="clear"/>
            <w:vAlign w:val="center"/>
          </w:tcPr>
          <w:p w14:paraId="6BA2757E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SFT 微调后表现</w:t>
            </w:r>
          </w:p>
        </w:tc>
      </w:tr>
      <w:tr w14:paraId="4F324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6500E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回答形式</w:t>
            </w:r>
          </w:p>
        </w:tc>
        <w:tc>
          <w:tcPr>
            <w:tcW w:w="0" w:type="auto"/>
            <w:shd w:val="clear"/>
            <w:vAlign w:val="center"/>
          </w:tcPr>
          <w:p w14:paraId="29B1245A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自由续写，无明确边界</w:t>
            </w:r>
          </w:p>
        </w:tc>
        <w:tc>
          <w:tcPr>
            <w:tcW w:w="0" w:type="auto"/>
            <w:shd w:val="clear"/>
            <w:vAlign w:val="center"/>
          </w:tcPr>
          <w:p w14:paraId="067328FB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以"我是…"开头，结构清晰</w:t>
            </w:r>
          </w:p>
        </w:tc>
      </w:tr>
      <w:tr w14:paraId="3625C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0BE9D3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身份口径</w:t>
            </w:r>
          </w:p>
        </w:tc>
        <w:tc>
          <w:tcPr>
            <w:tcW w:w="0" w:type="auto"/>
            <w:shd w:val="clear"/>
            <w:vAlign w:val="center"/>
          </w:tcPr>
          <w:p w14:paraId="14A8E013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不稳定，可能自称为各类模型</w:t>
            </w:r>
          </w:p>
        </w:tc>
        <w:tc>
          <w:tcPr>
            <w:tcW w:w="0" w:type="auto"/>
            <w:shd w:val="clear"/>
            <w:vAlign w:val="center"/>
          </w:tcPr>
          <w:p w14:paraId="26E1A7C0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统一口径，声称由 jingyaogong 开发</w:t>
            </w:r>
          </w:p>
        </w:tc>
      </w:tr>
      <w:tr w14:paraId="3B671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0F528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任务遵循</w:t>
            </w:r>
          </w:p>
        </w:tc>
        <w:tc>
          <w:tcPr>
            <w:tcW w:w="0" w:type="auto"/>
            <w:shd w:val="clear"/>
            <w:vAlign w:val="center"/>
          </w:tcPr>
          <w:p w14:paraId="1DA2E9DC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可能答非所问或格式混乱</w:t>
            </w:r>
          </w:p>
        </w:tc>
        <w:tc>
          <w:tcPr>
            <w:tcW w:w="0" w:type="auto"/>
            <w:shd w:val="clear"/>
            <w:vAlign w:val="center"/>
          </w:tcPr>
          <w:p w14:paraId="56095A7C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理解问题，按要求组织回答</w:t>
            </w:r>
          </w:p>
        </w:tc>
      </w:tr>
      <w:tr w14:paraId="4C886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A280B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对话格式</w:t>
            </w:r>
          </w:p>
        </w:tc>
        <w:tc>
          <w:tcPr>
            <w:tcW w:w="0" w:type="auto"/>
            <w:shd w:val="clear"/>
            <w:vAlign w:val="center"/>
          </w:tcPr>
          <w:p w14:paraId="76263BA7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无 user/assistant 区分意识</w:t>
            </w:r>
          </w:p>
        </w:tc>
        <w:tc>
          <w:tcPr>
            <w:tcW w:w="0" w:type="auto"/>
            <w:shd w:val="clear"/>
            <w:vAlign w:val="center"/>
          </w:tcPr>
          <w:p w14:paraId="710E3287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明确以助手身份回应</w:t>
            </w:r>
          </w:p>
        </w:tc>
      </w:tr>
      <w:tr w14:paraId="04B8E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C7D8D4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语言组织</w:t>
            </w:r>
          </w:p>
        </w:tc>
        <w:tc>
          <w:tcPr>
            <w:tcW w:w="0" w:type="auto"/>
            <w:shd w:val="clear"/>
            <w:vAlign w:val="center"/>
          </w:tcPr>
          <w:p w14:paraId="2CF4E24B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基本通顺但较松散</w:t>
            </w:r>
          </w:p>
        </w:tc>
        <w:tc>
          <w:tcPr>
            <w:tcW w:w="0" w:type="auto"/>
            <w:shd w:val="clear"/>
            <w:vAlign w:val="center"/>
          </w:tcPr>
          <w:p w14:paraId="1F5FBBF5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表达清晰，有条理</w:t>
            </w:r>
          </w:p>
        </w:tc>
      </w:tr>
    </w:tbl>
    <w:p w14:paraId="55EF35C8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4.5 预训练与 SFT 效果对比总结</w:t>
      </w:r>
    </w:p>
    <w:p w14:paraId="09C09490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以测试问题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具身智能是什么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为例，通过实验观察到以下差异：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7936"/>
      </w:tblGrid>
      <w:tr w14:paraId="57F3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9A94F1">
            <w:pPr>
              <w:snapToGrid w:val="0"/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模型类型</w:t>
            </w:r>
          </w:p>
        </w:tc>
        <w:tc>
          <w:tcPr>
            <w:tcW w:w="0" w:type="auto"/>
            <w:shd w:val="clear"/>
            <w:vAlign w:val="center"/>
          </w:tcPr>
          <w:p w14:paraId="7A9D1EB6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典型回答特征</w:t>
            </w:r>
          </w:p>
        </w:tc>
      </w:tr>
      <w:tr w14:paraId="7E7AB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ABA3C">
            <w:pPr>
              <w:snapToGrid w:val="0"/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预训练模型</w:t>
            </w:r>
          </w:p>
        </w:tc>
        <w:tc>
          <w:tcPr>
            <w:tcW w:w="0" w:type="auto"/>
            <w:shd w:val="clear"/>
            <w:vAlign w:val="center"/>
          </w:tcPr>
          <w:p w14:paraId="7A147729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围绕"具身"或"智能"关键词自由续写，缺乏明确的定义框架，内容相关性存在但结构松散</w:t>
            </w:r>
          </w:p>
        </w:tc>
      </w:tr>
      <w:tr w14:paraId="3141D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DD7CD">
            <w:pPr>
              <w:snapToGrid w:val="0"/>
              <w:spacing w:line="30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SFT 微调模型</w:t>
            </w:r>
          </w:p>
        </w:tc>
        <w:tc>
          <w:tcPr>
            <w:tcW w:w="0" w:type="auto"/>
            <w:shd w:val="clear"/>
            <w:vAlign w:val="center"/>
          </w:tcPr>
          <w:p w14:paraId="7DBF0291">
            <w:pPr>
              <w:snapToGrid w:val="0"/>
              <w:spacing w:line="300" w:lineRule="auto"/>
              <w:ind w:firstLine="42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以"具身智能是…"开篇形成定义框架，分点解释概念含义，举例说明应用场景，格式规范有边界</w:t>
            </w:r>
          </w:p>
        </w:tc>
      </w:tr>
    </w:tbl>
    <w:p w14:paraId="4E141F1D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核心结论：预训练解决的是"会说人话"的问题，SFT 解决的是"按人类期望的方式说"的问题。两者功能互补，共同构成完整的大模型训练链路。</w:t>
      </w:r>
    </w:p>
    <w:p w14:paraId="26450DB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107A6E4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22B9718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4</w:t>
      </w:r>
      <w:r>
        <w:rPr>
          <w:rFonts w:ascii="宋体" w:hAnsi="宋体"/>
          <w:b/>
          <w:sz w:val="28"/>
          <w:szCs w:val="28"/>
        </w:rPr>
        <w:t xml:space="preserve">.2 </w:t>
      </w:r>
      <w:r>
        <w:rPr>
          <w:rFonts w:hint="eastAsia" w:ascii="宋体" w:hAnsi="宋体"/>
          <w:b/>
          <w:sz w:val="28"/>
          <w:szCs w:val="28"/>
        </w:rPr>
        <w:t>结果</w:t>
      </w:r>
      <w:r>
        <w:rPr>
          <w:rFonts w:ascii="宋体" w:hAnsi="宋体"/>
          <w:b/>
          <w:sz w:val="28"/>
          <w:szCs w:val="28"/>
        </w:rPr>
        <w:t>分析</w:t>
      </w:r>
    </w:p>
    <w:p w14:paraId="1D50525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i/>
          <w:iCs/>
          <w:sz w:val="24"/>
        </w:rPr>
        <w:t>对实验</w:t>
      </w:r>
      <w:r>
        <w:rPr>
          <w:rFonts w:ascii="宋体" w:hAnsi="宋体"/>
          <w:i/>
          <w:iCs/>
          <w:sz w:val="24"/>
        </w:rPr>
        <w:t>结果进行分析。</w:t>
      </w:r>
      <w:r>
        <w:rPr>
          <w:rFonts w:hint="eastAsia" w:ascii="宋体" w:hAnsi="宋体"/>
          <w:sz w:val="24"/>
        </w:rPr>
        <w:t>）</w:t>
      </w:r>
    </w:p>
    <w:p w14:paraId="5FDBCFE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07B141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神经网络本质上是数值计算系统，其输入必须是浮点数或整数的张量（Tensor），而人类可读的文本字符无法被直接处理。Tokenizer（分词器）的核心作用是将离散的文本符号转换为连续的数值表示，具体包括三个步骤：</w:t>
      </w:r>
    </w:p>
    <w:p w14:paraId="2C684D1A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第一，分词（Tokenization）：按照预定义的词表规则，将输入文本切分为 token 序列。不同语言的 tokenization 策略有所不同，中文可按字/词切分，英文可按 subword（子词）切分，如 BPE（Byte Pair Encoding）或 WordPiece 算法。MiniMind 项目使用的 tokenizer 即通过类似机制将文本映射为 token 列表。</w:t>
      </w:r>
    </w:p>
    <w:p w14:paraId="1C0AA93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第二，ID 映射（Token-to-Index）：将切分出的每个 token 映射为词表（Vocabulary）中的唯一整数编号。例如"天"→101，"空"→234，"蓝"→567。这样文本就变成了 [101, 234, 567, …] 的整数序列。</w:t>
      </w:r>
    </w:p>
    <w:p w14:paraId="5C342DF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第三，向量嵌入（Embedding）：将整数 ID 通过嵌入矩阵（Embedding Matrix）查表操作，转换为 d 维稠密向量。嵌入层本身是可学习的参数，在训练过程中自动优化，使每个 token 的向量表示能够捕获语义信息。</w:t>
      </w:r>
    </w:p>
    <w:p w14:paraId="51F310F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如果不经过 tokenizer 直接输入文本字符的 Unicode 编码，则无法利用预训练学到的语义表示，且输入维度极高（每个汉字一个编码），无法有效建模语言规律。</w:t>
      </w:r>
    </w:p>
    <w:p w14:paraId="5C9C8F4A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1B671DD">
      <w:pPr>
        <w:snapToGrid w:val="0"/>
        <w:spacing w:line="300" w:lineRule="auto"/>
        <w:ind w:left="479" w:leftChars="228" w:firstLine="0" w:firstLineChars="0"/>
        <w:rPr>
          <w:rFonts w:ascii="宋体" w:hAnsi="宋体"/>
          <w:sz w:val="24"/>
        </w:rPr>
      </w:pPr>
      <w:r>
        <w:rPr>
          <w:rFonts w:ascii="宋体" w:hAnsi="宋体"/>
          <w:color w:val="FF0000"/>
          <w:sz w:val="24"/>
        </w:rPr>
        <w:t>pretrain_t2t_mini.jsonl 和 sft_t2t_mini.jsonl 的数据格式</w:t>
      </w:r>
      <w:r>
        <w:rPr>
          <w:rFonts w:hint="eastAsia" w:ascii="宋体" w:hAnsi="宋体"/>
          <w:color w:val="FF0000"/>
          <w:sz w:val="24"/>
          <w:lang w:eastAsia="zh-CN"/>
        </w:rPr>
        <w:t>：</w:t>
      </w:r>
      <w:r>
        <w:rPr>
          <w:rFonts w:hint="eastAsia" w:ascii="宋体" w:hAnsi="宋体"/>
          <w:color w:val="FF0000"/>
          <w:sz w:val="24"/>
          <w:lang w:eastAsia="zh-CN"/>
        </w:rPr>
        <w:br w:type="textWrapping"/>
      </w:r>
      <w:r>
        <w:rPr>
          <w:rFonts w:ascii="宋体" w:hAnsi="宋体"/>
          <w:sz w:val="24"/>
        </w:rPr>
        <w:t>两者最本质的区别在于数据结构和训练目标不同：</w:t>
      </w:r>
    </w:p>
    <w:p w14:paraId="6986FA1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pretrain_t2t_mini.jsonl 采用纯文本格式，每行是一个独立的 JSON 对象，包含一个 text 字段，值为未经任何结构化处理的原始文本段落。这种格式的数据用于训练模型的"语言建模"能力——给定前文预测下一个 token。模型学到的是语言的统计规律（如词语搭配、句法结构、世界知识片段），不涉及任何角色或任务的概念。</w:t>
      </w:r>
    </w:p>
    <w:p w14:paraId="541068A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sft_t2t_mini.jsonl 采用多轮对话格式，每行是一个 JSON 对象，包含一个 conversations 数组。数组内交替排列着 user（用户）和 assistant（助手）的对话片段，每条消息有 role 字段指明角色、content 字段指明内容。这种格式的数据用于训练模型的"指令跟随"能力——模型学习的是"在 user 说完之后，以 assistant 的身份给出符合预期的回答"的映射关系。</w:t>
      </w:r>
    </w:p>
    <w:p w14:paraId="6B82AA2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简而言之，pretrain 数据是"给模型看书让它自己学说话"，sft 数据是"给模型看问答对话让它学会当助手"。</w:t>
      </w:r>
    </w:p>
    <w:p w14:paraId="1975643C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DEECD3A">
      <w:pPr>
        <w:snapToGrid w:val="0"/>
        <w:spacing w:line="300" w:lineRule="auto"/>
        <w:ind w:firstLine="420"/>
        <w:rPr>
          <w:rFonts w:hint="eastAsia" w:ascii="宋体" w:hAnsi="宋体" w:eastAsia="宋体"/>
          <w:sz w:val="24"/>
          <w:lang w:eastAsia="zh-CN"/>
        </w:rPr>
      </w:pPr>
      <w:r>
        <w:rPr>
          <w:rFonts w:ascii="宋体" w:hAnsi="宋体"/>
          <w:color w:val="FF0000"/>
          <w:sz w:val="24"/>
        </w:rPr>
        <w:t>预训练后的模型已经能说话，但还不一定像一个合格助手</w:t>
      </w:r>
      <w:r>
        <w:rPr>
          <w:rFonts w:hint="eastAsia" w:ascii="宋体" w:hAnsi="宋体"/>
          <w:color w:val="FF0000"/>
          <w:sz w:val="24"/>
          <w:lang w:eastAsia="zh-CN"/>
        </w:rPr>
        <w:t>：</w:t>
      </w:r>
    </w:p>
    <w:p w14:paraId="08AC113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预训练模型能说话，是因为它在大规模纯文本上完成了语言建模任务——通过"给定前文预测下一个 token"的训练目标，模型自动学会了语言的统计规律，包括词汇搭配、句法结构、事实性知识等。这些能力使得模型能够生成语法正确、语义连贯的文本。</w:t>
      </w:r>
    </w:p>
    <w:p w14:paraId="598B38A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但"像一个合格助手"不仅仅是"能说话"，还包括以下关键能力：</w:t>
      </w:r>
    </w:p>
    <w:p w14:paraId="2ECDB98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一，身份一致性。预训练语料中包含各种来源、各种角色的文本，模型学到的是不同语气、不同身份混在一起的统计分布。因此预训练模型对于"你是什么模型？"这类身份问题的回答可能是任意的、不一致的——有时说自己是某开源模型，有时说自己是最先进的 AI，有时则完全答非所问。</w:t>
      </w:r>
    </w:p>
    <w:p w14:paraId="0E10CED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二，指令理解与遵循。助手的核心价值在于"听懂了人类的需求并完成它"。预训练阶段没有针对指令跟随进行训练，模型习惯的是"续写文本"而非"执行任务"。面对"请用三句话解释量子力学"这样的结构化请求，预训练模型可能直接围绕"量子力学"展开自由写作，而非按要求的格式和长度回答。</w:t>
      </w:r>
    </w:p>
    <w:p w14:paraId="056FF88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第三，输出格式规范。助手式回答通常要求清晰、有条理、有边界。预训练模型倾向于无限续写，输出边界不清晰，可能在一个回答后继续生成无关内容。</w:t>
      </w:r>
    </w:p>
    <w:p w14:paraId="3F25CC5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因此，预训练解决的是"语言能力"的问题，SFT 解决的是"按人类期望的方式使用语言能力"的问题。</w:t>
      </w:r>
    </w:p>
    <w:p w14:paraId="742CFB0C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D5C4C4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color w:val="FF0000"/>
          <w:sz w:val="24"/>
        </w:rPr>
        <w:t>SFT 微调主要改善了模型表现</w:t>
      </w:r>
      <w:r>
        <w:rPr>
          <w:rFonts w:hint="eastAsia" w:ascii="宋体" w:hAnsi="宋体"/>
          <w:color w:val="FF0000"/>
          <w:sz w:val="24"/>
          <w:lang w:eastAsia="zh-CN"/>
        </w:rPr>
        <w:t>。</w:t>
      </w:r>
      <w:r>
        <w:rPr>
          <w:rFonts w:hint="eastAsia" w:ascii="宋体" w:hAnsi="宋体"/>
          <w:color w:val="FF0000"/>
          <w:sz w:val="24"/>
          <w:lang w:eastAsia="zh-CN"/>
        </w:rPr>
        <w:br w:type="textWrapping"/>
      </w:r>
      <w:r>
        <w:rPr>
          <w:rFonts w:ascii="宋体" w:hAnsi="宋体"/>
          <w:sz w:val="24"/>
        </w:rPr>
        <w:t>SFT 微调在以下维度对模型表现有显著改善。以测试问题为例：</w:t>
      </w:r>
    </w:p>
    <w:p w14:paraId="6A7E60D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（1）回答结构的规范化。经过 SFT 后，模型面对"是什么"类问题时，会主动形成"定义→解释→举例"的结构化回答模式。例如：</w:t>
      </w:r>
    </w:p>
    <w:p w14:paraId="3D3E8B08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518C515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预训练模型可能回答："具身智能…在认知科学中常被讨论…不同研究者对此有不同理解…"（自由续写，无边界）</w:t>
      </w:r>
    </w:p>
    <w:p w14:paraId="0EA7DF9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28A649C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ED4E95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SFT 模型则回答："具身智能是一种强调智能行为必须与身体经验紧密结合的研究范式…"（有明确定义框架）</w:t>
      </w:r>
    </w:p>
    <w:p w14:paraId="470B6855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055C7546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（2）任务类型的理解与遵循。SFT 训练数据中包含大量"是什么""怎么做""为什么"等不同类型的问题，模型学会了针对不同问题类型采用相应的回答策略，而非笼统地自由续写。</w:t>
      </w:r>
    </w:p>
    <w:p w14:paraId="708EB87C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（3）内容组织的条理性。SFT 后模型在解释"具身智能"时，更倾向于分点论述（如"第一，具身智能强调身体的作用；第二…"），而非一段式无序展开。</w:t>
      </w:r>
    </w:p>
    <w:p w14:paraId="5032AFFA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（4）对话格式的规范性。SFT 训练中模型学会了对用户保持友好、专业的语气，输出有明确的开始和结束边界，不会无限续写。</w:t>
      </w:r>
    </w:p>
    <w:p w14:paraId="2F021EBB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（5）身份一致性。在多轮对话中，SFT 模型能始终以助手身份回应，不会出现语气突变或角色混淆的情况。</w:t>
      </w:r>
    </w:p>
    <w:p w14:paraId="2074CBFD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F5662D3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color w:val="FF0000"/>
          <w:sz w:val="24"/>
        </w:rPr>
        <w:t>如果 torch.cuda.is_available() 是 False，可能</w:t>
      </w:r>
      <w:r>
        <w:rPr>
          <w:rFonts w:hint="eastAsia" w:ascii="宋体" w:hAnsi="宋体"/>
          <w:color w:val="FF0000"/>
          <w:sz w:val="24"/>
          <w:lang w:val="en-US" w:eastAsia="zh-CN"/>
        </w:rPr>
        <w:t>的原因：</w:t>
      </w:r>
      <w:r>
        <w:rPr>
          <w:rFonts w:hint="eastAsia" w:ascii="宋体" w:hAnsi="宋体"/>
          <w:sz w:val="24"/>
          <w:lang w:val="en-US" w:eastAsia="zh-CN"/>
        </w:rPr>
        <w:br w:type="textWrapping"/>
      </w:r>
      <w:r>
        <w:rPr>
          <w:rFonts w:ascii="宋体" w:hAnsi="宋体"/>
          <w:sz w:val="24"/>
        </w:rPr>
        <w:t>torch.cuda.is_available() 返回 False，意味着 PyTorch 环境中无法识别 NVIDIA GPU。常见原因及排查方法如下：</w:t>
      </w:r>
    </w:p>
    <w:p w14:paraId="307FD367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原因一：PyTorch 安装成了 CPU 版本</w:t>
      </w:r>
    </w:p>
    <w:p w14:paraId="566BE76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最常见的原因是使用 pip install torch 安装了不带 CUDA 支持的 CPU-only 版本。排查方法：执行 pip show torch，查看安装的 torch 版本是否包含 "cu" 标记（如 cu126 表示 CUDA 12.6 版本）。若不包含 CUDA 标记，则需要卸载后重新安装 GPU 版本：</w:t>
      </w:r>
    </w:p>
    <w:p w14:paraId="717D91E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pip uninstall torch torchvision torchaudio</w:t>
      </w:r>
    </w:p>
    <w:p w14:paraId="694CEA18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pip install torch torchvision torchaudio --index-url https://download.pytorch.org/whl/cu126</w:t>
      </w:r>
    </w:p>
    <w:p w14:paraId="6B4583C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原因二：NVIDIA 驱动未安装或版本过旧</w:t>
      </w:r>
    </w:p>
    <w:p w14:paraId="6652823D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即使 PyTorch 是 CUDA 版本，若本机无 NVIDIA 显卡或驱动缺失，torch.cuda.is_available() 仍会返回 False。排查方法：执行 nvidia-smi 命令，若报错"No NVIDIA driver installed"，则需要前往 NVIDIA 官网下载并安装对应显卡型号的驱动程序。</w:t>
      </w:r>
    </w:p>
    <w:p w14:paraId="6F39B40F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原因三：驱动版本与 PyTorch CUDA 版本不兼容</w:t>
      </w:r>
    </w:p>
    <w:p w14:paraId="7E7976F1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驱动支持的 CUDA 版本需要 ≥ PyTorch 编译时绑定的 CUDA 版本。例如驱动支持 CUDA 11.8，但 PyTorch 绑定的是 CUDA 12.6，则可能不兼容。排查方法：对比 nvidia-smi 显示的 Driver CUDA Version 和 torch.version.cuda 的值，前者应大于等于后者。</w:t>
      </w:r>
    </w:p>
    <w:p w14:paraId="65AFFEC2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原因四：当前 conda 环境未激活</w:t>
      </w:r>
    </w:p>
    <w:p w14:paraId="0244B82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在 minimind 环境之外的系统 Python 或其他 conda 环境中，PyTorch 可能未安装或不包含 CUDA 支持。排查方法：确认命令行前方有 (minimind) 标识，执行 conda activate minimind 切换到正确环境后再运行检查命令。</w:t>
      </w:r>
    </w:p>
    <w:p w14:paraId="5CCC75A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原因五：多显卡环境下的 GPU 可见性问题</w:t>
      </w:r>
    </w:p>
    <w:p w14:paraId="2E447FC7">
      <w:pPr>
        <w:snapToGrid w:val="0"/>
        <w:spacing w:line="300" w:lineRule="auto"/>
        <w:ind w:firstLine="420"/>
        <w:rPr>
          <w:rFonts w:ascii="宋体" w:hAnsi="宋体"/>
          <w:color w:val="FF0000"/>
          <w:sz w:val="24"/>
        </w:rPr>
      </w:pPr>
      <w:r>
        <w:rPr>
          <w:rFonts w:ascii="宋体" w:hAnsi="宋体"/>
          <w:sz w:val="24"/>
        </w:rPr>
        <w:t>极少数情况下，NVIDIA 驱动检测正常但 CUDA 可见性受限。排查方法：在 Python 中执行 torch.cuda.device_count() 查看检测到的 GPU 数量是否为 0，若是 0 则需检查驱动安装或考虑重新安装 PyTorch。</w:t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br w:type="textWrapping"/>
      </w:r>
      <w:r>
        <w:rPr>
          <w:rFonts w:ascii="宋体" w:hAnsi="宋体"/>
          <w:sz w:val="24"/>
        </w:rPr>
        <w:br w:type="textWrapping"/>
      </w:r>
      <w:r>
        <w:rPr>
          <w:rFonts w:hint="eastAsia" w:ascii="宋体" w:hAnsi="宋体"/>
          <w:color w:val="FF0000"/>
          <w:sz w:val="24"/>
        </w:rPr>
        <w:t>实验报告中的截图部分（环境运行截图、训练截图、评估结果截图等）根据实际运行结果补充。截图应清晰展示关键命令的输出内容和模型的推理效果。建议按以下顺序整理截图： ①nvidia-smi ②PyTorch CUDA 检查 ③项目目录结构 ④数据集文件 ⑤预训练 loss 输出 ⑥预训练模型推理 ⑦SFT 微调 loss 输出 ⑧SFT 模型推理 ⑨SwanLab 训练曲线。</w:t>
      </w:r>
    </w:p>
    <w:p w14:paraId="6DB57CBF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9E7AB2E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247B72E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18AE9CB9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93C4B10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AE2B874">
      <w:pPr>
        <w:snapToGrid w:val="0"/>
        <w:spacing w:line="300" w:lineRule="auto"/>
        <w:rPr>
          <w:rFonts w:ascii="宋体" w:hAnsi="宋体"/>
          <w:b/>
          <w:sz w:val="24"/>
        </w:rPr>
      </w:pPr>
    </w:p>
    <w:p w14:paraId="4D1E4900">
      <w:pPr>
        <w:snapToGrid w:val="0"/>
        <w:spacing w:line="300" w:lineRule="auto"/>
        <w:ind w:firstLine="420"/>
        <w:rPr>
          <w:rFonts w:ascii="宋体" w:hAnsi="宋体"/>
          <w:sz w:val="24"/>
        </w:rPr>
        <w:sectPr>
          <w:footerReference r:id="rId5" w:type="default"/>
          <w:pgSz w:w="11906" w:h="16838"/>
          <w:pgMar w:top="1134" w:right="1134" w:bottom="1134" w:left="1701" w:header="851" w:footer="567" w:gutter="0"/>
          <w:pgNumType w:start="1"/>
          <w:cols w:space="425" w:num="1"/>
          <w:docGrid w:type="lines" w:linePitch="312" w:charSpace="0"/>
        </w:sectPr>
      </w:pPr>
    </w:p>
    <w:p w14:paraId="77B568CB">
      <w:pPr>
        <w:snapToGrid w:val="0"/>
        <w:spacing w:line="300" w:lineRule="auto"/>
        <w:ind w:firstLine="420"/>
        <w:rPr>
          <w:rFonts w:hint="eastAsia" w:ascii="宋体" w:hAnsi="宋体"/>
          <w:sz w:val="24"/>
        </w:rPr>
      </w:pPr>
    </w:p>
    <w:p w14:paraId="05821C80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实验项目2：XXXX</w:t>
      </w:r>
    </w:p>
    <w:p w14:paraId="6B8C0B93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76A505A1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一、实验目的</w:t>
      </w:r>
    </w:p>
    <w:p w14:paraId="33D5DBD0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见</w:t>
      </w:r>
      <w:r>
        <w:rPr>
          <w:rFonts w:ascii="宋体" w:hAnsi="宋体"/>
          <w:sz w:val="24"/>
        </w:rPr>
        <w:t>《</w:t>
      </w:r>
      <w:r>
        <w:rPr>
          <w:rFonts w:hint="eastAsia" w:ascii="宋体" w:hAnsi="宋体"/>
          <w:sz w:val="24"/>
        </w:rPr>
        <w:t>实验任务书</w:t>
      </w:r>
      <w:r>
        <w:rPr>
          <w:rFonts w:ascii="宋体" w:hAnsi="宋体"/>
          <w:sz w:val="24"/>
        </w:rPr>
        <w:t>》。</w:t>
      </w:r>
    </w:p>
    <w:p w14:paraId="2E5E8AD0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二</w:t>
      </w:r>
      <w:r>
        <w:rPr>
          <w:rFonts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sz w:val="36"/>
          <w:szCs w:val="36"/>
        </w:rPr>
        <w:t>实验内容</w:t>
      </w:r>
    </w:p>
    <w:p w14:paraId="7C0015A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见</w:t>
      </w:r>
      <w:r>
        <w:rPr>
          <w:rFonts w:ascii="宋体" w:hAnsi="宋体"/>
          <w:sz w:val="24"/>
        </w:rPr>
        <w:t>《</w:t>
      </w:r>
      <w:r>
        <w:rPr>
          <w:rFonts w:hint="eastAsia" w:ascii="宋体" w:hAnsi="宋体"/>
          <w:sz w:val="24"/>
        </w:rPr>
        <w:t>实验任务书</w:t>
      </w:r>
      <w:r>
        <w:rPr>
          <w:rFonts w:ascii="宋体" w:hAnsi="宋体"/>
          <w:sz w:val="24"/>
        </w:rPr>
        <w:t>》。</w:t>
      </w:r>
    </w:p>
    <w:p w14:paraId="2A4B2ABE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三</w:t>
      </w:r>
      <w:r>
        <w:rPr>
          <w:rFonts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sz w:val="36"/>
          <w:szCs w:val="36"/>
        </w:rPr>
        <w:t>实验方案与步骤</w:t>
      </w:r>
    </w:p>
    <w:p w14:paraId="20B37FBC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3.1 基础理论</w:t>
      </w:r>
    </w:p>
    <w:p w14:paraId="2138186E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i/>
          <w:iCs/>
          <w:sz w:val="24"/>
        </w:rPr>
        <w:t>简述报告</w:t>
      </w:r>
      <w:r>
        <w:rPr>
          <w:rFonts w:ascii="宋体" w:hAnsi="宋体"/>
          <w:i/>
          <w:iCs/>
          <w:sz w:val="24"/>
        </w:rPr>
        <w:t>所要</w:t>
      </w:r>
      <w:r>
        <w:rPr>
          <w:rFonts w:hint="eastAsia" w:ascii="宋体" w:hAnsi="宋体"/>
          <w:i/>
          <w:iCs/>
          <w:sz w:val="24"/>
        </w:rPr>
        <w:t>用到</w:t>
      </w:r>
      <w:r>
        <w:rPr>
          <w:rFonts w:ascii="宋体" w:hAnsi="宋体"/>
          <w:i/>
          <w:iCs/>
          <w:sz w:val="24"/>
        </w:rPr>
        <w:t>的基本理论、</w:t>
      </w:r>
      <w:r>
        <w:rPr>
          <w:rFonts w:hint="eastAsia" w:ascii="宋体" w:hAnsi="宋体"/>
          <w:i/>
          <w:iCs/>
          <w:sz w:val="24"/>
        </w:rPr>
        <w:t>基本</w:t>
      </w:r>
      <w:r>
        <w:rPr>
          <w:rFonts w:ascii="宋体" w:hAnsi="宋体"/>
          <w:i/>
          <w:iCs/>
          <w:sz w:val="24"/>
        </w:rPr>
        <w:t>原理</w:t>
      </w:r>
      <w:r>
        <w:rPr>
          <w:rFonts w:hint="eastAsia" w:ascii="宋体" w:hAnsi="宋体"/>
          <w:i/>
          <w:iCs/>
          <w:sz w:val="24"/>
        </w:rPr>
        <w:t>等</w:t>
      </w:r>
      <w:r>
        <w:rPr>
          <w:rFonts w:ascii="宋体" w:hAnsi="宋体"/>
          <w:i/>
          <w:iCs/>
          <w:sz w:val="24"/>
        </w:rPr>
        <w:t>。</w:t>
      </w:r>
      <w:r>
        <w:rPr>
          <w:rFonts w:hint="eastAsia" w:ascii="宋体" w:hAnsi="宋体"/>
          <w:sz w:val="24"/>
        </w:rPr>
        <w:t>）</w:t>
      </w:r>
    </w:p>
    <w:p w14:paraId="000DF23B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321272BD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3.2 实验</w:t>
      </w:r>
      <w:r>
        <w:rPr>
          <w:rFonts w:ascii="宋体" w:hAnsi="宋体"/>
          <w:b/>
          <w:sz w:val="28"/>
          <w:szCs w:val="28"/>
        </w:rPr>
        <w:t>流程</w:t>
      </w:r>
    </w:p>
    <w:p w14:paraId="08C88412">
      <w:pPr>
        <w:snapToGrid w:val="0"/>
        <w:spacing w:line="300" w:lineRule="auto"/>
        <w:ind w:firstLine="420"/>
        <w:rPr>
          <w:rFonts w:ascii="宋体" w:hAnsi="宋体"/>
          <w:i/>
          <w:iCs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i/>
          <w:iCs/>
          <w:sz w:val="24"/>
        </w:rPr>
        <w:t>介绍实验</w:t>
      </w:r>
      <w:r>
        <w:rPr>
          <w:rFonts w:ascii="宋体" w:hAnsi="宋体"/>
          <w:i/>
          <w:iCs/>
          <w:sz w:val="24"/>
        </w:rPr>
        <w:t>过程中的</w:t>
      </w:r>
      <w:r>
        <w:rPr>
          <w:rFonts w:hint="eastAsia" w:ascii="宋体" w:hAnsi="宋体"/>
          <w:i/>
          <w:iCs/>
          <w:sz w:val="24"/>
        </w:rPr>
        <w:t>实验</w:t>
      </w:r>
      <w:r>
        <w:rPr>
          <w:rFonts w:ascii="宋体" w:hAnsi="宋体"/>
          <w:i/>
          <w:iCs/>
          <w:sz w:val="24"/>
        </w:rPr>
        <w:t>步骤和流程</w:t>
      </w:r>
      <w:r>
        <w:rPr>
          <w:rFonts w:hint="eastAsia" w:ascii="宋体" w:hAnsi="宋体"/>
          <w:i/>
          <w:iCs/>
          <w:sz w:val="24"/>
        </w:rPr>
        <w:t>等</w:t>
      </w:r>
      <w:r>
        <w:rPr>
          <w:rFonts w:ascii="宋体" w:hAnsi="宋体"/>
          <w:i/>
          <w:iCs/>
          <w:sz w:val="24"/>
        </w:rPr>
        <w:t>方面内容。</w:t>
      </w:r>
      <w:r>
        <w:rPr>
          <w:rFonts w:hint="eastAsia" w:ascii="宋体" w:hAnsi="宋体"/>
          <w:sz w:val="24"/>
        </w:rPr>
        <w:t>）</w:t>
      </w:r>
    </w:p>
    <w:p w14:paraId="0F7F6BA0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26509EBC">
      <w:pPr>
        <w:snapToGrid w:val="0"/>
        <w:spacing w:before="120" w:after="120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四</w:t>
      </w:r>
      <w:r>
        <w:rPr>
          <w:rFonts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sz w:val="36"/>
          <w:szCs w:val="36"/>
        </w:rPr>
        <w:t>实验结果与</w:t>
      </w:r>
      <w:r>
        <w:rPr>
          <w:rFonts w:ascii="宋体" w:hAnsi="宋体"/>
          <w:b/>
          <w:sz w:val="36"/>
          <w:szCs w:val="36"/>
        </w:rPr>
        <w:t>分析</w:t>
      </w:r>
    </w:p>
    <w:p w14:paraId="7DE66251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4</w:t>
      </w:r>
      <w:r>
        <w:rPr>
          <w:rFonts w:ascii="宋体" w:hAnsi="宋体"/>
          <w:b/>
          <w:sz w:val="28"/>
          <w:szCs w:val="28"/>
        </w:rPr>
        <w:t xml:space="preserve">.1 </w:t>
      </w:r>
      <w:r>
        <w:rPr>
          <w:rFonts w:hint="eastAsia" w:ascii="宋体" w:hAnsi="宋体"/>
          <w:b/>
          <w:sz w:val="28"/>
          <w:szCs w:val="28"/>
        </w:rPr>
        <w:t>实验结果</w:t>
      </w:r>
    </w:p>
    <w:p w14:paraId="0A56BD55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i/>
          <w:iCs/>
          <w:sz w:val="24"/>
        </w:rPr>
        <w:t>实验</w:t>
      </w:r>
      <w:r>
        <w:rPr>
          <w:rFonts w:ascii="宋体" w:hAnsi="宋体"/>
          <w:i/>
          <w:iCs/>
          <w:sz w:val="24"/>
        </w:rPr>
        <w:t>过程中得到的最终结果，包括图片、曲线等数据。</w:t>
      </w:r>
      <w:r>
        <w:rPr>
          <w:rFonts w:hint="eastAsia" w:ascii="宋体" w:hAnsi="宋体"/>
          <w:sz w:val="24"/>
        </w:rPr>
        <w:t>）</w:t>
      </w:r>
    </w:p>
    <w:p w14:paraId="3CAA1BC1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64F78597">
      <w:pPr>
        <w:snapToGrid w:val="0"/>
        <w:spacing w:before="120" w:after="120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4</w:t>
      </w:r>
      <w:r>
        <w:rPr>
          <w:rFonts w:ascii="宋体" w:hAnsi="宋体"/>
          <w:b/>
          <w:sz w:val="28"/>
          <w:szCs w:val="28"/>
        </w:rPr>
        <w:t xml:space="preserve">.2 </w:t>
      </w:r>
      <w:r>
        <w:rPr>
          <w:rFonts w:hint="eastAsia" w:ascii="宋体" w:hAnsi="宋体"/>
          <w:b/>
          <w:sz w:val="28"/>
          <w:szCs w:val="28"/>
        </w:rPr>
        <w:t>结果</w:t>
      </w:r>
      <w:r>
        <w:rPr>
          <w:rFonts w:ascii="宋体" w:hAnsi="宋体"/>
          <w:b/>
          <w:sz w:val="28"/>
          <w:szCs w:val="28"/>
        </w:rPr>
        <w:t>分析</w:t>
      </w:r>
    </w:p>
    <w:p w14:paraId="06CCE0D4">
      <w:pPr>
        <w:snapToGrid w:val="0"/>
        <w:spacing w:line="300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</w:t>
      </w:r>
      <w:r>
        <w:rPr>
          <w:rFonts w:hint="eastAsia" w:ascii="宋体" w:hAnsi="宋体"/>
          <w:i/>
          <w:iCs/>
          <w:sz w:val="24"/>
        </w:rPr>
        <w:t>对实验</w:t>
      </w:r>
      <w:r>
        <w:rPr>
          <w:rFonts w:ascii="宋体" w:hAnsi="宋体"/>
          <w:i/>
          <w:iCs/>
          <w:sz w:val="24"/>
        </w:rPr>
        <w:t>结果进行分析。</w:t>
      </w:r>
      <w:r>
        <w:rPr>
          <w:rFonts w:hint="eastAsia" w:ascii="宋体" w:hAnsi="宋体"/>
          <w:sz w:val="24"/>
        </w:rPr>
        <w:t>）</w:t>
      </w:r>
    </w:p>
    <w:p w14:paraId="7CD9D8DD">
      <w:pPr>
        <w:snapToGrid w:val="0"/>
        <w:spacing w:line="300" w:lineRule="auto"/>
        <w:ind w:firstLine="420"/>
        <w:rPr>
          <w:rFonts w:ascii="宋体" w:hAnsi="宋体"/>
          <w:sz w:val="24"/>
        </w:rPr>
      </w:pPr>
    </w:p>
    <w:p w14:paraId="4C618ACC">
      <w:pPr>
        <w:snapToGrid w:val="0"/>
        <w:spacing w:line="300" w:lineRule="auto"/>
        <w:rPr>
          <w:rFonts w:ascii="宋体" w:hAnsi="宋体"/>
          <w:b/>
          <w:sz w:val="24"/>
        </w:rPr>
      </w:pPr>
    </w:p>
    <w:p w14:paraId="3FA35309">
      <w:pPr>
        <w:snapToGrid w:val="0"/>
        <w:spacing w:line="300" w:lineRule="auto"/>
        <w:rPr>
          <w:rFonts w:hint="eastAsia" w:ascii="宋体" w:hAnsi="宋体"/>
          <w:b/>
          <w:sz w:val="24"/>
        </w:rPr>
      </w:pPr>
    </w:p>
    <w:sectPr>
      <w:pgSz w:w="11906" w:h="16838"/>
      <w:pgMar w:top="1134" w:right="1134" w:bottom="1134" w:left="1701" w:header="851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96799749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60F7B908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824EEF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9201052"/>
      <w:docPartObj>
        <w:docPartGallery w:val="AutoText"/>
      </w:docPartObj>
    </w:sdtPr>
    <w:sdtContent>
      <w:p w14:paraId="698DFB98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06F9E005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CA6C8">
    <w:pPr>
      <w:pStyle w:val="9"/>
    </w:pPr>
    <w:r>
      <w:rPr>
        <w:rFonts w:hint="eastAsia"/>
        <w:sz w:val="24"/>
        <w:szCs w:val="24"/>
      </w:rPr>
      <w:t>《具身大模型理论》课程实验报告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BBB"/>
    <w:rsid w:val="00025BB5"/>
    <w:rsid w:val="0005107F"/>
    <w:rsid w:val="00071EA0"/>
    <w:rsid w:val="00084131"/>
    <w:rsid w:val="00096524"/>
    <w:rsid w:val="000E36F2"/>
    <w:rsid w:val="00107025"/>
    <w:rsid w:val="00110EA1"/>
    <w:rsid w:val="0011223C"/>
    <w:rsid w:val="001155D6"/>
    <w:rsid w:val="0013347A"/>
    <w:rsid w:val="00146AAE"/>
    <w:rsid w:val="0016329F"/>
    <w:rsid w:val="00163E70"/>
    <w:rsid w:val="0019250D"/>
    <w:rsid w:val="00192F2F"/>
    <w:rsid w:val="001A0089"/>
    <w:rsid w:val="001C1030"/>
    <w:rsid w:val="001E7E7C"/>
    <w:rsid w:val="00202B65"/>
    <w:rsid w:val="002238FA"/>
    <w:rsid w:val="00262D28"/>
    <w:rsid w:val="00272D59"/>
    <w:rsid w:val="00274BD3"/>
    <w:rsid w:val="00276952"/>
    <w:rsid w:val="0027724B"/>
    <w:rsid w:val="0028340E"/>
    <w:rsid w:val="00286DF1"/>
    <w:rsid w:val="002B6CBB"/>
    <w:rsid w:val="002C53EE"/>
    <w:rsid w:val="002D1B81"/>
    <w:rsid w:val="002D307E"/>
    <w:rsid w:val="00307C88"/>
    <w:rsid w:val="0033067A"/>
    <w:rsid w:val="003353CB"/>
    <w:rsid w:val="0034274C"/>
    <w:rsid w:val="0035205C"/>
    <w:rsid w:val="00354DBE"/>
    <w:rsid w:val="00356E53"/>
    <w:rsid w:val="00374D81"/>
    <w:rsid w:val="0039451D"/>
    <w:rsid w:val="003C6F35"/>
    <w:rsid w:val="003D786A"/>
    <w:rsid w:val="003E0B5E"/>
    <w:rsid w:val="00431F0F"/>
    <w:rsid w:val="00435561"/>
    <w:rsid w:val="00461AC7"/>
    <w:rsid w:val="00463E9B"/>
    <w:rsid w:val="0046526C"/>
    <w:rsid w:val="0049431D"/>
    <w:rsid w:val="004A6D72"/>
    <w:rsid w:val="004B6DBE"/>
    <w:rsid w:val="004C3206"/>
    <w:rsid w:val="004D5857"/>
    <w:rsid w:val="004E0CB4"/>
    <w:rsid w:val="004F554A"/>
    <w:rsid w:val="00514604"/>
    <w:rsid w:val="00515C72"/>
    <w:rsid w:val="0053660D"/>
    <w:rsid w:val="0054044D"/>
    <w:rsid w:val="0056297F"/>
    <w:rsid w:val="0057129A"/>
    <w:rsid w:val="00575C30"/>
    <w:rsid w:val="00587C80"/>
    <w:rsid w:val="005A6304"/>
    <w:rsid w:val="005A6B32"/>
    <w:rsid w:val="005D0D8A"/>
    <w:rsid w:val="00601F6A"/>
    <w:rsid w:val="00607642"/>
    <w:rsid w:val="00611079"/>
    <w:rsid w:val="00617974"/>
    <w:rsid w:val="00623004"/>
    <w:rsid w:val="006577AA"/>
    <w:rsid w:val="00681850"/>
    <w:rsid w:val="006B574F"/>
    <w:rsid w:val="006C1E4B"/>
    <w:rsid w:val="006C26FA"/>
    <w:rsid w:val="006D7F88"/>
    <w:rsid w:val="00706CEC"/>
    <w:rsid w:val="007213B5"/>
    <w:rsid w:val="007247A7"/>
    <w:rsid w:val="00730A55"/>
    <w:rsid w:val="00767CBF"/>
    <w:rsid w:val="007B37F7"/>
    <w:rsid w:val="007C7336"/>
    <w:rsid w:val="007D2A37"/>
    <w:rsid w:val="007E661A"/>
    <w:rsid w:val="007F2B41"/>
    <w:rsid w:val="00803CDD"/>
    <w:rsid w:val="00804585"/>
    <w:rsid w:val="00812D1E"/>
    <w:rsid w:val="00817990"/>
    <w:rsid w:val="00823745"/>
    <w:rsid w:val="0084752E"/>
    <w:rsid w:val="008543C7"/>
    <w:rsid w:val="00886589"/>
    <w:rsid w:val="008D5F41"/>
    <w:rsid w:val="008D7679"/>
    <w:rsid w:val="00910378"/>
    <w:rsid w:val="009127D6"/>
    <w:rsid w:val="00932736"/>
    <w:rsid w:val="0093682D"/>
    <w:rsid w:val="00971AF7"/>
    <w:rsid w:val="00983D84"/>
    <w:rsid w:val="009F5C48"/>
    <w:rsid w:val="00A061EE"/>
    <w:rsid w:val="00A422F0"/>
    <w:rsid w:val="00A44E18"/>
    <w:rsid w:val="00A524CE"/>
    <w:rsid w:val="00A65B89"/>
    <w:rsid w:val="00A666F2"/>
    <w:rsid w:val="00A71871"/>
    <w:rsid w:val="00AA2234"/>
    <w:rsid w:val="00AC3A93"/>
    <w:rsid w:val="00B00FBA"/>
    <w:rsid w:val="00B11C5C"/>
    <w:rsid w:val="00B26382"/>
    <w:rsid w:val="00B27B85"/>
    <w:rsid w:val="00B470CF"/>
    <w:rsid w:val="00B61205"/>
    <w:rsid w:val="00B8333C"/>
    <w:rsid w:val="00B961B1"/>
    <w:rsid w:val="00BC149D"/>
    <w:rsid w:val="00BD05D3"/>
    <w:rsid w:val="00BD51C7"/>
    <w:rsid w:val="00BE14E4"/>
    <w:rsid w:val="00C25FC1"/>
    <w:rsid w:val="00C424EC"/>
    <w:rsid w:val="00C5010A"/>
    <w:rsid w:val="00C621D3"/>
    <w:rsid w:val="00C86E94"/>
    <w:rsid w:val="00C93090"/>
    <w:rsid w:val="00C9561C"/>
    <w:rsid w:val="00CA0DA0"/>
    <w:rsid w:val="00CA1D6F"/>
    <w:rsid w:val="00CB77BB"/>
    <w:rsid w:val="00CD550A"/>
    <w:rsid w:val="00CE2867"/>
    <w:rsid w:val="00CF7E7C"/>
    <w:rsid w:val="00D01421"/>
    <w:rsid w:val="00D06C98"/>
    <w:rsid w:val="00D12465"/>
    <w:rsid w:val="00DB3F79"/>
    <w:rsid w:val="00DC520F"/>
    <w:rsid w:val="00DE4679"/>
    <w:rsid w:val="00DF0B75"/>
    <w:rsid w:val="00E03255"/>
    <w:rsid w:val="00E07DC1"/>
    <w:rsid w:val="00E20DEC"/>
    <w:rsid w:val="00E231B3"/>
    <w:rsid w:val="00E63A2A"/>
    <w:rsid w:val="00E6417C"/>
    <w:rsid w:val="00E75C02"/>
    <w:rsid w:val="00E83AAF"/>
    <w:rsid w:val="00E92FDA"/>
    <w:rsid w:val="00E97EE4"/>
    <w:rsid w:val="00EB096C"/>
    <w:rsid w:val="00EB62D1"/>
    <w:rsid w:val="00EC1005"/>
    <w:rsid w:val="00EE0883"/>
    <w:rsid w:val="00EE2DCD"/>
    <w:rsid w:val="00EE7BBB"/>
    <w:rsid w:val="00F3579A"/>
    <w:rsid w:val="00F7632A"/>
    <w:rsid w:val="00F84B9F"/>
    <w:rsid w:val="00FA4FD5"/>
    <w:rsid w:val="00FC5EE8"/>
    <w:rsid w:val="00FD0D93"/>
    <w:rsid w:val="00FD786C"/>
    <w:rsid w:val="00FE7899"/>
    <w:rsid w:val="00FF1B37"/>
    <w:rsid w:val="2B345DDC"/>
    <w:rsid w:val="2E14265F"/>
    <w:rsid w:val="40A524FB"/>
    <w:rsid w:val="45B74794"/>
    <w:rsid w:val="4E283861"/>
    <w:rsid w:val="4FF35145"/>
    <w:rsid w:val="6496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31"/>
    <w:unhideWhenUsed/>
    <w:qFormat/>
    <w:uiPriority w:val="99"/>
    <w:pPr>
      <w:spacing w:after="120"/>
    </w:pPr>
  </w:style>
  <w:style w:type="paragraph" w:styleId="7">
    <w:name w:val="Balloon Text"/>
    <w:basedOn w:val="1"/>
    <w:link w:val="22"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Body Text First Indent"/>
    <w:basedOn w:val="6"/>
    <w:link w:val="32"/>
    <w:unhideWhenUsed/>
    <w:uiPriority w:val="99"/>
    <w:pPr>
      <w:ind w:firstLine="420" w:firstLineChars="100"/>
    </w:pPr>
    <w:rPr>
      <w:rFonts w:asciiTheme="minorHAnsi" w:hAnsiTheme="minorHAnsi" w:eastAsiaTheme="minorEastAsia" w:cstheme="minorBidi"/>
      <w:szCs w:val="22"/>
    </w:rPr>
  </w:style>
  <w:style w:type="table" w:styleId="16">
    <w:name w:val="Table Grid"/>
    <w:basedOn w:val="1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customStyle="1" w:styleId="22">
    <w:name w:val="批注框文本 字符"/>
    <w:basedOn w:val="17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7"/>
    <w:link w:val="9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4">
    <w:name w:val="页脚 字符"/>
    <w:basedOn w:val="17"/>
    <w:link w:val="8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5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26">
    <w:name w:val="占位符文本1"/>
    <w:basedOn w:val="17"/>
    <w:semiHidden/>
    <w:qFormat/>
    <w:uiPriority w:val="99"/>
    <w:rPr>
      <w:color w:val="808080"/>
    </w:rPr>
  </w:style>
  <w:style w:type="character" w:customStyle="1" w:styleId="27">
    <w:name w:val="标题 1 字符"/>
    <w:basedOn w:val="17"/>
    <w:link w:val="2"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28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9">
    <w:name w:val="TOC 标题1"/>
    <w:basedOn w:val="2"/>
    <w:next w:val="1"/>
    <w:unhideWhenUsed/>
    <w:qFormat/>
    <w:uiPriority w:val="39"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paragraph" w:styleId="30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正文文本 字符"/>
    <w:basedOn w:val="17"/>
    <w:link w:val="6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32">
    <w:name w:val="正文文本首行缩进 字符"/>
    <w:basedOn w:val="31"/>
    <w:link w:val="14"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33">
    <w:name w:val="MTDisplayEquation"/>
    <w:basedOn w:val="14"/>
    <w:next w:val="1"/>
    <w:uiPriority w:val="0"/>
    <w:pPr>
      <w:tabs>
        <w:tab w:val="center" w:pos="4120"/>
        <w:tab w:val="right" w:pos="8220"/>
      </w:tabs>
      <w:spacing w:after="0"/>
      <w:ind w:firstLine="498" w:firstLineChars="200"/>
    </w:pPr>
    <w:rPr>
      <w:rFonts w:ascii="Times New Roman" w:hAnsi="Times New Roman" w:eastAsia="宋体" w:cs="Times New Roman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oleObject" Target="embeddings/oleObject1.bin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75CB4-358D-4A76-A8F9-0B24BCEB93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378</Words>
  <Characters>427</Characters>
  <Lines>5</Lines>
  <Paragraphs>1</Paragraphs>
  <TotalTime>860</TotalTime>
  <ScaleCrop>false</ScaleCrop>
  <LinksUpToDate>false</LinksUpToDate>
  <CharactersWithSpaces>616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2026-05-11T15:13:00Z</dcterms:created>
  <dc:creator>Administrator</dc:creator>
  <cp:lastModifiedBy>宋听潮</cp:lastModifiedBy>
  <dcterms:modified xsi:type="dcterms:W3CDTF">2026-05-19T12:01:33Z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eyJoZGlkIjoiYjBjYTA2YjlkMTRhMWRhYjQzNjdmNTJiMzdlYTdiYTAiLCJ1c2VySWQiOiIxMzgzMzg5OTUzIn0=</vt:lpwstr>
  </property>
  <property fmtid="{D5CDD505-2E9C-101B-9397-08002B2CF9AE}" pid="4" name="ICV">
    <vt:lpwstr>E596676E6E2C4B11AACF6A23ADB9EFEA_12</vt:lpwstr>
  </property>
</Properties>
</file>