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App Project Handover &amp; Technical Design Document</w:t>
      </w:r>
    </w:p>
    <w:p>
      <w:r>
        <w:t>Version: v3 (Post v2.94.1)</w:t>
        <w:br/>
        <w:t>Purpose: Canonical onboarding, architecture and roadmap reference.</w:t>
      </w:r>
    </w:p>
    <w:p>
      <w:pPr>
        <w:pStyle w:val="Heading2"/>
      </w:pPr>
      <w:r>
        <w:t>Vision</w:t>
      </w:r>
    </w:p>
    <w:p>
      <w:r>
        <w:t>Offline-first budgeting application. Portable budget package is the source of truth. Cloud providers are transport only. Emphasis on data integrity, maintainability, desktop productivity and extensibility.</w:t>
      </w:r>
    </w:p>
    <w:p>
      <w:pPr>
        <w:pStyle w:val="Heading2"/>
      </w:pPr>
      <w:r>
        <w:t>Subsystems</w:t>
      </w:r>
    </w:p>
    <w:p>
      <w:r>
        <w:t>Budget Engine; Register Engine; Scheduled Transaction Engine; Transaction Intake &amp; Import; Reporting Engine; Merchant Knowledge (planned); Planning &amp; Goals (planned).</w:t>
      </w:r>
    </w:p>
    <w:p>
      <w:pPr>
        <w:pStyle w:val="Heading2"/>
      </w:pPr>
      <w:r>
        <w:t>Recent Milestones</w:t>
      </w:r>
    </w:p>
    <w:p>
      <w:r>
        <w:t>v2.94 preserved scheduled category IDs and YNAB4 fidelity. v2.94.1 added persistence-level duplicate prevention and deterministic scheduled occurrence identity.</w:t>
      </w:r>
    </w:p>
    <w:p>
      <w:pPr>
        <w:pStyle w:val="Heading2"/>
      </w:pPr>
      <w:r>
        <w:t>Architectural Decisions</w:t>
      </w:r>
    </w:p>
    <w:p>
      <w:r>
        <w:t>Separate domain from UI. Preserve category identity via IDs. Tags replace flags. Register persistence is the final authority. Importers translate into internal models rather than exposing importer semantics.</w:t>
      </w:r>
    </w:p>
    <w:p>
      <w:pPr>
        <w:pStyle w:val="Heading2"/>
      </w:pPr>
      <w:r>
        <w:t>Pinned Roadmap</w:t>
      </w:r>
    </w:p>
    <w:p>
      <w:r>
        <w:t>Merchant Knowledge subsystem; Multi-month budget view; Budget activity drill-down; Overspending workflow; Context menus; Scheduled recurrence enhancements (weekend policy, end after X occurrences, richer recurrence options); Inline BFB-style tag picker with create-in-place.</w:t>
      </w:r>
    </w:p>
    <w:p>
      <w:pPr>
        <w:pStyle w:val="Heading2"/>
      </w:pPr>
      <w:r>
        <w:t>Testing</w:t>
      </w:r>
    </w:p>
    <w:p>
      <w:r>
        <w:t>Regression-first development. Every integrity bug receives a regression test. Always validate with TypeScript and production build.</w:t>
      </w:r>
    </w:p>
    <w:p>
      <w:pPr>
        <w:pStyle w:val="Heading2"/>
      </w:pPr>
      <w:r>
        <w:t>Developer Guidance</w:t>
      </w:r>
    </w:p>
    <w:p>
      <w:r>
        <w:t>Prefer small focused patches. Preserve backward compatibility. Avoid importer-specific behaviour in core domain. Keep advanced actions out of primary workflows where possible.</w:t>
      </w:r>
    </w:p>
    <w:p>
      <w:pPr>
        <w:pStyle w:val="Heading2"/>
      </w:pPr>
      <w:r>
        <w:t>Known Future Work</w:t>
      </w:r>
    </w:p>
    <w:p>
      <w:r>
        <w:t>Scheduled UX improvements, Reports, Goals/Planning, Cloud sync, Conflict resolution, Mobile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