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tblCaption w:val="Word Count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pStyle w:val="Compact"/>
        <w:numPr>
          <w:ilvl w:val="1"/>
          <w:numId w:val="1003"/>
        </w:numPr>
      </w:pPr>
      <w:r>
        <w:t xmlns:xml="http://www.w3.org/XML/1998/namespace" xml:space="preserve">Magna voluptate laborum</w:t>
      </w:r>
    </w:p>
    <w:p>
      <w:pPr>
        <w:pStyle w:val="Compact"/>
        <w:numPr>
          <w:ilvl w:val="1"/>
          <w:numId w:val="1003"/>
        </w:numPr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/>
          <w:iCs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/>
          <w:iCs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/>
          <w:iCs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/>
          <w:iCs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4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