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 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(1 John. 4:16)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2022-05-26T09:57:22Z</dcterms:created>
  <dcterms:modified xsi:type="dcterms:W3CDTF">2022-05-26T09:57:22Z</dcterms:modified>
  <cp:lastModifiedBy>Zefram Cochrane</cp:lastModifiedBy>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