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 Does God Need with a Starship?</w:t>
      </w:r>
    </w:p>
    <w:p>
      <w:pPr>
        <w:pStyle w:val="Author"/>
      </w:pPr>
      <w:r>
        <w:t xml:space="preserve">by</w:t>
      </w:r>
    </w:p>
    <w:p>
      <w:pPr>
        <w:pStyle w:val="Author"/>
      </w:pPr>
      <w:r>
        <w:t xml:space="preserve">Zefram Cochrane</w:t>
      </w:r>
    </w:p>
    <w:p>
      <w:pPr>
        <w:pStyle w:val="Author"/>
      </w:pPr>
      <w:r>
        <w:t xml:space="preserve">Professor Richard Daystrom</w:t>
      </w:r>
      <w:r>
        <w:br/>
      </w:r>
      <w:r>
        <w:t xml:space="preserve">THEO 8063 — Theoretical Subspace Fixtures</w:t>
      </w:r>
      <w:r>
        <w:br/>
      </w:r>
      <w:r>
        <w:t xml:space="preserve">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p>
      <w:pPr>
        <w:pStyle w:val="TableCaption"/>
      </w:pPr>
      <w:r>
        <w:t xml:space="preserve">Word Counts</w:t>
      </w:r>
    </w:p>
    <w:tbl>
      <w:tblPr>
        <w:tblStyle w:val="Table"/>
        <w:tblW w:type="auto" w:w="0"/>
        <w:tblLook w:firstRow="1" w:lastRow="1" w:firstColumn="0" w:lastColumn="0" w:noHBand="0" w:noVBand="0" w:val="0020"/>
        <w:tblCaption w:val="Word Counts"/>
      </w:tblPr>
      <w:tblGrid>
        <w:gridCol w:w="3960"/>
        <w:gridCol w:w="3960"/>
      </w:tblGrid>
      <w:tr>
        <w:trPr>
          <w:tblHeader w:val="true"/>
        </w:trPr>
        <w:tc>
          <w:tcPr/>
          <w:p>
            <w:pPr>
              <w:pStyle w:val="Compact"/>
              <w:jc w:val="left"/>
            </w:pPr>
            <w:r>
              <w:t xml:space="preserve">File</w:t>
            </w:r>
          </w:p>
        </w:tc>
        <w:tc>
          <w:tcPr/>
          <w:p>
            <w:pPr>
              <w:pStyle w:val="Compact"/>
              <w:jc w:val="right"/>
            </w:pPr>
            <w:r>
              <w:t xml:space="preserve">Word Count</w:t>
            </w:r>
          </w:p>
        </w:tc>
      </w:tr>
      <w:tr>
        <w:tc>
          <w:tcPr/>
          <w:p>
            <w:pPr>
              <w:pStyle w:val="Compact"/>
              <w:jc w:val="left"/>
            </w:pPr>
            <w:r>
              <w:t xml:space="preserve">00_intro.md</w:t>
            </w:r>
          </w:p>
        </w:tc>
        <w:tc>
          <w:tcPr/>
          <w:p>
            <w:pPr>
              <w:pStyle w:val="Compact"/>
              <w:jc w:val="right"/>
            </w:pPr>
            <w:r>
              <w:t xml:space="preserve">2838</w:t>
            </w:r>
          </w:p>
        </w:tc>
      </w:tr>
      <w:tr>
        <w:tc>
          <w:tcPr/>
          <w:p>
            <w:pPr>
              <w:pStyle w:val="Compact"/>
              <w:jc w:val="left"/>
            </w:pPr>
            <w:r>
              <w:t xml:space="preserve">01_initial_problem.md</w:t>
            </w:r>
          </w:p>
        </w:tc>
        <w:tc>
          <w:tcPr/>
          <w:p>
            <w:pPr>
              <w:pStyle w:val="Compact"/>
              <w:jc w:val="right"/>
            </w:pPr>
            <w:r>
              <w:t xml:space="preserve">9782</w:t>
            </w:r>
          </w:p>
        </w:tc>
      </w:tr>
      <w:tr>
        <w:tc>
          <w:tcPr/>
          <w:p>
            <w:pPr>
              <w:pStyle w:val="Compact"/>
              <w:jc w:val="left"/>
            </w:pPr>
            <w:r>
              <w:t xml:space="preserve">02_literature_review.md</w:t>
            </w:r>
          </w:p>
        </w:tc>
        <w:tc>
          <w:tcPr/>
          <w:p>
            <w:pPr>
              <w:pStyle w:val="Compact"/>
              <w:jc w:val="right"/>
            </w:pPr>
            <w:r>
              <w:t xml:space="preserve">6465</w:t>
            </w:r>
          </w:p>
        </w:tc>
      </w:tr>
      <w:tr>
        <w:tc>
          <w:tcPr/>
          <w:p>
            <w:pPr>
              <w:pStyle w:val="Compact"/>
              <w:jc w:val="left"/>
            </w:pPr>
            <w:r>
              <w:t xml:space="preserve">03_experiment_design.md</w:t>
            </w:r>
          </w:p>
        </w:tc>
        <w:tc>
          <w:tcPr/>
          <w:p>
            <w:pPr>
              <w:pStyle w:val="Compact"/>
              <w:jc w:val="right"/>
            </w:pPr>
            <w:r>
              <w:t xml:space="preserve">18254</w:t>
            </w:r>
          </w:p>
        </w:tc>
      </w:tr>
      <w:tr>
        <w:tc>
          <w:tcPr/>
          <w:p>
            <w:pPr>
              <w:pStyle w:val="Compact"/>
              <w:jc w:val="left"/>
            </w:pPr>
            <w:r>
              <w:t xml:space="preserve">04_analysis.md</w:t>
            </w:r>
          </w:p>
        </w:tc>
        <w:tc>
          <w:tcPr/>
          <w:p>
            <w:pPr>
              <w:pStyle w:val="Compact"/>
              <w:jc w:val="right"/>
            </w:pPr>
            <w:r>
              <w:t xml:space="preserve">10075</w:t>
            </w:r>
          </w:p>
        </w:tc>
      </w:tr>
      <w:tr>
        <w:tc>
          <w:tcPr/>
          <w:p>
            <w:pPr>
              <w:pStyle w:val="Compact"/>
              <w:jc w:val="left"/>
            </w:pPr>
            <w:r>
              <w:t xml:space="preserve">05_next_steps.md</w:t>
            </w:r>
          </w:p>
        </w:tc>
        <w:tc>
          <w:tcPr/>
          <w:p>
            <w:pPr>
              <w:pStyle w:val="Compact"/>
              <w:jc w:val="right"/>
            </w:pPr>
            <w:r>
              <w:t xml:space="preserve">2483</w:t>
            </w:r>
          </w:p>
        </w:tc>
      </w:tr>
      <w:tr>
        <w:tc>
          <w:tcPr/>
          <w:p>
            <w:pPr>
              <w:pStyle w:val="Compact"/>
              <w:jc w:val="left"/>
            </w:pPr>
            <w:r>
              <w:t xml:space="preserve">06_conclusion.md</w:t>
            </w:r>
          </w:p>
        </w:tc>
        <w:tc>
          <w:tcPr/>
          <w:p>
            <w:pPr>
              <w:pStyle w:val="Compact"/>
              <w:jc w:val="right"/>
            </w:pPr>
            <w:r>
              <w:t xml:space="preserve">2162</w:t>
            </w:r>
          </w:p>
        </w:tc>
      </w:tr>
      <w:tr>
        <w:tc>
          <w:tcPr/>
          <w:p>
            <w:pPr>
              <w:pStyle w:val="Compact"/>
              <w:jc w:val="left"/>
            </w:pPr>
            <w:r>
              <w:rPr>
                <w:bCs/>
                <w:b/>
              </w:rPr>
              <w:t xml:space="preserve">TOTAL</w:t>
            </w:r>
          </w:p>
        </w:tc>
        <w:tc>
          <w:tcPr/>
          <w:p>
            <w:pPr>
              <w:pStyle w:val="Compact"/>
              <w:jc w:val="righ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worth a thousand words, or a kiloword, if you will. That reminds me of another story, but I’ll tell it some other time. For now, enjoy this photograph of the Church of the Holy Sepulchre in Jerusalem. It is formatted to be two and three quarters inches in height.</w:t>
      </w:r>
    </w:p>
    <w:p>
      <w:pPr>
        <w:pStyle w:val="CaptionedFigure"/>
      </w:pPr>
      <w:r>
        <w:drawing>
          <wp:inline>
            <wp:extent cx="1676400" cy="25146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676400" cy="2514600"/>
                    </a:xfrm>
                    <a:prstGeom prst="rect">
                      <a:avLst/>
                    </a:prstGeom>
                    <a:noFill/>
                    <a:ln w="9525">
                      <a:noFill/>
                      <a:headEnd/>
                      <a:tailEnd/>
                    </a:ln>
                  </pic:spPr>
                </pic:pic>
              </a:graphicData>
            </a:graphic>
          </wp:inline>
        </w:drawing>
      </w:r>
    </w:p>
    <w:p>
      <w:pPr>
        <w:pStyle w:val="ImageCaption"/>
      </w:pPr>
      <w:r>
        <w:t xml:space="preserve">Photo by</w:t>
      </w:r>
      <w:r>
        <w:t xml:space="preserve"> </w:t>
      </w:r>
      <w:hyperlink r:id="rId23">
        <w:r>
          <w:rPr>
            <w:rStyle w:val="Hyperlink"/>
          </w:rPr>
          <w:t xml:space="preserve">Robert Bye</w:t>
        </w:r>
      </w:hyperlink>
      <w:r>
        <w:t xml:space="preserve"> </w:t>
      </w:r>
      <w:r>
        <w:t xml:space="preserve">on</w:t>
      </w:r>
      <w:r>
        <w:t xml:space="preserve"> </w:t>
      </w:r>
      <w:hyperlink r:id="rId24">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 We can also do lists in the middle of a paragraph, and nest them!</w:t>
      </w:r>
    </w:p>
    <w:p>
      <w:pPr>
        <w:numPr>
          <w:ilvl w:val="0"/>
          <w:numId w:val="1001"/>
        </w:numPr>
        <w:pStyle w:val="Compact"/>
      </w:pPr>
      <w:r>
        <w:t xml:space="preserve">Ex eiusmod magna nulla sunt do amet labore exercitation ea mollit ipsum culpa. Magna laboris mollit aliqua reprehenderit labore sit id eiusmod sunt exercitation. Aute mollit Lorem commodo anim duis quis. Esse laboris incididunt anim consequat.</w:t>
      </w:r>
    </w:p>
    <w:p>
      <w:pPr>
        <w:numPr>
          <w:ilvl w:val="1"/>
          <w:numId w:val="1002"/>
        </w:numPr>
        <w:pStyle w:val="Compact"/>
      </w:pPr>
      <w:r>
        <w:t xml:space="preserve">Ad magna do sunt culpa consectetur. Lorem sit pariatur sint fugiat Lorem nisi Lorem in sunt ut. Nulla quis pariatur cillum excepteur commodo aute sit exercitation consequat culpa reprehenderit Lorem enim exercitation. Anim id adipisicing aute non quis proident et. Cupidatat in ut et aliqua. Non laborum ex cupidatat anim mollit et aliqua duis. Tempor aute id commodo aliquip irure exercitation minim cupidatat eu irure nulla aliqua pariatur enim.</w:t>
      </w:r>
    </w:p>
    <w:p>
      <w:pPr>
        <w:numPr>
          <w:ilvl w:val="1"/>
          <w:numId w:val="1002"/>
        </w:numPr>
        <w:pStyle w:val="Compact"/>
      </w:pPr>
      <w:r>
        <w:t xml:space="preserve">Et dolore exercitation quis nostrud officia eu duis proident sit non dolore ullamco veniam. Id cillum velit commodo ex ea esse aute laborum sint veniam. Laboris laboris commodo pariatur duis pariatur cillum deserunt. Ullamco ea non consequat adipisicing sit dolor occaecat nulla amet nulla cillum. Aliquip cupidatat ex laborum velit incididunt minim officia nostrud voluptate dolor ut. Elit aliquip officia eu aliqua mollit occaecat anim occaecat. Et ipsum aliqua exercitation exercitation consequat do.</w:t>
      </w:r>
    </w:p>
    <w:p>
      <w:pPr>
        <w:numPr>
          <w:ilvl w:val="0"/>
          <w:numId w:val="1001"/>
        </w:numPr>
        <w:pStyle w:val="Compact"/>
      </w:pPr>
      <w:r>
        <w:t xml:space="preserve">Ad anim eiusmod veniam reprehenderit nisi incididunt adipisicing Lorem pariatur ullamco. Sunt elit aute consectetur dolore elit pariatur sit ipsum. Exercitation dolore culpa eiusmod mollit incididunt pariatur velit ad. Qui minim nisi nulla minim anim cillum dolor cupidatat aliquip nisi consequat non occaecat eu. Reprehenderit esse exercitation eiusmod elit do.</w:t>
      </w:r>
    </w:p>
    <w:p>
      <w:pPr>
        <w:numPr>
          <w:ilvl w:val="1"/>
          <w:numId w:val="1003"/>
        </w:numPr>
        <w:pStyle w:val="Compact"/>
      </w:pPr>
      <w:r>
        <w:t xml:space="preserve">Magna voluptate laborum</w:t>
      </w:r>
    </w:p>
    <w:p>
      <w:pPr>
        <w:numPr>
          <w:ilvl w:val="1"/>
          <w:numId w:val="1003"/>
        </w:numPr>
        <w:pStyle w:val="Compact"/>
      </w:pPr>
      <w:r>
        <w:t xml:space="preserve">Excepteur adipisicing nostrud</w:t>
      </w:r>
    </w:p>
    <w:p>
      <w:pPr>
        <w:pStyle w:val="BodyText2"/>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5"/>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7"/>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29"/>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w:t>
      </w:r>
      <w:r>
        <w:t xml:space="preserve"> </w:t>
      </w:r>
      <w:r>
        <w:t xml:space="preserve">“</w:t>
      </w:r>
      <w:r>
        <w:t xml:space="preserve">Quod comedere lauta cibaria non est peccatum.</w:t>
      </w:r>
      <w:r>
        <w:t xml:space="preserve">”</w:t>
      </w:r>
      <w:r>
        <w:rPr>
          <w:rStyle w:val="FootnoteReference"/>
        </w:rPr>
        <w:footnoteReference w:id="30"/>
      </w:r>
      <w:r>
        <w:t xml:space="preserve"> </w:t>
      </w:r>
      <w:r>
        <w:t xml:space="preserve">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1"/>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r>
        <w:t xml:space="preserve"> </w:t>
      </w:r>
      <w:r>
        <w:t xml:space="preserve">“</w:t>
      </w:r>
      <w:r>
        <w:t xml:space="preserve">Et per hoc patet solutio ad secundum.</w:t>
      </w:r>
      <w:r>
        <w:t xml:space="preserve">”</w:t>
      </w:r>
      <w:r>
        <w:rPr>
          <w:rStyle w:val="FootnoteReference"/>
        </w:rPr>
        <w:footnoteReference w:id="32"/>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w:t>
      </w:r>
      <w:r>
        <w:t xml:space="preserve"> </w:t>
      </w:r>
      <w:r>
        <w:t xml:space="preserve">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3"/>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 </w:t>
      </w:r>
      <w:r>
        <w:t xml:space="preserve">(1 John. 4:16)</w:t>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4"/>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39" w:name="refs"/>
    <w:bookmarkStart w:id="35" w:name="ref-aquinasEvil2003"/>
    <w:p>
      <w:pPr>
        <w:pageBreakBefore/>
        <w:spacing w:after="480"/>
        <w:jc w:val="center"/>
      </w:pPr>
      <w:r>
        <w:rPr>
          <w:u w:val="single"/>
        </w:rPr>
        <w:t>Bibliography</w:t>
      </w:r>
    </w:p>
    <w:p>
      <w:pPr>
        <w:pStyle w:val="Bibliography"/>
      </w:pPr>
      <w:r>
        <w:t xml:space="preserve">Aquinas, Thomas.</w:t>
      </w:r>
      <w:r>
        <w:t xml:space="preserve"> </w:t>
      </w:r>
      <w:r>
        <w:rPr>
          <w:iCs/>
          <w:i/>
        </w:rPr>
        <w:t xml:space="preserve">On Evil</w:t>
      </w:r>
      <w:r>
        <w:t xml:space="preserve">. Edited by Brian Davies. Translated by Richard J. Regan. New York: Oxford University Press, 2003.</w:t>
      </w:r>
    </w:p>
    <w:bookmarkEnd w:id="35"/>
    <w:bookmarkStart w:id="36" w:name="ref-aquinasSumma"/>
    <w:p>
      <w:pPr>
        <w:pStyle w:val="Bibliography"/>
      </w:pPr>
      <w:r>
        <w:t xml:space="preserve">———.</w:t>
      </w:r>
      <w:r>
        <w:t xml:space="preserve"> </w:t>
      </w:r>
      <w:r>
        <w:rPr>
          <w:iCs/>
          <w:i/>
        </w:rPr>
        <w:t xml:space="preserve">Summa Theologica</w:t>
      </w:r>
      <w:r>
        <w:t xml:space="preserve">. Translated by Fathers of the English Dominican Province. Second and Revised Edition. New Advent, 1920.</w:t>
      </w:r>
      <w:r>
        <w:t xml:space="preserve"> </w:t>
      </w:r>
      <w:hyperlink r:id="rId26">
        <w:r>
          <w:rPr>
            <w:rStyle w:val="Hyperlink"/>
          </w:rPr>
          <w:t xml:space="preserve">https://www.newadvent.org/summa/</w:t>
        </w:r>
      </w:hyperlink>
      <w:r>
        <w:t xml:space="preserve">.</w:t>
      </w:r>
    </w:p>
    <w:bookmarkEnd w:id="36"/>
    <w:bookmarkStart w:id="37"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8">
        <w:r>
          <w:rPr>
            <w:rStyle w:val="Hyperlink"/>
          </w:rPr>
          <w:t xml:space="preserve">https://www.vatican.va/content/francesco/en/encyclicals/documents/papa-francesco_20150524_enciclica-laudato-si.html</w:t>
        </w:r>
      </w:hyperlink>
      <w:r>
        <w:t xml:space="preserve">.</w:t>
      </w:r>
    </w:p>
    <w:bookmarkEnd w:id="37"/>
    <w:bookmarkStart w:id="38"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8"/>
    <w:bookmarkEnd w:id="39"/>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20D04855"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365F4">
      <w:rPr>
        <w:noProof/>
      </w:rPr>
      <w:instrText>3</w:instrText>
    </w:r>
    <w:r>
      <w:fldChar w:fldCharType="end"/>
    </w:r>
    <w:r>
      <w:instrText xml:space="preserve"> - 1 </w:instrText>
    </w:r>
    <w:r>
      <w:fldChar w:fldCharType="separate"/>
    </w:r>
    <w:r w:rsidR="003365F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6">
        <w:r>
          <w:rPr>
            <w:rStyle w:val="Hyperlink"/>
          </w:rPr>
          <w:t xml:space="preserve">https://www.newadvent.org/summa/</w:t>
        </w:r>
      </w:hyperlink>
      <w:r>
        <w:t xml:space="preserve"> </w:t>
      </w:r>
      <w:r>
        <w:t xml:space="preserve">I-II, Q. 96, a. 4.</w:t>
      </w:r>
    </w:p>
  </w:footnote>
  <w:footnote w:id="27">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8">
        <w:r>
          <w:rPr>
            <w:rStyle w:val="Hyperlink"/>
          </w:rPr>
          <w:t xml:space="preserve">https://www.vatican.va/content/francesco/en/encyclicals/documents/papa-francesco_20150524_enciclica-laudato-si.html</w:t>
        </w:r>
      </w:hyperlink>
      <w:r>
        <w:t xml:space="preserve">.</w:t>
      </w:r>
    </w:p>
  </w:footnote>
  <w:footnote w:id="29">
    <w:p>
      <w:pPr>
        <w:pStyle w:val="FootnoteText"/>
      </w:pPr>
      <w:r>
        <w:rPr>
          <w:rStyle w:val="FootnoteReference"/>
        </w:rPr>
        <w:footnoteRef/>
      </w:r>
      <w:r>
        <w:t xml:space="preserve"> </w:t>
      </w:r>
      <w:r>
        <w:rPr>
          <w:iCs/>
          <w:i/>
        </w:rPr>
        <w:t xml:space="preserve">ST</w:t>
      </w:r>
      <w:r>
        <w:t xml:space="preserve"> </w:t>
      </w:r>
      <w:r>
        <w:t xml:space="preserve">I-II, Q. 96, a. 5.</w:t>
      </w:r>
    </w:p>
  </w:footnote>
  <w:footnote w:id="30">
    <w:p>
      <w:pPr>
        <w:pStyle w:val="FootnoteText"/>
      </w:pPr>
      <w:r>
        <w:rPr>
          <w:rStyle w:val="FootnoteReference"/>
        </w:rPr>
        <w:footnoteRef/>
      </w:r>
      <w:r>
        <w:t xml:space="preserve"> </w:t>
      </w:r>
      <w:r>
        <w:t xml:space="preserve">Thomas Aquinas,</w:t>
      </w:r>
      <w:r>
        <w:t xml:space="preserve"> </w:t>
      </w:r>
      <w:r>
        <w:rPr>
          <w:iCs/>
          <w:i/>
        </w:rPr>
        <w:t xml:space="preserve">On Evil</w:t>
      </w:r>
      <w:r>
        <w:t xml:space="preserve">, ed. Brian Davies, trans. Richard J. Regan (New York: Oxford University Press, 2003) q. 14 a. 3 ad 5.</w:t>
      </w:r>
    </w:p>
  </w:footnote>
  <w:footnote w:id="31">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2">
    <w:p>
      <w:pPr>
        <w:pStyle w:val="FootnoteText"/>
      </w:pPr>
      <w:r>
        <w:rPr>
          <w:rStyle w:val="FootnoteReference"/>
        </w:rPr>
        <w:footnoteRef/>
      </w:r>
      <w:r>
        <w:t xml:space="preserve"> </w:t>
      </w:r>
      <w:r>
        <w:t xml:space="preserve">Aquinas,</w:t>
      </w:r>
      <w:r>
        <w:t xml:space="preserve"> </w:t>
      </w:r>
      <w:r>
        <w:rPr>
          <w:iCs/>
          <w:i/>
        </w:rPr>
        <w:t xml:space="preserve">On Evil</w:t>
      </w:r>
      <w:r>
        <w:t xml:space="preserve"> </w:t>
      </w:r>
      <w:r>
        <w:t xml:space="preserve">q. 3 a. 1 ad 2.</w:t>
      </w:r>
    </w:p>
  </w:footnote>
  <w:footnote w:id="33">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4">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C42F23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24E37C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24419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65EA5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0766CA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150B9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07890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EB4B3F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9DC20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CF8BB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VerbatimChar"/>
    <w:rsid w:val="003365F4"/>
    <w:rPr>
      <w:sz w:val="22"/>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2022-05-30T20:53:42Z</dcterms:created>
  <dcterms:modified xsi:type="dcterms:W3CDTF">2022-05-30T20:53:42Z</dcterms:modified>
  <cp:lastModifiedBy>Zefram Cochrane</cp:lastModifiedBy>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