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tbl>
      <w:tblPr>
        <w:tblStyle w:val="Table"/>
        <w:tblW w:type="auto" w:w="0"/>
        <w:tblLook w:firstRow="1" w:lastRow="1" w:firstColumn="0" w:lastColumn="0" w:noHBand="0" w:noVBand="0" w:val="0020"/>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work a thousand words, or a kiloword, if you will. That reminds me of another story, but I’ll tell it some other time. For now, enjoy this photograph of the Church of the Holy Sepulchre in Jerusalem. It is formatted to be three inches in height.</w:t>
      </w:r>
    </w:p>
    <w:p>
      <w:pPr>
        <w:pStyle w:val="CaptionedFigure"/>
      </w:pPr>
      <w:r>
        <w:drawing>
          <wp:inline>
            <wp:extent cx="1828800" cy="27432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828800" cy="27432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w:t>
      </w:r>
    </w:p>
    <w:p>
      <w:pPr>
        <w:pStyle w:val="BodyText"/>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 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(1 John. 4:16)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53B0802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665D92">
      <w:rPr>
        <w:noProof/>
      </w:rPr>
      <w:instrText>2</w:instrText>
    </w:r>
    <w:r>
      <w:fldChar w:fldCharType="end"/>
    </w:r>
    <w:r>
      <w:instrText xml:space="preserve"> - 1 </w:instrText>
    </w:r>
    <w:r>
      <w:fldChar w:fldCharType="separate"/>
    </w:r>
    <w:r w:rsidR="00665D9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2A01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3F845F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C11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8CA36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E367AA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6AC1B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EC8A9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3E7E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FC6CC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1E02B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2825C7"/>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665D92"/>
    <w:pPr>
      <w:ind w:firstLine="0"/>
    </w:pPr>
  </w:style>
  <w:style w:customStyle="1" w:styleId="BodyText2Char" w:type="character">
    <w:name w:val="Body Text 2 Char"/>
    <w:basedOn w:val="DefaultParagraphFont"/>
    <w:link w:val="BodyText2"/>
    <w:rsid w:val="00665D92"/>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2022-05-26T09:27:42Z</dcterms:created>
  <dcterms:modified xsi:type="dcterms:W3CDTF">2022-05-26T09:27:42Z</dcterms:modified>
  <cp:lastModifiedBy>Zefram Cochrane</cp:lastModifiedBy>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