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 filius</w:t>
      </w:r>
      <w:r>
        <w:t xml:space="preserve"> </w:t>
      </w:r>
      <w:r>
        <w:t xml:space="preserve">Augustus</w:t>
      </w:r>
      <w:r>
        <w:br/>
      </w:r>
      <w:r>
        <w:t xml:space="preserve">SPQR CI — Lex Iniusta</w:t>
      </w:r>
      <w:r>
        <w:br/>
      </w:r>
      <w:r>
        <w:t xml:space="preserve">April 3, 786 A.U.C.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2022-05-31T19:53:31Z</dcterms:created>
  <dcterms:modified xsi:type="dcterms:W3CDTF">2022-05-31T19:53:31Z</dcterms:modified>
  <cp:lastModifiedBy>Πόντιος Πιλᾶτος</cp:lastModifiedBy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