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1AF23" w14:textId="77777777" w:rsidR="00311010" w:rsidRPr="00311010" w:rsidRDefault="00311010" w:rsidP="00311010">
      <w:pPr>
        <w:shd w:val="clear" w:color="auto" w:fill="FFFFFF"/>
        <w:spacing w:after="0" w:line="480" w:lineRule="auto"/>
        <w:jc w:val="center"/>
        <w:outlineLvl w:val="0"/>
        <w:rPr>
          <w:rFonts w:ascii="Times New Roman" w:eastAsia="Times New Roman" w:hAnsi="Times New Roman" w:cs="Times New Roman"/>
          <w:b/>
          <w:bCs/>
          <w:color w:val="202122"/>
          <w:spacing w:val="3"/>
          <w:kern w:val="36"/>
          <w14:ligatures w14:val="none"/>
        </w:rPr>
      </w:pPr>
      <w:r w:rsidRPr="00311010">
        <w:rPr>
          <w:rFonts w:ascii="Times New Roman" w:eastAsia="Times New Roman" w:hAnsi="Times New Roman" w:cs="Times New Roman"/>
          <w:b/>
          <w:bCs/>
          <w:color w:val="202122"/>
          <w:spacing w:val="3"/>
          <w:kern w:val="36"/>
          <w14:ligatures w14:val="none"/>
        </w:rPr>
        <w:t>5-2 Journal: Software Testing Techniques</w:t>
      </w:r>
    </w:p>
    <w:p w14:paraId="60B5EC72" w14:textId="77777777" w:rsidR="00F97F1C" w:rsidRPr="00F97F1C" w:rsidRDefault="00F97F1C" w:rsidP="00F97F1C">
      <w:pPr>
        <w:pStyle w:val="Header"/>
        <w:spacing w:line="480" w:lineRule="auto"/>
        <w:rPr>
          <w:rFonts w:ascii="Times New Roman" w:hAnsi="Times New Roman" w:cs="Times New Roman"/>
        </w:rPr>
      </w:pPr>
      <w:r w:rsidRPr="00F97F1C">
        <w:rPr>
          <w:rFonts w:ascii="Times New Roman" w:hAnsi="Times New Roman" w:cs="Times New Roman"/>
        </w:rPr>
        <w:t>Throughout the development of Project One, I worked on three core components of the application: the contact service, the task service, and the appointment service. For each milestone, I used unit testing as the primary software testing technique. Unit testing involves testing individual units of code, in this case Java classes and methods, to ensure that each one performs as expected. I used the JUnit 5 testing framework to write and run tests that validated object creation, field constraints, exception handling, and service behavior such as adding or deleting items from memory.</w:t>
      </w:r>
    </w:p>
    <w:p w14:paraId="3E3CB704" w14:textId="77777777" w:rsidR="00F97F1C" w:rsidRPr="00F97F1C" w:rsidRDefault="00F97F1C" w:rsidP="00F97F1C">
      <w:pPr>
        <w:pStyle w:val="Header"/>
        <w:spacing w:line="480" w:lineRule="auto"/>
        <w:rPr>
          <w:rFonts w:ascii="Times New Roman" w:hAnsi="Times New Roman" w:cs="Times New Roman"/>
        </w:rPr>
      </w:pPr>
      <w:r w:rsidRPr="00F97F1C">
        <w:rPr>
          <w:rFonts w:ascii="Times New Roman" w:hAnsi="Times New Roman" w:cs="Times New Roman"/>
        </w:rPr>
        <w:t xml:space="preserve">For example, in the appointment service milestone, I wrote unit tests to ensure that an </w:t>
      </w:r>
      <w:r w:rsidRPr="00F97F1C">
        <w:rPr>
          <w:rFonts w:ascii="Times New Roman" w:hAnsi="Times New Roman" w:cs="Times New Roman"/>
          <w:i/>
          <w:iCs/>
        </w:rPr>
        <w:t>Appointment</w:t>
      </w:r>
      <w:r w:rsidRPr="00F97F1C">
        <w:rPr>
          <w:rFonts w:ascii="Times New Roman" w:hAnsi="Times New Roman" w:cs="Times New Roman"/>
        </w:rPr>
        <w:t xml:space="preserve"> object could not be created with an invalid ID (longer than 10 characters or null), a past or null date, or a description longer than 50 characters. I also tested the </w:t>
      </w:r>
      <w:proofErr w:type="spellStart"/>
      <w:r w:rsidRPr="00F97F1C">
        <w:rPr>
          <w:rFonts w:ascii="Times New Roman" w:hAnsi="Times New Roman" w:cs="Times New Roman"/>
          <w:i/>
          <w:iCs/>
        </w:rPr>
        <w:t>AppointmentService</w:t>
      </w:r>
      <w:proofErr w:type="spellEnd"/>
      <w:r w:rsidRPr="00F97F1C">
        <w:rPr>
          <w:rFonts w:ascii="Times New Roman" w:hAnsi="Times New Roman" w:cs="Times New Roman"/>
        </w:rPr>
        <w:t xml:space="preserve"> class to confirm it rejected duplicate IDs and could delete appointments as expected. Similar tests were written for the contact and task services in earlier modules. These unit tests were automated and repeatable, allowing me to quickly verify functionality after making changes to the code.</w:t>
      </w:r>
    </w:p>
    <w:p w14:paraId="3A45F9FB" w14:textId="77777777" w:rsidR="00F97F1C" w:rsidRPr="00F97F1C" w:rsidRDefault="00F97F1C" w:rsidP="00F97F1C">
      <w:pPr>
        <w:pStyle w:val="Header"/>
        <w:spacing w:line="480" w:lineRule="auto"/>
        <w:rPr>
          <w:rFonts w:ascii="Times New Roman" w:hAnsi="Times New Roman" w:cs="Times New Roman"/>
        </w:rPr>
      </w:pPr>
      <w:r w:rsidRPr="00F97F1C">
        <w:rPr>
          <w:rFonts w:ascii="Times New Roman" w:hAnsi="Times New Roman" w:cs="Times New Roman"/>
        </w:rPr>
        <w:t xml:space="preserve">While unit testing was my main approach, I did not use other testing techniques such as </w:t>
      </w:r>
      <w:r w:rsidRPr="00F97F1C">
        <w:rPr>
          <w:rFonts w:ascii="Times New Roman" w:hAnsi="Times New Roman" w:cs="Times New Roman"/>
          <w:b/>
          <w:bCs/>
        </w:rPr>
        <w:t>integration testing</w:t>
      </w:r>
      <w:r w:rsidRPr="00F97F1C">
        <w:rPr>
          <w:rFonts w:ascii="Times New Roman" w:hAnsi="Times New Roman" w:cs="Times New Roman"/>
        </w:rPr>
        <w:t xml:space="preserve">, </w:t>
      </w:r>
      <w:r w:rsidRPr="00F97F1C">
        <w:rPr>
          <w:rFonts w:ascii="Times New Roman" w:hAnsi="Times New Roman" w:cs="Times New Roman"/>
          <w:b/>
          <w:bCs/>
        </w:rPr>
        <w:t>system testing</w:t>
      </w:r>
      <w:r w:rsidRPr="00F97F1C">
        <w:rPr>
          <w:rFonts w:ascii="Times New Roman" w:hAnsi="Times New Roman" w:cs="Times New Roman"/>
        </w:rPr>
        <w:t xml:space="preserve">, or </w:t>
      </w:r>
      <w:r w:rsidRPr="00F97F1C">
        <w:rPr>
          <w:rFonts w:ascii="Times New Roman" w:hAnsi="Times New Roman" w:cs="Times New Roman"/>
          <w:b/>
          <w:bCs/>
        </w:rPr>
        <w:t>acceptance</w:t>
      </w:r>
      <w:r w:rsidRPr="00F97F1C">
        <w:rPr>
          <w:rFonts w:ascii="Times New Roman" w:hAnsi="Times New Roman" w:cs="Times New Roman"/>
        </w:rPr>
        <w:t xml:space="preserve"> </w:t>
      </w:r>
      <w:r w:rsidRPr="00F97F1C">
        <w:rPr>
          <w:rFonts w:ascii="Times New Roman" w:hAnsi="Times New Roman" w:cs="Times New Roman"/>
          <w:b/>
          <w:bCs/>
        </w:rPr>
        <w:t>testing</w:t>
      </w:r>
      <w:r w:rsidRPr="00F97F1C">
        <w:rPr>
          <w:rFonts w:ascii="Times New Roman" w:hAnsi="Times New Roman" w:cs="Times New Roman"/>
        </w:rPr>
        <w:t xml:space="preserve"> during these milestones. Integration testing is used to verify that different parts of the program work together correctly, such as combining modules or services. System testing looks at the complete system to make sure it meets overall requirements and is usually done in an environment that closely matches production. Acceptance testing involves testing with end-user scenarios to verify that the software meets business needs and is often performed with real users or stakeholders.</w:t>
      </w:r>
    </w:p>
    <w:p w14:paraId="2993F0BF" w14:textId="77777777" w:rsidR="00F97F1C" w:rsidRPr="00F97F1C" w:rsidRDefault="00F97F1C" w:rsidP="00F97F1C">
      <w:pPr>
        <w:pStyle w:val="Header"/>
        <w:spacing w:line="480" w:lineRule="auto"/>
        <w:rPr>
          <w:rFonts w:ascii="Times New Roman" w:hAnsi="Times New Roman" w:cs="Times New Roman"/>
        </w:rPr>
      </w:pPr>
      <w:r w:rsidRPr="00F97F1C">
        <w:rPr>
          <w:rFonts w:ascii="Times New Roman" w:hAnsi="Times New Roman" w:cs="Times New Roman"/>
        </w:rPr>
        <w:lastRenderedPageBreak/>
        <w:t>Although these other techniques were not used in my milestones, they each serve an important role depending on the project’s scope and phase. Unit testing is effective for catching errors early and isolating the root cause quickly. Integration testing becomes important when multiple components interact, especially with APIs or external systems. System testing is typically used when preparing for deployment, making sure that the application works as a whole. Acceptance testing is critical when delivering a product to a client or verifying that it meets business and usability expectations.</w:t>
      </w:r>
    </w:p>
    <w:p w14:paraId="2B878BB5" w14:textId="77777777" w:rsidR="00F97F1C" w:rsidRPr="00F97F1C" w:rsidRDefault="00F97F1C" w:rsidP="00F97F1C">
      <w:pPr>
        <w:pStyle w:val="Header"/>
        <w:spacing w:line="480" w:lineRule="auto"/>
        <w:rPr>
          <w:rFonts w:ascii="Times New Roman" w:hAnsi="Times New Roman" w:cs="Times New Roman"/>
        </w:rPr>
      </w:pPr>
      <w:r w:rsidRPr="00F97F1C">
        <w:rPr>
          <w:rFonts w:ascii="Times New Roman" w:hAnsi="Times New Roman" w:cs="Times New Roman"/>
        </w:rPr>
        <w:t>In real-world software development projects, I would expect to use a combination of these techniques applied throughout the development lifecycle. Unit testing provides confidence during development. Integration and system testing ensure the software functions beyond individual units. Acceptance testing confirms the finished product meets client expectations. Each method adds a layer of quality assurance and is selected based on the complexity and needs of the system being built.</w:t>
      </w:r>
    </w:p>
    <w:p w14:paraId="407731DD" w14:textId="0D54D2E1" w:rsidR="009E5305" w:rsidRDefault="00F97F1C" w:rsidP="00F97F1C">
      <w:pPr>
        <w:pStyle w:val="Header"/>
        <w:spacing w:line="480" w:lineRule="auto"/>
      </w:pPr>
      <w:r w:rsidRPr="00F97F1C">
        <w:rPr>
          <w:rFonts w:ascii="Times New Roman" w:hAnsi="Times New Roman" w:cs="Times New Roman"/>
        </w:rPr>
        <w:t>Reflecting on these milestones, I have developed a strong appreciation for how unit testing improves code reliability and maintainability. As I continue learning and building more advanced systems, I understand the importance of using a wider range of testing techniques to produce high-quality, dependable software.</w:t>
      </w:r>
    </w:p>
    <w:sectPr w:rsidR="009E5305">
      <w:headerReference w:type="default" r:id="rId6"/>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4D042" w14:textId="77777777" w:rsidR="006E6315" w:rsidRDefault="006E6315" w:rsidP="00F97F1C">
      <w:pPr>
        <w:spacing w:after="0" w:line="240" w:lineRule="auto"/>
      </w:pPr>
      <w:r>
        <w:separator/>
      </w:r>
    </w:p>
  </w:endnote>
  <w:endnote w:type="continuationSeparator" w:id="0">
    <w:p w14:paraId="1411D411" w14:textId="77777777" w:rsidR="006E6315" w:rsidRDefault="006E6315" w:rsidP="00F97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90B75" w14:textId="60688198" w:rsidR="00F97F1C" w:rsidRDefault="00F97F1C">
    <w:pPr>
      <w:pStyle w:val="Footer"/>
    </w:pPr>
    <w:r>
      <w:rPr>
        <w:noProof/>
      </w:rPr>
      <mc:AlternateContent>
        <mc:Choice Requires="wps">
          <w:drawing>
            <wp:anchor distT="0" distB="0" distL="0" distR="0" simplePos="0" relativeHeight="251659264" behindDoc="0" locked="0" layoutInCell="1" allowOverlap="1" wp14:anchorId="24409C7B" wp14:editId="3016647C">
              <wp:simplePos x="635" y="635"/>
              <wp:positionH relativeFrom="page">
                <wp:align>left</wp:align>
              </wp:positionH>
              <wp:positionV relativeFrom="page">
                <wp:align>bottom</wp:align>
              </wp:positionV>
              <wp:extent cx="1763395" cy="370205"/>
              <wp:effectExtent l="0" t="0" r="8255" b="0"/>
              <wp:wrapNone/>
              <wp:docPr id="1980473578"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63395" cy="370205"/>
                      </a:xfrm>
                      <a:prstGeom prst="rect">
                        <a:avLst/>
                      </a:prstGeom>
                      <a:noFill/>
                      <a:ln>
                        <a:noFill/>
                      </a:ln>
                    </wps:spPr>
                    <wps:txbx>
                      <w:txbxContent>
                        <w:p w14:paraId="434F9C37" w14:textId="6028D1C1" w:rsidR="00F97F1C" w:rsidRPr="00F97F1C" w:rsidRDefault="00F97F1C" w:rsidP="00F97F1C">
                          <w:pPr>
                            <w:spacing w:after="0"/>
                            <w:rPr>
                              <w:rFonts w:ascii="Calibri" w:eastAsia="Calibri" w:hAnsi="Calibri" w:cs="Calibri"/>
                              <w:noProof/>
                              <w:color w:val="000000"/>
                              <w:sz w:val="20"/>
                              <w:szCs w:val="20"/>
                            </w:rPr>
                          </w:pPr>
                          <w:r w:rsidRPr="00F97F1C">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4409C7B" id="_x0000_t202" coordsize="21600,21600" o:spt="202" path="m,l,21600r21600,l21600,xe">
              <v:stroke joinstyle="miter"/>
              <v:path gradientshapeok="t" o:connecttype="rect"/>
            </v:shapetype>
            <v:shape id="Text Box 2" o:spid="_x0000_s1026" type="#_x0000_t202" alt="Confidential – Oracle Internal" style="position:absolute;margin-left:0;margin-top:0;width:138.8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" filled="f" stroked="f">
              <v:textbox style="mso-fit-shape-to-text:t" inset="20pt,0,0,15pt">
                <w:txbxContent>
                  <w:p w14:paraId="434F9C37" w14:textId="6028D1C1" w:rsidR="00F97F1C" w:rsidRPr="00F97F1C" w:rsidRDefault="00F97F1C" w:rsidP="00F97F1C">
                    <w:pPr>
                      <w:spacing w:after="0"/>
                      <w:rPr>
                        <w:rFonts w:ascii="Calibri" w:eastAsia="Calibri" w:hAnsi="Calibri" w:cs="Calibri"/>
                        <w:noProof/>
                        <w:color w:val="000000"/>
                        <w:sz w:val="20"/>
                        <w:szCs w:val="20"/>
                      </w:rPr>
                    </w:pPr>
                    <w:r w:rsidRPr="00F97F1C">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7161F" w14:textId="026811E5" w:rsidR="00F97F1C" w:rsidRDefault="00F97F1C">
    <w:pPr>
      <w:pStyle w:val="Footer"/>
    </w:pPr>
    <w:r>
      <w:rPr>
        <w:noProof/>
      </w:rPr>
      <mc:AlternateContent>
        <mc:Choice Requires="wps">
          <w:drawing>
            <wp:anchor distT="0" distB="0" distL="0" distR="0" simplePos="0" relativeHeight="251660288" behindDoc="0" locked="0" layoutInCell="1" allowOverlap="1" wp14:anchorId="6D8332A4" wp14:editId="4C64C2B9">
              <wp:simplePos x="914400" y="9420225"/>
              <wp:positionH relativeFrom="page">
                <wp:align>left</wp:align>
              </wp:positionH>
              <wp:positionV relativeFrom="page">
                <wp:align>bottom</wp:align>
              </wp:positionV>
              <wp:extent cx="1763395" cy="370205"/>
              <wp:effectExtent l="0" t="0" r="8255" b="0"/>
              <wp:wrapNone/>
              <wp:docPr id="607811542" name="Text Box 3"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63395" cy="370205"/>
                      </a:xfrm>
                      <a:prstGeom prst="rect">
                        <a:avLst/>
                      </a:prstGeom>
                      <a:noFill/>
                      <a:ln>
                        <a:noFill/>
                      </a:ln>
                    </wps:spPr>
                    <wps:txbx>
                      <w:txbxContent>
                        <w:p w14:paraId="1ACE56E0" w14:textId="78E79488" w:rsidR="00F97F1C" w:rsidRPr="00F97F1C" w:rsidRDefault="00F97F1C" w:rsidP="00F97F1C">
                          <w:pPr>
                            <w:spacing w:after="0"/>
                            <w:rPr>
                              <w:rFonts w:ascii="Calibri" w:eastAsia="Calibri" w:hAnsi="Calibri" w:cs="Calibri"/>
                              <w:noProof/>
                              <w:color w:val="000000"/>
                              <w:sz w:val="20"/>
                              <w:szCs w:val="20"/>
                            </w:rPr>
                          </w:pPr>
                          <w:r w:rsidRPr="00F97F1C">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D8332A4" id="_x0000_t202" coordsize="21600,21600" o:spt="202" path="m,l,21600r21600,l21600,xe">
              <v:stroke joinstyle="miter"/>
              <v:path gradientshapeok="t" o:connecttype="rect"/>
            </v:shapetype>
            <v:shape id="Text Box 3" o:spid="_x0000_s1027" type="#_x0000_t202" alt="Confidential – Oracle Internal" style="position:absolute;margin-left:0;margin-top:0;width:138.8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" filled="f" stroked="f">
              <v:textbox style="mso-fit-shape-to-text:t" inset="20pt,0,0,15pt">
                <w:txbxContent>
                  <w:p w14:paraId="1ACE56E0" w14:textId="78E79488" w:rsidR="00F97F1C" w:rsidRPr="00F97F1C" w:rsidRDefault="00F97F1C" w:rsidP="00F97F1C">
                    <w:pPr>
                      <w:spacing w:after="0"/>
                      <w:rPr>
                        <w:rFonts w:ascii="Calibri" w:eastAsia="Calibri" w:hAnsi="Calibri" w:cs="Calibri"/>
                        <w:noProof/>
                        <w:color w:val="000000"/>
                        <w:sz w:val="20"/>
                        <w:szCs w:val="20"/>
                      </w:rPr>
                    </w:pPr>
                    <w:r w:rsidRPr="00F97F1C">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5C7E0" w14:textId="492E463E" w:rsidR="00F97F1C" w:rsidRDefault="00F97F1C">
    <w:pPr>
      <w:pStyle w:val="Footer"/>
    </w:pPr>
    <w:r>
      <w:rPr>
        <w:noProof/>
      </w:rPr>
      <mc:AlternateContent>
        <mc:Choice Requires="wps">
          <w:drawing>
            <wp:anchor distT="0" distB="0" distL="0" distR="0" simplePos="0" relativeHeight="251658240" behindDoc="0" locked="0" layoutInCell="1" allowOverlap="1" wp14:anchorId="0F49949D" wp14:editId="3A614B13">
              <wp:simplePos x="635" y="635"/>
              <wp:positionH relativeFrom="page">
                <wp:align>left</wp:align>
              </wp:positionH>
              <wp:positionV relativeFrom="page">
                <wp:align>bottom</wp:align>
              </wp:positionV>
              <wp:extent cx="1763395" cy="370205"/>
              <wp:effectExtent l="0" t="0" r="8255" b="0"/>
              <wp:wrapNone/>
              <wp:docPr id="1498576374" name="Text Box 1"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63395" cy="370205"/>
                      </a:xfrm>
                      <a:prstGeom prst="rect">
                        <a:avLst/>
                      </a:prstGeom>
                      <a:noFill/>
                      <a:ln>
                        <a:noFill/>
                      </a:ln>
                    </wps:spPr>
                    <wps:txbx>
                      <w:txbxContent>
                        <w:p w14:paraId="7E8E257F" w14:textId="2E4174B2" w:rsidR="00F97F1C" w:rsidRPr="00F97F1C" w:rsidRDefault="00F97F1C" w:rsidP="00F97F1C">
                          <w:pPr>
                            <w:spacing w:after="0"/>
                            <w:rPr>
                              <w:rFonts w:ascii="Calibri" w:eastAsia="Calibri" w:hAnsi="Calibri" w:cs="Calibri"/>
                              <w:noProof/>
                              <w:color w:val="000000"/>
                              <w:sz w:val="20"/>
                              <w:szCs w:val="20"/>
                            </w:rPr>
                          </w:pPr>
                          <w:r w:rsidRPr="00F97F1C">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F49949D" id="_x0000_t202" coordsize="21600,21600" o:spt="202" path="m,l,21600r21600,l21600,xe">
              <v:stroke joinstyle="miter"/>
              <v:path gradientshapeok="t" o:connecttype="rect"/>
            </v:shapetype>
            <v:shape id="Text Box 1" o:spid="_x0000_s1028" type="#_x0000_t202" alt="Confidential – Oracle Internal" style="position:absolute;margin-left:0;margin-top:0;width:138.8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" filled="f" stroked="f">
              <v:textbox style="mso-fit-shape-to-text:t" inset="20pt,0,0,15pt">
                <w:txbxContent>
                  <w:p w14:paraId="7E8E257F" w14:textId="2E4174B2" w:rsidR="00F97F1C" w:rsidRPr="00F97F1C" w:rsidRDefault="00F97F1C" w:rsidP="00F97F1C">
                    <w:pPr>
                      <w:spacing w:after="0"/>
                      <w:rPr>
                        <w:rFonts w:ascii="Calibri" w:eastAsia="Calibri" w:hAnsi="Calibri" w:cs="Calibri"/>
                        <w:noProof/>
                        <w:color w:val="000000"/>
                        <w:sz w:val="20"/>
                        <w:szCs w:val="20"/>
                      </w:rPr>
                    </w:pPr>
                    <w:r w:rsidRPr="00F97F1C">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8B914" w14:textId="77777777" w:rsidR="006E6315" w:rsidRDefault="006E6315" w:rsidP="00F97F1C">
      <w:pPr>
        <w:spacing w:after="0" w:line="240" w:lineRule="auto"/>
      </w:pPr>
      <w:r>
        <w:separator/>
      </w:r>
    </w:p>
  </w:footnote>
  <w:footnote w:type="continuationSeparator" w:id="0">
    <w:p w14:paraId="51EFC2EE" w14:textId="77777777" w:rsidR="006E6315" w:rsidRDefault="006E6315" w:rsidP="00F97F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1D976" w14:textId="7CDAB424" w:rsidR="00F97F1C" w:rsidRPr="00F97F1C" w:rsidRDefault="00F97F1C" w:rsidP="00F97F1C">
    <w:pPr>
      <w:pStyle w:val="Header"/>
      <w:rPr>
        <w:sz w:val="20"/>
        <w:szCs w:val="20"/>
      </w:rPr>
    </w:pPr>
    <w:r w:rsidRPr="00F97F1C">
      <w:rPr>
        <w:sz w:val="20"/>
        <w:szCs w:val="20"/>
      </w:rPr>
      <w:t>Shelby Joiner</w:t>
    </w:r>
  </w:p>
  <w:p w14:paraId="3045F0EA" w14:textId="47E2B503" w:rsidR="00F97F1C" w:rsidRPr="00F97F1C" w:rsidRDefault="00F97F1C" w:rsidP="00F97F1C">
    <w:pPr>
      <w:pStyle w:val="Header"/>
      <w:rPr>
        <w:sz w:val="20"/>
        <w:szCs w:val="20"/>
      </w:rPr>
    </w:pPr>
    <w:r w:rsidRPr="00F97F1C">
      <w:rPr>
        <w:sz w:val="20"/>
        <w:szCs w:val="20"/>
      </w:rPr>
      <w:t>SNHU - CS-320-19486-M01 Software Test, Automation QA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F1C"/>
    <w:rsid w:val="00060100"/>
    <w:rsid w:val="00311010"/>
    <w:rsid w:val="004638F8"/>
    <w:rsid w:val="005142C8"/>
    <w:rsid w:val="006E6315"/>
    <w:rsid w:val="00914F47"/>
    <w:rsid w:val="009E5305"/>
    <w:rsid w:val="00C00675"/>
    <w:rsid w:val="00CC1BC1"/>
    <w:rsid w:val="00F97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00792"/>
  <w15:chartTrackingRefBased/>
  <w15:docId w15:val="{1F6CB4A9-9AF2-46F7-B857-87A1C3C1A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F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F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F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F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F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F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F1C"/>
    <w:rPr>
      <w:rFonts w:eastAsiaTheme="majorEastAsia" w:cstheme="majorBidi"/>
      <w:color w:val="272727" w:themeColor="text1" w:themeTint="D8"/>
    </w:rPr>
  </w:style>
  <w:style w:type="paragraph" w:styleId="Title">
    <w:name w:val="Title"/>
    <w:basedOn w:val="Normal"/>
    <w:next w:val="Normal"/>
    <w:link w:val="TitleChar"/>
    <w:uiPriority w:val="10"/>
    <w:qFormat/>
    <w:rsid w:val="00F97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F1C"/>
    <w:pPr>
      <w:spacing w:before="160"/>
      <w:jc w:val="center"/>
    </w:pPr>
    <w:rPr>
      <w:i/>
      <w:iCs/>
      <w:color w:val="404040" w:themeColor="text1" w:themeTint="BF"/>
    </w:rPr>
  </w:style>
  <w:style w:type="character" w:customStyle="1" w:styleId="QuoteChar">
    <w:name w:val="Quote Char"/>
    <w:basedOn w:val="DefaultParagraphFont"/>
    <w:link w:val="Quote"/>
    <w:uiPriority w:val="29"/>
    <w:rsid w:val="00F97F1C"/>
    <w:rPr>
      <w:i/>
      <w:iCs/>
      <w:color w:val="404040" w:themeColor="text1" w:themeTint="BF"/>
    </w:rPr>
  </w:style>
  <w:style w:type="paragraph" w:styleId="ListParagraph">
    <w:name w:val="List Paragraph"/>
    <w:basedOn w:val="Normal"/>
    <w:uiPriority w:val="34"/>
    <w:qFormat/>
    <w:rsid w:val="00F97F1C"/>
    <w:pPr>
      <w:ind w:left="720"/>
      <w:contextualSpacing/>
    </w:pPr>
  </w:style>
  <w:style w:type="character" w:styleId="IntenseEmphasis">
    <w:name w:val="Intense Emphasis"/>
    <w:basedOn w:val="DefaultParagraphFont"/>
    <w:uiPriority w:val="21"/>
    <w:qFormat/>
    <w:rsid w:val="00F97F1C"/>
    <w:rPr>
      <w:i/>
      <w:iCs/>
      <w:color w:val="0F4761" w:themeColor="accent1" w:themeShade="BF"/>
    </w:rPr>
  </w:style>
  <w:style w:type="paragraph" w:styleId="IntenseQuote">
    <w:name w:val="Intense Quote"/>
    <w:basedOn w:val="Normal"/>
    <w:next w:val="Normal"/>
    <w:link w:val="IntenseQuoteChar"/>
    <w:uiPriority w:val="30"/>
    <w:qFormat/>
    <w:rsid w:val="00F97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F1C"/>
    <w:rPr>
      <w:i/>
      <w:iCs/>
      <w:color w:val="0F4761" w:themeColor="accent1" w:themeShade="BF"/>
    </w:rPr>
  </w:style>
  <w:style w:type="character" w:styleId="IntenseReference">
    <w:name w:val="Intense Reference"/>
    <w:basedOn w:val="DefaultParagraphFont"/>
    <w:uiPriority w:val="32"/>
    <w:qFormat/>
    <w:rsid w:val="00F97F1C"/>
    <w:rPr>
      <w:b/>
      <w:bCs/>
      <w:smallCaps/>
      <w:color w:val="0F4761" w:themeColor="accent1" w:themeShade="BF"/>
      <w:spacing w:val="5"/>
    </w:rPr>
  </w:style>
  <w:style w:type="paragraph" w:styleId="Header">
    <w:name w:val="header"/>
    <w:basedOn w:val="Normal"/>
    <w:link w:val="HeaderChar"/>
    <w:uiPriority w:val="99"/>
    <w:unhideWhenUsed/>
    <w:rsid w:val="00F97F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7F1C"/>
  </w:style>
  <w:style w:type="paragraph" w:styleId="Footer">
    <w:name w:val="footer"/>
    <w:basedOn w:val="Normal"/>
    <w:link w:val="FooterChar"/>
    <w:uiPriority w:val="99"/>
    <w:unhideWhenUsed/>
    <w:rsid w:val="00F97F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7F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49774">
      <w:bodyDiv w:val="1"/>
      <w:marLeft w:val="0"/>
      <w:marRight w:val="0"/>
      <w:marTop w:val="0"/>
      <w:marBottom w:val="0"/>
      <w:divBdr>
        <w:top w:val="none" w:sz="0" w:space="0" w:color="auto"/>
        <w:left w:val="none" w:sz="0" w:space="0" w:color="auto"/>
        <w:bottom w:val="none" w:sz="0" w:space="0" w:color="auto"/>
        <w:right w:val="none" w:sz="0" w:space="0" w:color="auto"/>
      </w:divBdr>
    </w:div>
    <w:div w:id="1257791262">
      <w:bodyDiv w:val="1"/>
      <w:marLeft w:val="0"/>
      <w:marRight w:val="0"/>
      <w:marTop w:val="0"/>
      <w:marBottom w:val="0"/>
      <w:divBdr>
        <w:top w:val="none" w:sz="0" w:space="0" w:color="auto"/>
        <w:left w:val="none" w:sz="0" w:space="0" w:color="auto"/>
        <w:bottom w:val="none" w:sz="0" w:space="0" w:color="auto"/>
        <w:right w:val="none" w:sz="0" w:space="0" w:color="auto"/>
      </w:divBdr>
    </w:div>
    <w:div w:id="1314677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483</Words>
  <Characters>2754</Characters>
  <Application>Microsoft Office Word</Application>
  <DocSecurity>0</DocSecurity>
  <Lines>22</Lines>
  <Paragraphs>6</Paragraphs>
  <ScaleCrop>false</ScaleCrop>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Joiner</dc:creator>
  <cp:keywords/>
  <dc:description/>
  <cp:lastModifiedBy>Shelby Joiner</cp:lastModifiedBy>
  <cp:revision>2</cp:revision>
  <dcterms:created xsi:type="dcterms:W3CDTF">2025-08-03T08:35:00Z</dcterms:created>
  <dcterms:modified xsi:type="dcterms:W3CDTF">2025-08-03T08:45:00Z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595275f6,760ba0ea,243a77d6</vt:lpwstr>
  </property>
  <property fmtid="{D5CDD505-2E9C-101B-9397-08002B2CF9AE}" pid="3" name="ClassificationContentMarkingFooterFontProps">
    <vt:lpwstr>#000000,10,Calibri</vt:lpwstr>
  </property>
  <property fmtid="{D5CDD505-2E9C-101B-9397-08002B2CF9AE}" pid="4" name="ClassificationContentMarkingFooterText">
    <vt:lpwstr>Confidential – Oracle Internal</vt:lpwstr>
  </property>
  <property fmtid="{D5CDD505-2E9C-101B-9397-08002B2CF9AE}" pid="5" name="MSIP_Label_a4de43ec-192a-49eb-8e54-baeb8c71bbbe_Enabled">
    <vt:lpwstr>true</vt:lpwstr>
  </property>
  <property fmtid="{D5CDD505-2E9C-101B-9397-08002B2CF9AE}" pid="6" name="MSIP_Label_a4de43ec-192a-49eb-8e54-baeb8c71bbbe_SetDate">
    <vt:lpwstr>2025-08-03T08:42:54Z</vt:lpwstr>
  </property>
  <property fmtid="{D5CDD505-2E9C-101B-9397-08002B2CF9AE}" pid="7" name="MSIP_Label_a4de43ec-192a-49eb-8e54-baeb8c71bbbe_Method">
    <vt:lpwstr>Standard</vt:lpwstr>
  </property>
  <property fmtid="{D5CDD505-2E9C-101B-9397-08002B2CF9AE}" pid="8" name="MSIP_Label_a4de43ec-192a-49eb-8e54-baeb8c71bbbe_Name">
    <vt:lpwstr>Confidential – Oracle Internal</vt:lpwstr>
  </property>
  <property fmtid="{D5CDD505-2E9C-101B-9397-08002B2CF9AE}" pid="9" name="MSIP_Label_a4de43ec-192a-49eb-8e54-baeb8c71bbbe_SiteId">
    <vt:lpwstr>4e2c6054-71cb-48f1-bd6c-3a9705aca71b</vt:lpwstr>
  </property>
  <property fmtid="{D5CDD505-2E9C-101B-9397-08002B2CF9AE}" pid="10" name="MSIP_Label_a4de43ec-192a-49eb-8e54-baeb8c71bbbe_ActionId">
    <vt:lpwstr>5e7f593e-1d93-4c42-8e25-11942aea1a63</vt:lpwstr>
  </property>
  <property fmtid="{D5CDD505-2E9C-101B-9397-08002B2CF9AE}" pid="11" name="MSIP_Label_a4de43ec-192a-49eb-8e54-baeb8c71bbbe_ContentBits">
    <vt:lpwstr>2</vt:lpwstr>
  </property>
  <property fmtid="{D5CDD505-2E9C-101B-9397-08002B2CF9AE}" pid="12" name="MSIP_Label_a4de43ec-192a-49eb-8e54-baeb8c71bbbe_Tag">
    <vt:lpwstr>10, 3, 0, 1</vt:lpwstr>
  </property>
</Properties>
</file>