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DD9" w:rsidRDefault="00AB2DD9">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吴良好与如皋市金鼎置业有限公司等股东资格确认纠纷案</w:t>
      </w:r>
    </w:p>
    <w:p w:rsidR="00AB2DD9" w:rsidRDefault="00AB2DD9">
      <w:pPr>
        <w:ind w:left="375" w:right="375"/>
        <w:rPr>
          <w:rFonts w:ascii="Arial" w:eastAsia="Arial" w:hAnsi="Arial" w:cs="Arial"/>
          <w:lang w:val="en-US" w:eastAsia="zh-CN" w:bidi="ar-SA"/>
        </w:rPr>
      </w:pPr>
      <w:r>
        <w:rPr>
          <w:rFonts w:ascii="Arial" w:eastAsia="Arial" w:hAnsi="Arial" w:cs="Arial"/>
          <w:lang w:val="en-US" w:eastAsia="zh-CN" w:bidi="ar-SA"/>
        </w:rPr>
        <w:br/>
      </w:r>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股东资格确认纠纷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最高法民申</w:t>
      </w:r>
      <w:r>
        <w:rPr>
          <w:rStyle w:val="fulltext-wrapfieldsulrow"/>
          <w:rFonts w:ascii="宋体" w:eastAsia="宋体" w:hAnsi="宋体" w:cs="宋体"/>
          <w:color w:val="999999"/>
          <w:sz w:val="23"/>
          <w:szCs w:val="23"/>
          <w:lang w:val="en-US" w:eastAsia="zh-CN" w:bidi="ar-SA"/>
        </w:rPr>
        <w:t>1074</w:t>
      </w:r>
      <w:r>
        <w:rPr>
          <w:rStyle w:val="fulltext-wrapfieldsulrow"/>
          <w:rFonts w:ascii="宋体" w:eastAsia="宋体" w:hAnsi="宋体" w:cs="宋体"/>
          <w:color w:val="999999"/>
          <w:sz w:val="23"/>
          <w:szCs w:val="23"/>
          <w:lang w:val="en-US" w:eastAsia="zh-CN" w:bidi="ar-SA"/>
        </w:rPr>
        <w:t>号</w:t>
      </w:r>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杜微科</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薛贵忠</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汪军</w:t>
      </w:r>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裁定书</w:t>
        </w:r>
      </w:hyperlink>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其他</w:t>
      </w:r>
      <w:r>
        <w:rPr>
          <w:rStyle w:val="fulltext-wrapfieldsulli"/>
          <w:rFonts w:ascii="宋体" w:eastAsia="宋体" w:hAnsi="宋体" w:cs="宋体"/>
          <w:sz w:val="23"/>
          <w:szCs w:val="23"/>
          <w:lang w:val="en-US" w:eastAsia="zh-CN" w:bidi="ar-SA"/>
        </w:rPr>
        <w:t xml:space="preserve"> </w:t>
      </w:r>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最高人民法院</w:t>
        </w:r>
      </w:hyperlink>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2021.06.30</w:t>
      </w:r>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民事申请再审审查</w:t>
        </w:r>
      </w:hyperlink>
    </w:p>
    <w:p w:rsidR="00AB2DD9" w:rsidRDefault="00AB2DD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再审</w:t>
        </w:r>
      </w:hyperlink>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杨明宇</w:t>
      </w:r>
      <w:r>
        <w:rPr>
          <w:rStyle w:val="fulltext-wrapfieldsulrow"/>
          <w:rFonts w:ascii="宋体" w:eastAsia="宋体" w:hAnsi="宋体" w:cs="宋体"/>
          <w:color w:val="999999"/>
          <w:sz w:val="23"/>
          <w:szCs w:val="23"/>
          <w:lang w:val="en-US" w:eastAsia="zh-CN" w:bidi="ar-SA"/>
        </w:rPr>
        <w:t>,</w:t>
      </w:r>
      <w:hyperlink r:id="rId16" w:history="1">
        <w:r>
          <w:rPr>
            <w:rStyle w:val="fulltext-wrapfieldsullia"/>
            <w:rFonts w:ascii="宋体" w:eastAsia="宋体" w:hAnsi="宋体" w:cs="宋体"/>
            <w:sz w:val="23"/>
            <w:szCs w:val="23"/>
            <w:lang w:val="en-US" w:eastAsia="zh-CN" w:bidi="ar-SA"/>
          </w:rPr>
          <w:t>福建业博律师事务所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徐红兵</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江苏如一律师事务所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张峰</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江苏瀛联律师事务所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杨洁</w:t>
      </w:r>
      <w:r>
        <w:rPr>
          <w:rStyle w:val="fulltext-wrapfieldsulrow"/>
          <w:rFonts w:ascii="宋体" w:eastAsia="宋体" w:hAnsi="宋体" w:cs="宋体"/>
          <w:color w:val="999999"/>
          <w:sz w:val="23"/>
          <w:szCs w:val="23"/>
          <w:lang w:val="en-US" w:eastAsia="zh-CN" w:bidi="ar-SA"/>
        </w:rPr>
        <w:t>,</w:t>
      </w:r>
      <w:hyperlink r:id="rId19" w:history="1">
        <w:r>
          <w:rPr>
            <w:rStyle w:val="fulltext-wrapfieldsullia"/>
            <w:rFonts w:ascii="宋体" w:eastAsia="宋体" w:hAnsi="宋体" w:cs="宋体"/>
            <w:sz w:val="23"/>
            <w:szCs w:val="23"/>
            <w:lang w:val="en-US" w:eastAsia="zh-CN" w:bidi="ar-SA"/>
          </w:rPr>
          <w:t>江苏瀛联律师事务所</w:t>
        </w:r>
      </w:hyperlink>
      <w:r>
        <w:rPr>
          <w:rStyle w:val="fulltext-wrapfieldsulrow"/>
          <w:rFonts w:ascii="宋体" w:eastAsia="宋体" w:hAnsi="宋体" w:cs="宋体"/>
          <w:color w:val="999999"/>
          <w:sz w:val="23"/>
          <w:szCs w:val="23"/>
          <w:lang w:val="en-US" w:eastAsia="zh-CN" w:bidi="ar-SA"/>
        </w:rPr>
        <w:t>;</w:t>
      </w:r>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继受取得</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有独立请求权</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反证</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证明</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发回重审</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申请再审</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执行</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诉讼时效</w:t>
        </w:r>
      </w:hyperlink>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来源：</w:t>
      </w:r>
      <w:r>
        <w:rPr>
          <w:rStyle w:val="fulltext-wrapfieldsullispan"/>
          <w:rFonts w:ascii="宋体" w:eastAsia="宋体" w:hAnsi="宋体" w:cs="宋体"/>
          <w:color w:val="999999"/>
          <w:sz w:val="23"/>
          <w:szCs w:val="23"/>
          <w:lang w:val="en-US" w:eastAsia="zh-CN" w:bidi="ar-SA"/>
        </w:rPr>
        <w:t>《最高人民法院公报》</w:t>
      </w:r>
      <w:r>
        <w:rPr>
          <w:rStyle w:val="fulltext-wrapfieldsullispan"/>
          <w:rFonts w:ascii="宋体" w:eastAsia="宋体" w:hAnsi="宋体" w:cs="宋体"/>
          <w:color w:val="999999"/>
          <w:sz w:val="23"/>
          <w:szCs w:val="23"/>
          <w:lang w:val="en-US" w:eastAsia="zh-CN" w:bidi="ar-SA"/>
        </w:rPr>
        <w:t>2023</w:t>
      </w:r>
      <w:r>
        <w:rPr>
          <w:rStyle w:val="fulltext-wrapfieldsullispan"/>
          <w:rFonts w:ascii="宋体" w:eastAsia="宋体" w:hAnsi="宋体" w:cs="宋体"/>
          <w:color w:val="999999"/>
          <w:sz w:val="23"/>
          <w:szCs w:val="23"/>
          <w:lang w:val="en-US" w:eastAsia="zh-CN" w:bidi="ar-SA"/>
        </w:rPr>
        <w:t>年第</w:t>
      </w:r>
      <w:r>
        <w:rPr>
          <w:rStyle w:val="fulltext-wrapfieldsullispan"/>
          <w:rFonts w:ascii="宋体" w:eastAsia="宋体" w:hAnsi="宋体" w:cs="宋体"/>
          <w:color w:val="999999"/>
          <w:sz w:val="23"/>
          <w:szCs w:val="23"/>
          <w:lang w:val="en-US" w:eastAsia="zh-CN" w:bidi="ar-SA"/>
        </w:rPr>
        <w:t>7</w:t>
      </w:r>
      <w:r>
        <w:rPr>
          <w:rStyle w:val="fulltext-wrapfieldsullispan"/>
          <w:rFonts w:ascii="宋体" w:eastAsia="宋体" w:hAnsi="宋体" w:cs="宋体"/>
          <w:color w:val="999999"/>
          <w:sz w:val="23"/>
          <w:szCs w:val="23"/>
          <w:lang w:val="en-US" w:eastAsia="zh-CN" w:bidi="ar-SA"/>
        </w:rPr>
        <w:t>期（总第</w:t>
      </w:r>
      <w:r>
        <w:rPr>
          <w:rStyle w:val="fulltext-wrapfieldsullispan"/>
          <w:rFonts w:ascii="宋体" w:eastAsia="宋体" w:hAnsi="宋体" w:cs="宋体"/>
          <w:color w:val="999999"/>
          <w:sz w:val="23"/>
          <w:szCs w:val="23"/>
          <w:lang w:val="en-US" w:eastAsia="zh-CN" w:bidi="ar-SA"/>
        </w:rPr>
        <w:t>323</w:t>
      </w:r>
      <w:r>
        <w:rPr>
          <w:rStyle w:val="fulltext-wrapfieldsullispan"/>
          <w:rFonts w:ascii="宋体" w:eastAsia="宋体" w:hAnsi="宋体" w:cs="宋体"/>
          <w:color w:val="999999"/>
          <w:sz w:val="23"/>
          <w:szCs w:val="23"/>
          <w:lang w:val="en-US" w:eastAsia="zh-CN" w:bidi="ar-SA"/>
        </w:rPr>
        <w:t>期）第</w:t>
      </w:r>
      <w:r>
        <w:rPr>
          <w:rStyle w:val="fulltext-wrapfieldsullispan"/>
          <w:rFonts w:ascii="宋体" w:eastAsia="宋体" w:hAnsi="宋体" w:cs="宋体"/>
          <w:color w:val="999999"/>
          <w:sz w:val="23"/>
          <w:szCs w:val="23"/>
          <w:lang w:val="en-US" w:eastAsia="zh-CN" w:bidi="ar-SA"/>
        </w:rPr>
        <w:t>27-31</w:t>
      </w:r>
      <w:r>
        <w:rPr>
          <w:rStyle w:val="fulltext-wrapfieldsullispan"/>
          <w:rFonts w:ascii="宋体" w:eastAsia="宋体" w:hAnsi="宋体" w:cs="宋体"/>
          <w:color w:val="999999"/>
          <w:sz w:val="23"/>
          <w:szCs w:val="23"/>
          <w:lang w:val="en-US" w:eastAsia="zh-CN" w:bidi="ar-SA"/>
        </w:rPr>
        <w:t>页</w:t>
      </w:r>
    </w:p>
    <w:p w:rsidR="00AB2DD9" w:rsidRDefault="00AB2DD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32" w:history="1">
        <w:r>
          <w:rPr>
            <w:rStyle w:val="fulltext-wrapfieldsullia"/>
            <w:rFonts w:ascii="宋体" w:eastAsia="宋体" w:hAnsi="宋体" w:cs="宋体"/>
            <w:sz w:val="23"/>
            <w:szCs w:val="23"/>
            <w:lang w:val="en-US" w:eastAsia="zh-CN" w:bidi="ar-SA"/>
          </w:rPr>
          <w:t>南通正达房地产开发有限公司</w:t>
        </w:r>
      </w:hyperlink>
      <w:hyperlink r:id="rId33" w:history="1">
        <w:r>
          <w:rPr>
            <w:rStyle w:val="fulltext-wrapfieldsullia"/>
            <w:rFonts w:ascii="宋体" w:eastAsia="宋体" w:hAnsi="宋体" w:cs="宋体"/>
            <w:sz w:val="23"/>
            <w:szCs w:val="23"/>
            <w:lang w:val="en-US" w:eastAsia="zh-CN" w:bidi="ar-SA"/>
          </w:rPr>
          <w:t>福建涵江大地房地产开发有限公司</w:t>
        </w:r>
      </w:hyperlink>
      <w:hyperlink r:id="rId34" w:history="1">
        <w:r>
          <w:rPr>
            <w:rStyle w:val="fulltext-wrapfieldsullia"/>
            <w:rFonts w:ascii="宋体" w:eastAsia="宋体" w:hAnsi="宋体" w:cs="宋体"/>
            <w:sz w:val="23"/>
            <w:szCs w:val="23"/>
            <w:lang w:val="en-US" w:eastAsia="zh-CN" w:bidi="ar-SA"/>
          </w:rPr>
          <w:t>如皋市金鼎置业有限公司</w:t>
        </w:r>
      </w:hyperlink>
    </w:p>
    <w:p w:rsidR="00AB2DD9" w:rsidRDefault="00AB2DD9">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AB2DD9" w:rsidRDefault="00AB2DD9">
      <w:pPr>
        <w:ind w:left="375" w:right="375"/>
        <w:rPr>
          <w:rFonts w:ascii="Arial" w:eastAsia="Arial" w:hAnsi="Arial" w:cs="Arial"/>
          <w:lang w:val="en-US" w:eastAsia="zh-CN" w:bidi="ar-SA"/>
        </w:rPr>
      </w:pPr>
      <w:r>
        <w:rPr>
          <w:rFonts w:ascii="Arial" w:eastAsia="Arial" w:hAnsi="Arial" w:cs="Arial"/>
          <w:lang w:val="en-US" w:eastAsia="zh-CN" w:bidi="ar-SA"/>
        </w:rPr>
        <w:br/>
      </w:r>
    </w:p>
    <w:p w:rsidR="00AB2DD9" w:rsidRDefault="00AB2DD9">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吴良好与如皋市金鼎置业有限公司等股东资格确认纠纷案</w:t>
      </w:r>
    </w:p>
    <w:p w:rsidR="00AB2DD9" w:rsidRDefault="00AB2DD9">
      <w:pPr>
        <w:pStyle w:val="divFullText"/>
        <w:ind w:left="375" w:right="375"/>
        <w:textAlignment w:val="baseline"/>
        <w:rPr>
          <w:lang w:val="en-US" w:eastAsia="zh-CN" w:bidi="ar-SA"/>
        </w:rPr>
      </w:pPr>
      <w:r>
        <w:rPr>
          <w:lang w:val="en-US" w:eastAsia="zh-CN" w:bidi="ar-SA"/>
        </w:rPr>
        <w:lastRenderedPageBreak/>
        <w:t xml:space="preserve">　　【</w:t>
      </w:r>
      <w:bookmarkStart w:id="2" w:name="anchor-0"/>
      <w:bookmarkEnd w:id="2"/>
      <w:r>
        <w:rPr>
          <w:lang w:val="en-US" w:eastAsia="zh-CN" w:bidi="ar-SA"/>
        </w:rPr>
        <w:t>裁判要旨】</w:t>
      </w:r>
      <w:r>
        <w:rPr>
          <w:lang w:val="en-US" w:eastAsia="zh-CN" w:bidi="ar-SA"/>
        </w:rPr>
        <w:br/>
      </w:r>
      <w:r>
        <w:rPr>
          <w:lang w:val="en-US" w:eastAsia="zh-CN" w:bidi="ar-SA"/>
        </w:rPr>
        <w:t xml:space="preserve">　　外商投资企业股权变更登记行为不属于</w:t>
      </w:r>
      <w:hyperlink r:id="rId35" w:history="1">
        <w:r>
          <w:rPr>
            <w:rStyle w:val="fulltext-wrapfulltexta"/>
            <w:lang w:val="en-US" w:eastAsia="zh-CN" w:bidi="ar-SA"/>
          </w:rPr>
          <w:t>外商投资法</w:t>
        </w:r>
      </w:hyperlink>
      <w:r>
        <w:rPr>
          <w:lang w:val="en-US" w:eastAsia="zh-CN" w:bidi="ar-SA"/>
        </w:rPr>
        <w:t>第</w:t>
      </w:r>
      <w:hyperlink r:id="rId36" w:anchor="tiao_4" w:history="1">
        <w:r>
          <w:rPr>
            <w:rStyle w:val="fulltext-wrapfulltexta"/>
            <w:lang w:val="en-US" w:eastAsia="zh-CN" w:bidi="ar-SA"/>
          </w:rPr>
          <w:t>四条</w:t>
        </w:r>
      </w:hyperlink>
      <w:r>
        <w:rPr>
          <w:lang w:val="en-US" w:eastAsia="zh-CN" w:bidi="ar-SA"/>
        </w:rPr>
        <w:t>所称负面清单管理范围的，当事人以相关法律行为发生在</w:t>
      </w:r>
      <w:hyperlink r:id="rId37" w:history="1">
        <w:r>
          <w:rPr>
            <w:rStyle w:val="fulltext-wrapfulltexta"/>
            <w:lang w:val="en-US" w:eastAsia="zh-CN" w:bidi="ar-SA"/>
          </w:rPr>
          <w:t>外商投资法</w:t>
        </w:r>
      </w:hyperlink>
      <w:r>
        <w:rPr>
          <w:lang w:val="en-US" w:eastAsia="zh-CN" w:bidi="ar-SA"/>
        </w:rPr>
        <w:t>实施之前，主张变更登记应征得外商投资企业审批机关同意的，人民法院依照</w:t>
      </w:r>
      <w:hyperlink r:id="rId38" w:history="1">
        <w:r>
          <w:rPr>
            <w:rStyle w:val="fulltext-wrapfulltexta"/>
            <w:lang w:val="en-US" w:eastAsia="zh-CN" w:bidi="ar-SA"/>
          </w:rPr>
          <w:t>外商投资法</w:t>
        </w:r>
      </w:hyperlink>
      <w:r>
        <w:rPr>
          <w:lang w:val="en-US" w:eastAsia="zh-CN" w:bidi="ar-SA"/>
        </w:rPr>
        <w:t>规定的</w:t>
      </w:r>
      <w:r>
        <w:rPr>
          <w:lang w:val="en-US" w:eastAsia="zh-CN" w:bidi="ar-SA"/>
        </w:rPr>
        <w:t>“</w:t>
      </w:r>
      <w:r>
        <w:rPr>
          <w:lang w:val="en-US" w:eastAsia="zh-CN" w:bidi="ar-SA"/>
        </w:rPr>
        <w:t>给予国民待遇</w:t>
      </w:r>
      <w:r>
        <w:rPr>
          <w:lang w:val="en-US" w:eastAsia="zh-CN" w:bidi="ar-SA"/>
        </w:rPr>
        <w:t>”</w:t>
      </w:r>
      <w:r>
        <w:rPr>
          <w:lang w:val="en-US" w:eastAsia="zh-CN" w:bidi="ar-SA"/>
        </w:rPr>
        <w:t>和</w:t>
      </w:r>
      <w:r>
        <w:rPr>
          <w:lang w:val="en-US" w:eastAsia="zh-CN" w:bidi="ar-SA"/>
        </w:rPr>
        <w:t>“</w:t>
      </w:r>
      <w:r>
        <w:rPr>
          <w:lang w:val="en-US" w:eastAsia="zh-CN" w:bidi="ar-SA"/>
        </w:rPr>
        <w:t>内外资一致</w:t>
      </w:r>
      <w:r>
        <w:rPr>
          <w:lang w:val="en-US" w:eastAsia="zh-CN" w:bidi="ar-SA"/>
        </w:rPr>
        <w:t>”</w:t>
      </w:r>
      <w:r>
        <w:rPr>
          <w:lang w:val="en-US" w:eastAsia="zh-CN" w:bidi="ar-SA"/>
        </w:rPr>
        <w:t>的原则，不予支持。</w:t>
      </w:r>
    </w:p>
    <w:p w:rsidR="00AB2DD9" w:rsidRDefault="00AB2DD9">
      <w:pPr>
        <w:pStyle w:val="div"/>
        <w:spacing w:line="600" w:lineRule="atLeast"/>
        <w:ind w:left="375" w:right="375"/>
        <w:rPr>
          <w:rFonts w:ascii="宋体" w:eastAsia="宋体" w:hAnsi="宋体" w:cs="宋体"/>
          <w:color w:val="000000"/>
          <w:sz w:val="27"/>
          <w:szCs w:val="27"/>
          <w:lang w:val="en-US" w:eastAsia="zh-CN" w:bidi="ar-SA"/>
        </w:rPr>
      </w:pPr>
    </w:p>
    <w:p w:rsidR="00AB2DD9" w:rsidRDefault="00AB2DD9">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最高人民法院民事裁定书</w:t>
      </w:r>
    </w:p>
    <w:p w:rsidR="00AB2DD9" w:rsidRDefault="00AB2DD9">
      <w:pPr>
        <w:pStyle w:val="div"/>
        <w:spacing w:line="600" w:lineRule="atLeast"/>
        <w:ind w:left="375" w:right="375"/>
        <w:jc w:val="center"/>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）最高法民申</w:t>
      </w:r>
      <w:r>
        <w:rPr>
          <w:rStyle w:val="span"/>
          <w:rFonts w:ascii="宋体" w:eastAsia="宋体" w:hAnsi="宋体" w:cs="宋体"/>
          <w:color w:val="000000"/>
          <w:sz w:val="27"/>
          <w:szCs w:val="27"/>
          <w:lang w:val="en-US" w:eastAsia="zh-CN" w:bidi="ar-SA"/>
        </w:rPr>
        <w:t>1074</w:t>
      </w:r>
      <w:r>
        <w:rPr>
          <w:rStyle w:val="span"/>
          <w:rFonts w:ascii="宋体" w:eastAsia="宋体" w:hAnsi="宋体" w:cs="宋体"/>
          <w:color w:val="000000"/>
          <w:sz w:val="27"/>
          <w:szCs w:val="27"/>
          <w:lang w:val="en-US" w:eastAsia="zh-CN" w:bidi="ar-SA"/>
        </w:rPr>
        <w:t>号</w:t>
      </w:r>
    </w:p>
    <w:p w:rsidR="00AB2DD9" w:rsidRDefault="00AB2DD9">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再审申请人（一审被告、二审上诉人）：如皋市金鼎置业有限公司，住所地江苏省如皋市如城街道解放西路</w:t>
      </w:r>
      <w:r>
        <w:rPr>
          <w:rFonts w:ascii="宋体" w:eastAsia="宋体" w:hAnsi="宋体" w:cs="宋体"/>
          <w:color w:val="000000"/>
          <w:sz w:val="27"/>
          <w:szCs w:val="27"/>
          <w:lang w:val="en-US" w:eastAsia="zh-CN" w:bidi="ar-SA"/>
        </w:rPr>
        <w:t>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法定代表人：冯学平，该公司董事长。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委托诉讼代理人：杨明宇，</w:t>
      </w:r>
      <w:hyperlink r:id="rId39" w:history="1">
        <w:r>
          <w:rPr>
            <w:rStyle w:val="fulltext-wrapfulltexta"/>
            <w:rFonts w:ascii="宋体" w:eastAsia="宋体" w:hAnsi="宋体" w:cs="宋体"/>
            <w:sz w:val="27"/>
            <w:szCs w:val="27"/>
            <w:lang w:val="en-US" w:eastAsia="zh-CN" w:bidi="ar-SA"/>
          </w:rPr>
          <w:t>福建业博律师事务所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再审申请人（一审第三人）：南通正达房地产开发有限公司，住所地江苏省如皋市如城街道解放西路</w:t>
      </w:r>
      <w:r>
        <w:rPr>
          <w:rFonts w:ascii="宋体" w:eastAsia="宋体" w:hAnsi="宋体" w:cs="宋体"/>
          <w:color w:val="000000"/>
          <w:sz w:val="27"/>
          <w:szCs w:val="27"/>
          <w:lang w:val="en-US" w:eastAsia="zh-CN" w:bidi="ar-SA"/>
        </w:rPr>
        <w:t>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法定代表人：冯学平，该公司执行董事。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委托诉讼代理人：杨洁，</w:t>
      </w:r>
      <w:hyperlink r:id="rId40" w:history="1">
        <w:r>
          <w:rPr>
            <w:rStyle w:val="fulltext-wrapfulltexta"/>
            <w:rFonts w:ascii="宋体" w:eastAsia="宋体" w:hAnsi="宋体" w:cs="宋体"/>
            <w:sz w:val="27"/>
            <w:szCs w:val="27"/>
            <w:lang w:val="en-US" w:eastAsia="zh-CN" w:bidi="ar-SA"/>
          </w:rPr>
          <w:t>江苏瀛联律师事务所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委托诉讼代理人：张峰，</w:t>
      </w:r>
      <w:hyperlink r:id="rId41" w:history="1">
        <w:r>
          <w:rPr>
            <w:rStyle w:val="fulltext-wrapfulltexta"/>
            <w:rFonts w:ascii="宋体" w:eastAsia="宋体" w:hAnsi="宋体" w:cs="宋体"/>
            <w:sz w:val="27"/>
            <w:szCs w:val="27"/>
            <w:lang w:val="en-US" w:eastAsia="zh-CN" w:bidi="ar-SA"/>
          </w:rPr>
          <w:t>江苏瀛联律师事务所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被申请人（一审原告、二审被上诉人）：吴良好，男，</w:t>
      </w:r>
      <w:r>
        <w:rPr>
          <w:rFonts w:ascii="宋体" w:eastAsia="宋体" w:hAnsi="宋体" w:cs="宋体"/>
          <w:color w:val="000000"/>
          <w:sz w:val="27"/>
          <w:szCs w:val="27"/>
          <w:lang w:val="en-US" w:eastAsia="zh-CN" w:bidi="ar-SA"/>
        </w:rPr>
        <w:t>1951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26</w:t>
      </w:r>
      <w:r>
        <w:rPr>
          <w:rFonts w:ascii="宋体" w:eastAsia="宋体" w:hAnsi="宋体" w:cs="宋体"/>
          <w:color w:val="000000"/>
          <w:sz w:val="27"/>
          <w:szCs w:val="27"/>
          <w:lang w:val="en-US" w:eastAsia="zh-CN" w:bidi="ar-SA"/>
        </w:rPr>
        <w:t>日出生，香港特别行政区永久性居民，住香港特别行政区大潭道</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号屋。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委托诉讼代理人：徐红兵，</w:t>
      </w:r>
      <w:hyperlink r:id="rId42" w:history="1">
        <w:r>
          <w:rPr>
            <w:rStyle w:val="fulltext-wrapfulltexta"/>
            <w:rFonts w:ascii="宋体" w:eastAsia="宋体" w:hAnsi="宋体" w:cs="宋体"/>
            <w:sz w:val="27"/>
            <w:szCs w:val="27"/>
            <w:lang w:val="en-US" w:eastAsia="zh-CN" w:bidi="ar-SA"/>
          </w:rPr>
          <w:t>江苏如一律师事务所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二审上诉人（一审被告）：叶宏滨，男，</w:t>
      </w:r>
      <w:r>
        <w:rPr>
          <w:rFonts w:ascii="宋体" w:eastAsia="宋体" w:hAnsi="宋体" w:cs="宋体"/>
          <w:color w:val="000000"/>
          <w:sz w:val="27"/>
          <w:szCs w:val="27"/>
          <w:lang w:val="en-US" w:eastAsia="zh-CN" w:bidi="ar-SA"/>
        </w:rPr>
        <w:t>1957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日出生，香港特别行政区永久性居民，住福建省莆田市涵江区涵西大汉巷</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委托诉讼代理人：杨明宇，</w:t>
      </w:r>
      <w:hyperlink r:id="rId43" w:history="1">
        <w:r>
          <w:rPr>
            <w:rStyle w:val="fulltext-wrapfulltexta"/>
            <w:rFonts w:ascii="宋体" w:eastAsia="宋体" w:hAnsi="宋体" w:cs="宋体"/>
            <w:sz w:val="27"/>
            <w:szCs w:val="27"/>
            <w:lang w:val="en-US" w:eastAsia="zh-CN" w:bidi="ar-SA"/>
          </w:rPr>
          <w:t>福建业博律师事务所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一审第三人：福建涵江大地房地产开发有限公司，住所地福建省莆田市涵江家具装饰材料市场。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法定代表人：陈淑琴。</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再审申请人如皋市金鼎置业有限公司（以下简称金鼎公司）、南通正达房地产开发有限公司（以下简称正达公司）因与被申请人吴良好、二审上诉人叶宏滨、一审第三人福建涵江大地房地产开发有限公司（以下简称大地公司）股东资格确认纠纷一案，不服江苏省高级人民法院</w:t>
      </w: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）苏民终</w:t>
      </w:r>
      <w:r>
        <w:rPr>
          <w:rStyle w:val="span"/>
          <w:rFonts w:ascii="宋体" w:eastAsia="宋体" w:hAnsi="宋体" w:cs="宋体"/>
          <w:color w:val="000000"/>
          <w:sz w:val="27"/>
          <w:szCs w:val="27"/>
          <w:lang w:val="en-US" w:eastAsia="zh-CN" w:bidi="ar-SA"/>
        </w:rPr>
        <w:t>1194</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民事判决，向本院申请再审。本院依法组成合议庭进行了审查，现已审查终结。</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金鼎公司、正达公司申请再审称，（一）被申请人主张的股权变更登记并未征得外商投资企业审批机关的同意，不符合《</w:t>
      </w:r>
      <w:hyperlink r:id="rId44" w:history="1">
        <w:r>
          <w:rPr>
            <w:rStyle w:val="fulltext-wrapfulltexta"/>
            <w:rFonts w:ascii="宋体" w:eastAsia="宋体" w:hAnsi="宋体" w:cs="宋体"/>
            <w:sz w:val="27"/>
            <w:szCs w:val="27"/>
            <w:lang w:val="en-US" w:eastAsia="zh-CN" w:bidi="ar-SA"/>
          </w:rPr>
          <w:t>最高人民法院关于审理外商投资企业纠纷案件若干问题的规定（一）</w:t>
        </w:r>
      </w:hyperlink>
      <w:r>
        <w:rPr>
          <w:rFonts w:ascii="宋体" w:eastAsia="宋体" w:hAnsi="宋体" w:cs="宋体"/>
          <w:color w:val="000000"/>
          <w:sz w:val="27"/>
          <w:szCs w:val="27"/>
          <w:lang w:val="en-US" w:eastAsia="zh-CN" w:bidi="ar-SA"/>
        </w:rPr>
        <w:t>》（以下简称</w:t>
      </w:r>
      <w:hyperlink r:id="rId45" w:history="1">
        <w:r>
          <w:rPr>
            <w:rStyle w:val="fulltext-wrapfulltexta"/>
            <w:rFonts w:ascii="宋体" w:eastAsia="宋体" w:hAnsi="宋体" w:cs="宋体"/>
            <w:sz w:val="27"/>
            <w:szCs w:val="27"/>
            <w:lang w:val="en-US" w:eastAsia="zh-CN" w:bidi="ar-SA"/>
          </w:rPr>
          <w:t>《规定（一</w:t>
        </w:r>
      </w:hyperlink>
      <w:r>
        <w:rPr>
          <w:rFonts w:ascii="宋体" w:eastAsia="宋体" w:hAnsi="宋体" w:cs="宋体"/>
          <w:color w:val="000000"/>
          <w:sz w:val="27"/>
          <w:szCs w:val="27"/>
          <w:lang w:val="en-US" w:eastAsia="zh-CN" w:bidi="ar-SA"/>
        </w:rPr>
        <w:t>）》）第</w:t>
      </w:r>
      <w:hyperlink r:id="rId46"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47" w:anchor="tiao_14_kuan_1_xiang_3" w:history="1">
        <w:r>
          <w:rPr>
            <w:rStyle w:val="fulltext-wrapfulltexta"/>
            <w:rFonts w:ascii="宋体" w:eastAsia="宋体" w:hAnsi="宋体" w:cs="宋体"/>
            <w:sz w:val="27"/>
            <w:szCs w:val="27"/>
            <w:lang w:val="en-US" w:eastAsia="zh-CN" w:bidi="ar-SA"/>
          </w:rPr>
          <w:t>三项</w:t>
        </w:r>
      </w:hyperlink>
      <w:r>
        <w:rPr>
          <w:rFonts w:ascii="宋体" w:eastAsia="宋体" w:hAnsi="宋体" w:cs="宋体"/>
          <w:color w:val="000000"/>
          <w:sz w:val="27"/>
          <w:szCs w:val="27"/>
          <w:lang w:val="en-US" w:eastAsia="zh-CN" w:bidi="ar-SA"/>
        </w:rPr>
        <w:t>有关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征得了外商投资企业审批机关的同意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的规定。（二）一、二审法院没有考虑正达公司的意见，适用法律错误。正达公司于</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受让叶宏滨的股份，登记成为金鼎公司股东。被申请人与叶宏滨之间为代持股关系，虽然叶宏滨在股东会议纪要中同意被申请人显名并办理股权变更登记，但对包括正达公司在内的其他人没有法律效力。（三）股东会议纪要载明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以上登记在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提起本案诉讼超过了法律规定的诉讼时效。本案不属于股东资格确认纠纷，而是有关叶宏滨、金鼎公司是否应当履行股权变更登记义务的纠纷。（四）二审判决结果违背正达公司意志，与判决正达公司承担民事责任并无本质区别，二审法院认定正达公司无权提起上诉错误。（五）本案有关事实并未查清，如被申请人是否实际出资、是否履行了与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的股份对应的借款债务等。据此，金鼎公司、正达公司依照《</w:t>
      </w:r>
      <w:hyperlink r:id="rId4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9" w:anchor="tiao_200" w:history="1">
        <w:r>
          <w:rPr>
            <w:rStyle w:val="fulltext-wrapfulltexta"/>
            <w:rFonts w:ascii="宋体" w:eastAsia="宋体" w:hAnsi="宋体" w:cs="宋体"/>
            <w:sz w:val="27"/>
            <w:szCs w:val="27"/>
            <w:lang w:val="en-US" w:eastAsia="zh-CN" w:bidi="ar-SA"/>
          </w:rPr>
          <w:t>二百条</w:t>
        </w:r>
      </w:hyperlink>
      <w:r>
        <w:rPr>
          <w:rFonts w:ascii="宋体" w:eastAsia="宋体" w:hAnsi="宋体" w:cs="宋体"/>
          <w:color w:val="000000"/>
          <w:sz w:val="27"/>
          <w:szCs w:val="27"/>
          <w:lang w:val="en-US" w:eastAsia="zh-CN" w:bidi="ar-SA"/>
        </w:rPr>
        <w:t>第</w:t>
      </w:r>
      <w:hyperlink r:id="rId50" w:anchor="tiao_200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、第</w:t>
      </w:r>
      <w:hyperlink r:id="rId51" w:anchor="tiao_200_kuan_1_xiang_6" w:history="1">
        <w:r>
          <w:rPr>
            <w:rStyle w:val="fulltext-wrapfulltexta"/>
            <w:rFonts w:ascii="宋体" w:eastAsia="宋体" w:hAnsi="宋体" w:cs="宋体"/>
            <w:sz w:val="27"/>
            <w:szCs w:val="27"/>
            <w:lang w:val="en-US" w:eastAsia="zh-CN" w:bidi="ar-SA"/>
          </w:rPr>
          <w:t>六项</w:t>
        </w:r>
      </w:hyperlink>
      <w:r>
        <w:rPr>
          <w:rFonts w:ascii="宋体" w:eastAsia="宋体" w:hAnsi="宋体" w:cs="宋体"/>
          <w:color w:val="000000"/>
          <w:sz w:val="27"/>
          <w:szCs w:val="27"/>
          <w:lang w:val="en-US" w:eastAsia="zh-CN" w:bidi="ar-SA"/>
        </w:rPr>
        <w:t>的规定，请求本院：撤销一、二审判决，改判驳回被申请人的诉讼请求，或者将本案发回重审。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被申请人提交意见称，（一）《</w:t>
      </w:r>
      <w:hyperlink r:id="rId52"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》（以下简称</w:t>
      </w:r>
      <w:hyperlink r:id="rId53"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54"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第</w:t>
      </w:r>
      <w:hyperlink r:id="rId55" w:anchor="tiao_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国家对外商投资实行准入前国民待遇加负面清单管理制度。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依照该款规定以及</w:t>
      </w:r>
      <w:hyperlink r:id="rId56"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57" w:anchor="tiao_24" w:history="1">
        <w:r>
          <w:rPr>
            <w:rStyle w:val="fulltext-wrapfulltexta"/>
            <w:rFonts w:ascii="宋体" w:eastAsia="宋体" w:hAnsi="宋体" w:cs="宋体"/>
            <w:sz w:val="27"/>
            <w:szCs w:val="27"/>
            <w:lang w:val="en-US" w:eastAsia="zh-CN" w:bidi="ar-SA"/>
          </w:rPr>
          <w:t>二十四条</w:t>
        </w:r>
      </w:hyperlink>
      <w:r>
        <w:rPr>
          <w:rFonts w:ascii="宋体" w:eastAsia="宋体" w:hAnsi="宋体" w:cs="宋体"/>
          <w:color w:val="000000"/>
          <w:sz w:val="27"/>
          <w:szCs w:val="27"/>
          <w:lang w:val="en-US" w:eastAsia="zh-CN" w:bidi="ar-SA"/>
        </w:rPr>
        <w:t>、第</w:t>
      </w:r>
      <w:hyperlink r:id="rId58"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59" w:anchor="tiao_29" w:history="1">
        <w:r>
          <w:rPr>
            <w:rStyle w:val="fulltext-wrapfulltexta"/>
            <w:rFonts w:ascii="宋体" w:eastAsia="宋体" w:hAnsi="宋体" w:cs="宋体"/>
            <w:sz w:val="27"/>
            <w:szCs w:val="27"/>
            <w:lang w:val="en-US" w:eastAsia="zh-CN" w:bidi="ar-SA"/>
          </w:rPr>
          <w:t>二十九条</w:t>
        </w:r>
      </w:hyperlink>
      <w:r>
        <w:rPr>
          <w:rFonts w:ascii="宋体" w:eastAsia="宋体" w:hAnsi="宋体" w:cs="宋体"/>
          <w:color w:val="000000"/>
          <w:sz w:val="27"/>
          <w:szCs w:val="27"/>
          <w:lang w:val="en-US" w:eastAsia="zh-CN" w:bidi="ar-SA"/>
        </w:rPr>
        <w:t>、第</w:t>
      </w:r>
      <w:hyperlink r:id="rId60" w:anchor="tiao_31" w:history="1">
        <w:r>
          <w:rPr>
            <w:rStyle w:val="fulltext-wrapfulltexta"/>
            <w:rFonts w:ascii="宋体" w:eastAsia="宋体" w:hAnsi="宋体" w:cs="宋体"/>
            <w:sz w:val="27"/>
            <w:szCs w:val="27"/>
            <w:lang w:val="en-US" w:eastAsia="zh-CN" w:bidi="ar-SA"/>
          </w:rPr>
          <w:t>三十一条</w:t>
        </w:r>
      </w:hyperlink>
      <w:r>
        <w:rPr>
          <w:rFonts w:ascii="宋体" w:eastAsia="宋体" w:hAnsi="宋体" w:cs="宋体"/>
          <w:color w:val="000000"/>
          <w:sz w:val="27"/>
          <w:szCs w:val="27"/>
          <w:lang w:val="en-US" w:eastAsia="zh-CN" w:bidi="ar-SA"/>
        </w:rPr>
        <w:t>的规定，对于</w:t>
      </w:r>
      <w:hyperlink r:id="rId61" w:history="1">
        <w:r>
          <w:rPr>
            <w:rStyle w:val="fulltext-wrapfulltexta"/>
            <w:rFonts w:ascii="宋体" w:eastAsia="宋体" w:hAnsi="宋体" w:cs="宋体"/>
            <w:sz w:val="27"/>
            <w:szCs w:val="27"/>
            <w:lang w:val="en-US" w:eastAsia="zh-CN" w:bidi="ar-SA"/>
          </w:rPr>
          <w:t>《规定（一）</w:t>
        </w:r>
      </w:hyperlink>
      <w:r>
        <w:rPr>
          <w:rFonts w:ascii="宋体" w:eastAsia="宋体" w:hAnsi="宋体" w:cs="宋体"/>
          <w:color w:val="000000"/>
          <w:sz w:val="27"/>
          <w:szCs w:val="27"/>
          <w:lang w:val="en-US" w:eastAsia="zh-CN" w:bidi="ar-SA"/>
        </w:rPr>
        <w:t>》第</w:t>
      </w:r>
      <w:hyperlink r:id="rId62"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63" w:anchor="tiao_14_kuan_1_xiang_3" w:history="1">
        <w:r>
          <w:rPr>
            <w:rStyle w:val="fulltext-wrapfulltexta"/>
            <w:rFonts w:ascii="宋体" w:eastAsia="宋体" w:hAnsi="宋体" w:cs="宋体"/>
            <w:sz w:val="27"/>
            <w:szCs w:val="27"/>
            <w:lang w:val="en-US" w:eastAsia="zh-CN" w:bidi="ar-SA"/>
          </w:rPr>
          <w:t>三项</w:t>
        </w:r>
      </w:hyperlink>
      <w:r>
        <w:rPr>
          <w:rFonts w:ascii="宋体" w:eastAsia="宋体" w:hAnsi="宋体" w:cs="宋体"/>
          <w:color w:val="000000"/>
          <w:sz w:val="27"/>
          <w:szCs w:val="27"/>
          <w:lang w:val="en-US" w:eastAsia="zh-CN" w:bidi="ar-SA"/>
        </w:rPr>
        <w:t>的规定，应当理解为并非所有外商投资企业隐名股东的显名变更登记均需要得到外商投资企业审批机关的同意。二审判决后，被申请人已经就案涉股权进行了登记，未被要求办理任何批准手续。（二）被申请人请求确认其持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的股份的股东身份并进行显名登记，无需征得正达公司的同意。</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在股东会议纪要形成时以及被申请人提起本案诉讼时，正达公司均非金鼎公司的股东；</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依照权利义务一并转让的原则，正达公司对其所受让股份的原持股股东的承诺，应当承担继续履行的义务；</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最高人民法院</w:t>
      </w:r>
      <w:hyperlink r:id="rId64"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2017</w:t>
        </w:r>
        <w:r>
          <w:rPr>
            <w:rStyle w:val="fulltext-wrapfulltexta"/>
            <w:rFonts w:ascii="宋体" w:eastAsia="宋体" w:hAnsi="宋体" w:cs="宋体"/>
            <w:sz w:val="27"/>
            <w:szCs w:val="27"/>
            <w:lang w:val="en-US" w:eastAsia="zh-CN" w:bidi="ar-SA"/>
          </w:rPr>
          <w:t>）最高法民申</w:t>
        </w:r>
        <w:r>
          <w:rPr>
            <w:rStyle w:val="fulltext-wrapfulltexta"/>
            <w:rFonts w:ascii="宋体" w:eastAsia="宋体" w:hAnsi="宋体" w:cs="宋体"/>
            <w:sz w:val="27"/>
            <w:szCs w:val="27"/>
            <w:lang w:val="en-US" w:eastAsia="zh-CN" w:bidi="ar-SA"/>
          </w:rPr>
          <w:t>3988</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民事裁定（以下简称</w:t>
      </w:r>
      <w:r>
        <w:rPr>
          <w:rFonts w:ascii="宋体" w:eastAsia="宋体" w:hAnsi="宋体" w:cs="宋体"/>
          <w:color w:val="000000"/>
          <w:sz w:val="27"/>
          <w:szCs w:val="27"/>
          <w:lang w:val="en-US" w:eastAsia="zh-CN" w:bidi="ar-SA"/>
        </w:rPr>
        <w:t>3988</w:t>
      </w:r>
      <w:r>
        <w:rPr>
          <w:rFonts w:ascii="宋体" w:eastAsia="宋体" w:hAnsi="宋体" w:cs="宋体"/>
          <w:color w:val="000000"/>
          <w:sz w:val="27"/>
          <w:szCs w:val="27"/>
          <w:lang w:val="en-US" w:eastAsia="zh-CN" w:bidi="ar-SA"/>
        </w:rPr>
        <w:t>号裁定）以及二审法院作出的</w:t>
      </w:r>
      <w:hyperlink r:id="rId65"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2016</w:t>
        </w:r>
        <w:r>
          <w:rPr>
            <w:rStyle w:val="fulltext-wrapfulltexta"/>
            <w:rFonts w:ascii="宋体" w:eastAsia="宋体" w:hAnsi="宋体" w:cs="宋体"/>
            <w:sz w:val="27"/>
            <w:szCs w:val="27"/>
            <w:lang w:val="en-US" w:eastAsia="zh-CN" w:bidi="ar-SA"/>
          </w:rPr>
          <w:t>）苏民终</w:t>
        </w:r>
        <w:r>
          <w:rPr>
            <w:rStyle w:val="fulltext-wrapfulltexta"/>
            <w:rFonts w:ascii="宋体" w:eastAsia="宋体" w:hAnsi="宋体" w:cs="宋体"/>
            <w:sz w:val="27"/>
            <w:szCs w:val="27"/>
            <w:lang w:val="en-US" w:eastAsia="zh-CN" w:bidi="ar-SA"/>
          </w:rPr>
          <w:t>1220</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民事判决（以下简称</w:t>
      </w:r>
      <w:r>
        <w:rPr>
          <w:rFonts w:ascii="宋体" w:eastAsia="宋体" w:hAnsi="宋体" w:cs="宋体"/>
          <w:color w:val="000000"/>
          <w:sz w:val="27"/>
          <w:szCs w:val="27"/>
          <w:lang w:val="en-US" w:eastAsia="zh-CN" w:bidi="ar-SA"/>
        </w:rPr>
        <w:t>1220</w:t>
      </w:r>
      <w:r>
        <w:rPr>
          <w:rFonts w:ascii="宋体" w:eastAsia="宋体" w:hAnsi="宋体" w:cs="宋体"/>
          <w:color w:val="000000"/>
          <w:sz w:val="27"/>
          <w:szCs w:val="27"/>
          <w:lang w:val="en-US" w:eastAsia="zh-CN" w:bidi="ar-SA"/>
        </w:rPr>
        <w:t>号判决）、</w:t>
      </w:r>
      <w:hyperlink r:id="rId66"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2016</w:t>
        </w:r>
        <w:r>
          <w:rPr>
            <w:rStyle w:val="fulltext-wrapfulltexta"/>
            <w:rFonts w:ascii="宋体" w:eastAsia="宋体" w:hAnsi="宋体" w:cs="宋体"/>
            <w:sz w:val="27"/>
            <w:szCs w:val="27"/>
            <w:lang w:val="en-US" w:eastAsia="zh-CN" w:bidi="ar-SA"/>
          </w:rPr>
          <w:t>）苏民终</w:t>
        </w:r>
        <w:r>
          <w:rPr>
            <w:rStyle w:val="fulltext-wrapfulltexta"/>
            <w:rFonts w:ascii="宋体" w:eastAsia="宋体" w:hAnsi="宋体" w:cs="宋体"/>
            <w:sz w:val="27"/>
            <w:szCs w:val="27"/>
            <w:lang w:val="en-US" w:eastAsia="zh-CN" w:bidi="ar-SA"/>
          </w:rPr>
          <w:t>1463</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民事判决（以下简称</w:t>
      </w:r>
      <w:r>
        <w:rPr>
          <w:rFonts w:ascii="宋体" w:eastAsia="宋体" w:hAnsi="宋体" w:cs="宋体"/>
          <w:color w:val="000000"/>
          <w:sz w:val="27"/>
          <w:szCs w:val="27"/>
          <w:lang w:val="en-US" w:eastAsia="zh-CN" w:bidi="ar-SA"/>
        </w:rPr>
        <w:t>1463</w:t>
      </w:r>
      <w:r>
        <w:rPr>
          <w:rFonts w:ascii="宋体" w:eastAsia="宋体" w:hAnsi="宋体" w:cs="宋体"/>
          <w:color w:val="000000"/>
          <w:sz w:val="27"/>
          <w:szCs w:val="27"/>
          <w:lang w:val="en-US" w:eastAsia="zh-CN" w:bidi="ar-SA"/>
        </w:rPr>
        <w:t>号判决）等生效裁判，均确认被申请人持有金鼎公司股份，正达公司对此是明知和认可的。（三）对案涉股份进行工商变更登记是金鼎公司持续承担的法定义务，不适用诉讼时效的相关规定。被申请人于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日通过案外人吴丽萍向叶宏滨发送联系函，要求其在</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日内履行变更登记义务，叶宏滨进行了回复，构成诉讼时效中断。（四）一、二审法院未判决正达公司承担民事责任，正达公司无权申请再审。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本院经审查，另查明以下与本案争议焦点有关的事实：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金鼎公司为有限责任公司（台港澳与境内合资），经营范围为房地产开发（凭资质经营）。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叶宏滨于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日出具《关于如皋市金鼎置业有限公司股权现状情况说明》，载明：</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月，登记股东为叶宏滨</w:t>
      </w:r>
      <w:r>
        <w:rPr>
          <w:rFonts w:ascii="宋体" w:eastAsia="宋体" w:hAnsi="宋体" w:cs="宋体"/>
          <w:color w:val="000000"/>
          <w:sz w:val="27"/>
          <w:szCs w:val="27"/>
          <w:lang w:val="en-US" w:eastAsia="zh-CN" w:bidi="ar-SA"/>
        </w:rPr>
        <w:t>99.9%</w:t>
      </w:r>
      <w:r>
        <w:rPr>
          <w:rFonts w:ascii="宋体" w:eastAsia="宋体" w:hAnsi="宋体" w:cs="宋体"/>
          <w:color w:val="000000"/>
          <w:sz w:val="27"/>
          <w:szCs w:val="27"/>
          <w:lang w:val="en-US" w:eastAsia="zh-CN" w:bidi="ar-SA"/>
        </w:rPr>
        <w:t>、大地公司</w:t>
      </w:r>
      <w:r>
        <w:rPr>
          <w:rFonts w:ascii="宋体" w:eastAsia="宋体" w:hAnsi="宋体" w:cs="宋体"/>
          <w:color w:val="000000"/>
          <w:sz w:val="27"/>
          <w:szCs w:val="27"/>
          <w:lang w:val="en-US" w:eastAsia="zh-CN" w:bidi="ar-SA"/>
        </w:rPr>
        <w:t>0.1%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日，登记股东为正达公司</w:t>
      </w:r>
      <w:r>
        <w:rPr>
          <w:rFonts w:ascii="宋体" w:eastAsia="宋体" w:hAnsi="宋体" w:cs="宋体"/>
          <w:color w:val="000000"/>
          <w:sz w:val="27"/>
          <w:szCs w:val="27"/>
          <w:lang w:val="en-US" w:eastAsia="zh-CN" w:bidi="ar-SA"/>
        </w:rPr>
        <w:t>66.7%</w:t>
      </w:r>
      <w:r>
        <w:rPr>
          <w:rFonts w:ascii="宋体" w:eastAsia="宋体" w:hAnsi="宋体" w:cs="宋体"/>
          <w:color w:val="000000"/>
          <w:sz w:val="27"/>
          <w:szCs w:val="27"/>
          <w:lang w:val="en-US" w:eastAsia="zh-CN" w:bidi="ar-SA"/>
        </w:rPr>
        <w:t>、叶宏滨</w:t>
      </w:r>
      <w:r>
        <w:rPr>
          <w:rFonts w:ascii="宋体" w:eastAsia="宋体" w:hAnsi="宋体" w:cs="宋体"/>
          <w:color w:val="000000"/>
          <w:sz w:val="27"/>
          <w:szCs w:val="27"/>
          <w:lang w:val="en-US" w:eastAsia="zh-CN" w:bidi="ar-SA"/>
        </w:rPr>
        <w:t>33.3%</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日，登记股东为正达公司</w:t>
      </w:r>
      <w:r>
        <w:rPr>
          <w:rFonts w:ascii="宋体" w:eastAsia="宋体" w:hAnsi="宋体" w:cs="宋体"/>
          <w:color w:val="000000"/>
          <w:sz w:val="27"/>
          <w:szCs w:val="27"/>
          <w:lang w:val="en-US" w:eastAsia="zh-CN" w:bidi="ar-SA"/>
        </w:rPr>
        <w:t>66.7%</w:t>
      </w:r>
      <w:r>
        <w:rPr>
          <w:rFonts w:ascii="宋体" w:eastAsia="宋体" w:hAnsi="宋体" w:cs="宋体"/>
          <w:color w:val="000000"/>
          <w:sz w:val="27"/>
          <w:szCs w:val="27"/>
          <w:lang w:val="en-US" w:eastAsia="zh-CN" w:bidi="ar-SA"/>
        </w:rPr>
        <w:t>、叶宏滨</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、被申请人</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。目前登记在被申请人名下的</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，是法院判决被申请人显名之后执行过户而来。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被申请人提交了其通过案外人吴丽萍的邮箱，于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向叶宏滨发送的《联系函》。该函载明：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股东会议纪要已明确了各实际股东的股权比例，且你作为显名股东明确同意办理工商登记变更，将登记在你名下的股份，根据该决议确认的比例转让给各实际所有人或实际所有人成立的全资公司，并在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被申请人还提交了金鼎公司、叶宏滨的回函。对于前述证据，金鼎公司、叶宏滨未在本院指定的期限内提出异议或提交相反证据。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认为，根据申请再审理由以及被申请人的意见，本案争议焦点是：（一）再审申请人有关案涉股权变更登记应当征得外商投资企业审批机关同意的主张是否成立？（二）再审申请人有关二审法院未考虑正达公司关于案涉股权变更登记的意见，存在错误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一、再审申请人有关案涉股权变更登记应当征得外商投资企业审批机关同意的主张是否成立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hyperlink r:id="rId6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68"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第</w:t>
      </w:r>
      <w:hyperlink r:id="rId69" w:anchor="tiao_4_kuan_1" w:history="1">
        <w:r>
          <w:rPr>
            <w:rStyle w:val="fulltext-wrapfulltexta"/>
            <w:rFonts w:ascii="宋体" w:eastAsia="宋体" w:hAnsi="宋体" w:cs="宋体"/>
            <w:sz w:val="27"/>
            <w:szCs w:val="27"/>
            <w:lang w:val="en-US" w:eastAsia="zh-CN" w:bidi="ar-SA"/>
          </w:rPr>
          <w:t>一</w:t>
        </w:r>
      </w:hyperlink>
      <w:r>
        <w:rPr>
          <w:rFonts w:ascii="宋体" w:eastAsia="宋体" w:hAnsi="宋体" w:cs="宋体"/>
          <w:color w:val="000000"/>
          <w:sz w:val="27"/>
          <w:szCs w:val="27"/>
          <w:lang w:val="en-US" w:eastAsia="zh-CN" w:bidi="ar-SA"/>
        </w:rPr>
        <w:t>、</w:t>
      </w:r>
      <w:hyperlink r:id="rId70" w:anchor="tiao_4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外商投资实行准入前国民待遇加负面清单管理制度。前款所称准入前国民待遇，是指在投资准入阶段给予外国投资者及其投资不低于本国投资者及其投资的待遇；所称负面清单，是指国家规定在特定领域对外商投资实施的准入特别管理措施。国家对负面清单之外的外商投资，给予国民待遇。</w:t>
      </w:r>
      <w:r>
        <w:rPr>
          <w:rFonts w:ascii="宋体" w:eastAsia="宋体" w:hAnsi="宋体" w:cs="宋体"/>
          <w:color w:val="000000"/>
          <w:sz w:val="27"/>
          <w:szCs w:val="27"/>
          <w:lang w:val="en-US" w:eastAsia="zh-CN" w:bidi="ar-SA"/>
        </w:rPr>
        <w:t>”</w:t>
      </w:r>
      <w:hyperlink r:id="rId7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72"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73" w:anchor="tiao_28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外商投资准入负面清单以外的领域，按照内外资一致的原则实施管理。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第三十一条规定：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w:t>
      </w:r>
      <w:r>
        <w:rPr>
          <w:rFonts w:ascii="宋体" w:eastAsia="宋体" w:hAnsi="宋体" w:cs="宋体"/>
          <w:color w:val="000000"/>
          <w:sz w:val="27"/>
          <w:szCs w:val="27"/>
          <w:lang w:val="en-US" w:eastAsia="zh-CN" w:bidi="ar-SA"/>
        </w:rPr>
        <w:lastRenderedPageBreak/>
        <w:t>商投资企业的组织形式、组织机构及其活动准则，适用《</w:t>
      </w:r>
      <w:hyperlink r:id="rId74"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w:t>
      </w:r>
      <w:hyperlink r:id="rId75" w:history="1">
        <w:r>
          <w:rPr>
            <w:rStyle w:val="fulltext-wrapfulltexta"/>
            <w:rFonts w:ascii="宋体" w:eastAsia="宋体" w:hAnsi="宋体" w:cs="宋体"/>
            <w:sz w:val="27"/>
            <w:szCs w:val="27"/>
            <w:lang w:val="en-US" w:eastAsia="zh-CN" w:bidi="ar-SA"/>
          </w:rPr>
          <w:t>中华人民共和国合伙企业法</w:t>
        </w:r>
      </w:hyperlink>
      <w:r>
        <w:rPr>
          <w:rFonts w:ascii="宋体" w:eastAsia="宋体" w:hAnsi="宋体" w:cs="宋体"/>
          <w:color w:val="000000"/>
          <w:sz w:val="27"/>
          <w:szCs w:val="27"/>
          <w:lang w:val="en-US" w:eastAsia="zh-CN" w:bidi="ar-SA"/>
        </w:rPr>
        <w:t>》等法律的规定。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依照《</w:t>
      </w:r>
      <w:hyperlink r:id="rId76" w:history="1">
        <w:r>
          <w:rPr>
            <w:rStyle w:val="fulltext-wrapfulltexta"/>
            <w:rFonts w:ascii="宋体" w:eastAsia="宋体" w:hAnsi="宋体" w:cs="宋体"/>
            <w:sz w:val="27"/>
            <w:szCs w:val="27"/>
            <w:lang w:val="en-US" w:eastAsia="zh-CN" w:bidi="ar-SA"/>
          </w:rPr>
          <w:t>中华人民共和国外商投资法实施条例</w:t>
        </w:r>
      </w:hyperlink>
      <w:r>
        <w:rPr>
          <w:rFonts w:ascii="宋体" w:eastAsia="宋体" w:hAnsi="宋体" w:cs="宋体"/>
          <w:color w:val="000000"/>
          <w:sz w:val="27"/>
          <w:szCs w:val="27"/>
          <w:lang w:val="en-US" w:eastAsia="zh-CN" w:bidi="ar-SA"/>
        </w:rPr>
        <w:t>》（以下简称</w:t>
      </w:r>
      <w:hyperlink r:id="rId77"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）第</w:t>
      </w:r>
      <w:hyperlink r:id="rId78" w:anchor="tiao_48" w:history="1">
        <w:r>
          <w:rPr>
            <w:rStyle w:val="fulltext-wrapfulltexta"/>
            <w:rFonts w:ascii="宋体" w:eastAsia="宋体" w:hAnsi="宋体" w:cs="宋体"/>
            <w:sz w:val="27"/>
            <w:szCs w:val="27"/>
            <w:lang w:val="en-US" w:eastAsia="zh-CN" w:bidi="ar-SA"/>
          </w:rPr>
          <w:t>四十八条</w:t>
        </w:r>
      </w:hyperlink>
      <w:r>
        <w:rPr>
          <w:rFonts w:ascii="宋体" w:eastAsia="宋体" w:hAnsi="宋体" w:cs="宋体"/>
          <w:color w:val="000000"/>
          <w:sz w:val="27"/>
          <w:szCs w:val="27"/>
          <w:lang w:val="en-US" w:eastAsia="zh-CN" w:bidi="ar-SA"/>
        </w:rPr>
        <w:t>第</w:t>
      </w:r>
      <w:hyperlink r:id="rId79" w:anchor="tiao_48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的规定，香港特别行政区投资者在内地投资，参照</w:t>
      </w:r>
      <w:hyperlink r:id="rId80"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和</w:t>
      </w:r>
      <w:hyperlink r:id="rId81"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执行；法律、行政法规或者国务院另有规定的，从其规定。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本案中，案涉股东会议纪要确认被申请人享有金鼎公司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的股份，明确了案涉股权变更登记应在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日前完成，当时施行的《</w:t>
      </w:r>
      <w:hyperlink r:id="rId82" w:history="1">
        <w:r>
          <w:rPr>
            <w:rStyle w:val="fulltext-wrapfulltexta"/>
            <w:rFonts w:ascii="宋体" w:eastAsia="宋体" w:hAnsi="宋体" w:cs="宋体"/>
            <w:sz w:val="27"/>
            <w:szCs w:val="27"/>
            <w:lang w:val="en-US" w:eastAsia="zh-CN" w:bidi="ar-SA"/>
          </w:rPr>
          <w:t>中华人民共和国中外合资经营企业法</w:t>
        </w:r>
      </w:hyperlink>
      <w:r>
        <w:rPr>
          <w:rFonts w:ascii="宋体" w:eastAsia="宋体" w:hAnsi="宋体" w:cs="宋体"/>
          <w:color w:val="000000"/>
          <w:sz w:val="27"/>
          <w:szCs w:val="27"/>
          <w:lang w:val="en-US" w:eastAsia="zh-CN" w:bidi="ar-SA"/>
        </w:rPr>
        <w:t>》（以下简称</w:t>
      </w:r>
      <w:hyperlink r:id="rId83"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）第</w:t>
      </w:r>
      <w:hyperlink r:id="rId84" w:anchor="tiao_3" w:history="1">
        <w:r>
          <w:rPr>
            <w:rStyle w:val="fulltext-wrapfulltexta"/>
            <w:rFonts w:ascii="宋体" w:eastAsia="宋体" w:hAnsi="宋体" w:cs="宋体"/>
            <w:sz w:val="27"/>
            <w:szCs w:val="27"/>
            <w:lang w:val="en-US" w:eastAsia="zh-CN" w:bidi="ar-SA"/>
          </w:rPr>
          <w:t>三条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合营各方签订的合营协议、合同、章程，应报国家对外经济贸易主管部门审查批准。</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年修正的</w:t>
      </w:r>
      <w:hyperlink r:id="rId85"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第</w:t>
      </w:r>
      <w:hyperlink r:id="rId86" w:anchor="tiao_15" w:history="1">
        <w:r>
          <w:rPr>
            <w:rStyle w:val="fulltext-wrapfulltexta"/>
            <w:rFonts w:ascii="宋体" w:eastAsia="宋体" w:hAnsi="宋体" w:cs="宋体"/>
            <w:sz w:val="27"/>
            <w:szCs w:val="27"/>
            <w:lang w:val="en-US" w:eastAsia="zh-CN" w:bidi="ar-SA"/>
          </w:rPr>
          <w:t>十五条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举办合营企业不涉及国家规定实施准入特别管理措施的，对</w:t>
      </w:r>
      <w:hyperlink r:id="rId87" w:history="1">
        <w:r>
          <w:rPr>
            <w:rStyle w:val="fulltext-wrapfulltexta"/>
            <w:rFonts w:ascii="宋体" w:eastAsia="宋体" w:hAnsi="宋体" w:cs="宋体"/>
            <w:sz w:val="27"/>
            <w:szCs w:val="27"/>
            <w:lang w:val="en-US" w:eastAsia="zh-CN" w:bidi="ar-SA"/>
          </w:rPr>
          <w:t>本法</w:t>
        </w:r>
      </w:hyperlink>
      <w:r>
        <w:rPr>
          <w:rFonts w:ascii="宋体" w:eastAsia="宋体" w:hAnsi="宋体" w:cs="宋体"/>
          <w:color w:val="000000"/>
          <w:sz w:val="27"/>
          <w:szCs w:val="27"/>
          <w:lang w:val="en-US" w:eastAsia="zh-CN" w:bidi="ar-SA"/>
        </w:rPr>
        <w:t>第三条、第十三条、第十四条规定的审批事项，适用备案管理。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二审法院审理期间，</w:t>
      </w:r>
      <w:hyperlink r:id="rId88"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hyperlink r:id="rId89"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，以及商务部、国家市场监督管理总局制定的《</w:t>
      </w:r>
      <w:hyperlink r:id="rId90" w:history="1">
        <w:r>
          <w:rPr>
            <w:rStyle w:val="fulltext-wrapfulltexta"/>
            <w:rFonts w:ascii="宋体" w:eastAsia="宋体" w:hAnsi="宋体" w:cs="宋体"/>
            <w:sz w:val="27"/>
            <w:szCs w:val="27"/>
            <w:lang w:val="en-US" w:eastAsia="zh-CN" w:bidi="ar-SA"/>
          </w:rPr>
          <w:t>外商投资信息报告办法</w:t>
        </w:r>
      </w:hyperlink>
      <w:r>
        <w:rPr>
          <w:rFonts w:ascii="宋体" w:eastAsia="宋体" w:hAnsi="宋体" w:cs="宋体"/>
          <w:color w:val="000000"/>
          <w:sz w:val="27"/>
          <w:szCs w:val="27"/>
          <w:lang w:val="en-US" w:eastAsia="zh-CN" w:bidi="ar-SA"/>
        </w:rPr>
        <w:t>》于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日起施行，对外商投资实行准入前国民待遇加负面清单管理以及外商投资信息报告等制度。关于负面清单以外的领域，</w:t>
      </w:r>
      <w:hyperlink r:id="rId9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92"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规定了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给予国民待遇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93"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94" w:anchor="tiao_28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按照内外资一致的原则实施管理。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hyperlink r:id="rId9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hyperlink r:id="rId96"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施行后，</w:t>
      </w:r>
      <w:hyperlink r:id="rId97"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w:t>
      </w:r>
      <w:hyperlink r:id="rId98" w:history="1">
        <w:r>
          <w:rPr>
            <w:rStyle w:val="fulltext-wrapfulltexta"/>
            <w:rFonts w:ascii="宋体" w:eastAsia="宋体" w:hAnsi="宋体" w:cs="宋体"/>
            <w:sz w:val="27"/>
            <w:szCs w:val="27"/>
            <w:lang w:val="en-US" w:eastAsia="zh-CN" w:bidi="ar-SA"/>
          </w:rPr>
          <w:t>中华人民共和国外资企业法</w:t>
        </w:r>
      </w:hyperlink>
      <w:r>
        <w:rPr>
          <w:rFonts w:ascii="宋体" w:eastAsia="宋体" w:hAnsi="宋体" w:cs="宋体"/>
          <w:color w:val="000000"/>
          <w:sz w:val="27"/>
          <w:szCs w:val="27"/>
          <w:lang w:val="en-US" w:eastAsia="zh-CN" w:bidi="ar-SA"/>
        </w:rPr>
        <w:t>》《</w:t>
      </w:r>
      <w:hyperlink r:id="rId99" w:history="1">
        <w:r>
          <w:rPr>
            <w:rStyle w:val="fulltext-wrapfulltexta"/>
            <w:rFonts w:ascii="宋体" w:eastAsia="宋体" w:hAnsi="宋体" w:cs="宋体"/>
            <w:sz w:val="27"/>
            <w:szCs w:val="27"/>
            <w:lang w:val="en-US" w:eastAsia="zh-CN" w:bidi="ar-SA"/>
          </w:rPr>
          <w:t>中华人民共和国中外合作经营企业法</w:t>
        </w:r>
      </w:hyperlink>
      <w:r>
        <w:rPr>
          <w:rFonts w:ascii="宋体" w:eastAsia="宋体" w:hAnsi="宋体" w:cs="宋体"/>
          <w:color w:val="000000"/>
          <w:sz w:val="27"/>
          <w:szCs w:val="27"/>
          <w:lang w:val="en-US" w:eastAsia="zh-CN" w:bidi="ar-SA"/>
        </w:rPr>
        <w:t>》及其实施条例或实施细则同时废止。这些已被废止的法律、行政法规中有关审批、备案管理的制度不再实行。因此，虽然相关法律行为发生在</w:t>
      </w:r>
      <w:hyperlink r:id="rId100"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实施之前，但是涉争外商投资企业的股权变更登记不属于</w:t>
      </w:r>
      <w:hyperlink r:id="rId10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102"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所称的负面清单的管理范围的，人民法院应当依照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给予国民待遇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内外资一致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的原则，对当事人有</w:t>
      </w:r>
      <w:r>
        <w:rPr>
          <w:rFonts w:ascii="宋体" w:eastAsia="宋体" w:hAnsi="宋体" w:cs="宋体"/>
          <w:color w:val="000000"/>
          <w:sz w:val="27"/>
          <w:szCs w:val="27"/>
          <w:lang w:val="en-US" w:eastAsia="zh-CN" w:bidi="ar-SA"/>
        </w:rPr>
        <w:lastRenderedPageBreak/>
        <w:t>关应当征得外商投资企业审批机关同意的主张不予支持。本案中，金鼎公司的经营范围为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房地产开发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，案涉股权变更登记不属于负面清单的管理范围，因此，再审申请人的相关申请再审理由不能成立。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二、再审申请人有关二审法院未考虑正达公司关于案涉股权变更登记的意见，存在错误的主张是否成立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hyperlink r:id="rId103" w:history="1">
        <w:r>
          <w:rPr>
            <w:rStyle w:val="fulltext-wrapfulltexta"/>
            <w:rFonts w:ascii="宋体" w:eastAsia="宋体" w:hAnsi="宋体" w:cs="宋体"/>
            <w:sz w:val="27"/>
            <w:szCs w:val="27"/>
            <w:lang w:val="en-US" w:eastAsia="zh-CN" w:bidi="ar-SA"/>
          </w:rPr>
          <w:t>最高人民法院关于适用〈中华人民共和国公司法〉若干问题的规定（三）</w:t>
        </w:r>
      </w:hyperlink>
      <w:r>
        <w:rPr>
          <w:rFonts w:ascii="宋体" w:eastAsia="宋体" w:hAnsi="宋体" w:cs="宋体"/>
          <w:color w:val="000000"/>
          <w:sz w:val="27"/>
          <w:szCs w:val="27"/>
          <w:lang w:val="en-US" w:eastAsia="zh-CN" w:bidi="ar-SA"/>
        </w:rPr>
        <w:t>》第</w:t>
      </w:r>
      <w:hyperlink r:id="rId104" w:anchor="tiao_22" w:history="1">
        <w:r>
          <w:rPr>
            <w:rStyle w:val="fulltext-wrapfulltexta"/>
            <w:rFonts w:ascii="宋体" w:eastAsia="宋体" w:hAnsi="宋体" w:cs="宋体"/>
            <w:sz w:val="27"/>
            <w:szCs w:val="27"/>
            <w:lang w:val="en-US" w:eastAsia="zh-CN" w:bidi="ar-SA"/>
          </w:rPr>
          <w:t>二十二条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之间对股权归属发生争议，一方请求人民法院确认其享有股权的，应当证明以下事实之一：（一）已经依法向公司出资或者认缴出资，且不违反法律法规强制性规定；（二）已经受让或者以其他形式继受公司股权，且不违反法律法规强制性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第二十三条规定：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当事人依法履行出资义务或者依法继受取得股权后，公司未根据</w:t>
      </w:r>
      <w:hyperlink r:id="rId105"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第三十二条、第三十三条的规定签发出资证明书、记载于股东名册并办理公司登记机关登记，当事人请求公司履行上述义务的，人民法院应予支持。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本案中，根据股东会议纪要、</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日的《股权确认书》等证据，能够证明被申请人已实际投资并享有金鼎公司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的股份。被申请人受叶宏滨的委托主持股东会议，与其他股东共同推荐董事，已实际参与公司经营管理活动，行使股东权利。被申请人于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26</w:t>
      </w:r>
      <w:r>
        <w:rPr>
          <w:rFonts w:ascii="宋体" w:eastAsia="宋体" w:hAnsi="宋体" w:cs="宋体"/>
          <w:color w:val="000000"/>
          <w:sz w:val="27"/>
          <w:szCs w:val="27"/>
          <w:lang w:val="en-US" w:eastAsia="zh-CN" w:bidi="ar-SA"/>
        </w:rPr>
        <w:t>日提起本案诉讼，正达公司于</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日受让叶宏滨名下的金鼎公司股份，根据已经生效的</w:t>
      </w:r>
      <w:r>
        <w:rPr>
          <w:rFonts w:ascii="宋体" w:eastAsia="宋体" w:hAnsi="宋体" w:cs="宋体"/>
          <w:color w:val="000000"/>
          <w:sz w:val="27"/>
          <w:szCs w:val="27"/>
          <w:lang w:val="en-US" w:eastAsia="zh-CN" w:bidi="ar-SA"/>
        </w:rPr>
        <w:t>3988</w:t>
      </w:r>
      <w:r>
        <w:rPr>
          <w:rFonts w:ascii="宋体" w:eastAsia="宋体" w:hAnsi="宋体" w:cs="宋体"/>
          <w:color w:val="000000"/>
          <w:sz w:val="27"/>
          <w:szCs w:val="27"/>
          <w:lang w:val="en-US" w:eastAsia="zh-CN" w:bidi="ar-SA"/>
        </w:rPr>
        <w:t>号裁定、</w:t>
      </w:r>
      <w:r>
        <w:rPr>
          <w:rFonts w:ascii="宋体" w:eastAsia="宋体" w:hAnsi="宋体" w:cs="宋体"/>
          <w:color w:val="000000"/>
          <w:sz w:val="27"/>
          <w:szCs w:val="27"/>
          <w:lang w:val="en-US" w:eastAsia="zh-CN" w:bidi="ar-SA"/>
        </w:rPr>
        <w:t>1220</w:t>
      </w:r>
      <w:r>
        <w:rPr>
          <w:rFonts w:ascii="宋体" w:eastAsia="宋体" w:hAnsi="宋体" w:cs="宋体"/>
          <w:color w:val="000000"/>
          <w:sz w:val="27"/>
          <w:szCs w:val="27"/>
          <w:lang w:val="en-US" w:eastAsia="zh-CN" w:bidi="ar-SA"/>
        </w:rPr>
        <w:t>号判决、</w:t>
      </w:r>
      <w:r>
        <w:rPr>
          <w:rFonts w:ascii="宋体" w:eastAsia="宋体" w:hAnsi="宋体" w:cs="宋体"/>
          <w:color w:val="000000"/>
          <w:sz w:val="27"/>
          <w:szCs w:val="27"/>
          <w:lang w:val="en-US" w:eastAsia="zh-CN" w:bidi="ar-SA"/>
        </w:rPr>
        <w:t>1463</w:t>
      </w:r>
      <w:r>
        <w:rPr>
          <w:rFonts w:ascii="宋体" w:eastAsia="宋体" w:hAnsi="宋体" w:cs="宋体"/>
          <w:color w:val="000000"/>
          <w:sz w:val="27"/>
          <w:szCs w:val="27"/>
          <w:lang w:val="en-US" w:eastAsia="zh-CN" w:bidi="ar-SA"/>
        </w:rPr>
        <w:t>号判决的认定，再审申请人有关二审法院未考虑正达公司意见，存在错误的主张不能成立。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被申请人通过案外人吴丽萍的邮箱发送联系函，要求叶宏滨和金鼎公司依照股东会议纪要办理案涉股权变更登记，再审申请人有关超出诉讼时效的申请再审理由不能成立。正达公司在一审中是没有独立请求权的第三人，案涉股权变更登记不涉及正达公司享有的股权，一审判决也没有判令其承担法律责</w:t>
      </w:r>
      <w:r>
        <w:rPr>
          <w:rFonts w:ascii="宋体" w:eastAsia="宋体" w:hAnsi="宋体" w:cs="宋体"/>
          <w:color w:val="000000"/>
          <w:sz w:val="27"/>
          <w:szCs w:val="27"/>
          <w:lang w:val="en-US" w:eastAsia="zh-CN" w:bidi="ar-SA"/>
        </w:rPr>
        <w:lastRenderedPageBreak/>
        <w:t>任，正达公司有关其有权提起上诉的申请再审理由也不能成立。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综上所述，金鼎公司、正达公司的再审申请不符合《</w:t>
      </w:r>
      <w:hyperlink r:id="rId106"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107" w:anchor="tiao_200" w:history="1">
        <w:r>
          <w:rPr>
            <w:rStyle w:val="fulltext-wrapfulltexta"/>
            <w:rFonts w:ascii="宋体" w:eastAsia="宋体" w:hAnsi="宋体" w:cs="宋体"/>
            <w:sz w:val="27"/>
            <w:szCs w:val="27"/>
            <w:lang w:val="en-US" w:eastAsia="zh-CN" w:bidi="ar-SA"/>
          </w:rPr>
          <w:t>二百条</w:t>
        </w:r>
      </w:hyperlink>
      <w:r>
        <w:rPr>
          <w:rFonts w:ascii="宋体" w:eastAsia="宋体" w:hAnsi="宋体" w:cs="宋体"/>
          <w:color w:val="000000"/>
          <w:sz w:val="27"/>
          <w:szCs w:val="27"/>
          <w:lang w:val="en-US" w:eastAsia="zh-CN" w:bidi="ar-SA"/>
        </w:rPr>
        <w:t>规定的情形。依照《</w:t>
      </w:r>
      <w:hyperlink r:id="rId10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109" w:anchor="tiao_204" w:history="1">
        <w:r>
          <w:rPr>
            <w:rStyle w:val="fulltext-wrapfulltexta"/>
            <w:rFonts w:ascii="宋体" w:eastAsia="宋体" w:hAnsi="宋体" w:cs="宋体"/>
            <w:sz w:val="27"/>
            <w:szCs w:val="27"/>
            <w:lang w:val="en-US" w:eastAsia="zh-CN" w:bidi="ar-SA"/>
          </w:rPr>
          <w:t>二百零四条</w:t>
        </w:r>
      </w:hyperlink>
      <w:r>
        <w:rPr>
          <w:rFonts w:ascii="宋体" w:eastAsia="宋体" w:hAnsi="宋体" w:cs="宋体"/>
          <w:color w:val="000000"/>
          <w:sz w:val="27"/>
          <w:szCs w:val="27"/>
          <w:lang w:val="en-US" w:eastAsia="zh-CN" w:bidi="ar-SA"/>
        </w:rPr>
        <w:t>第</w:t>
      </w:r>
      <w:hyperlink r:id="rId110" w:anchor="tiao_20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hyperlink r:id="rId111" w:history="1">
        <w:r>
          <w:rPr>
            <w:rStyle w:val="fulltext-wrapfulltexta"/>
            <w:rFonts w:ascii="宋体" w:eastAsia="宋体" w:hAnsi="宋体" w:cs="宋体"/>
            <w:sz w:val="27"/>
            <w:szCs w:val="27"/>
            <w:lang w:val="en-US" w:eastAsia="zh-CN" w:bidi="ar-SA"/>
          </w:rPr>
          <w:t>最高人民法院关于适用〈中华人民共和国民事诉讼法〉的解释</w:t>
        </w:r>
      </w:hyperlink>
      <w:r>
        <w:rPr>
          <w:rFonts w:ascii="宋体" w:eastAsia="宋体" w:hAnsi="宋体" w:cs="宋体"/>
          <w:color w:val="000000"/>
          <w:sz w:val="27"/>
          <w:szCs w:val="27"/>
          <w:lang w:val="en-US" w:eastAsia="zh-CN" w:bidi="ar-SA"/>
        </w:rPr>
        <w:t>》第</w:t>
      </w:r>
      <w:hyperlink r:id="rId112" w:anchor="tiao_395" w:history="1">
        <w:r>
          <w:rPr>
            <w:rStyle w:val="fulltext-wrapfulltexta"/>
            <w:rFonts w:ascii="宋体" w:eastAsia="宋体" w:hAnsi="宋体" w:cs="宋体"/>
            <w:sz w:val="27"/>
            <w:szCs w:val="27"/>
            <w:lang w:val="en-US" w:eastAsia="zh-CN" w:bidi="ar-SA"/>
          </w:rPr>
          <w:t>三百九十五条</w:t>
        </w:r>
      </w:hyperlink>
      <w:r>
        <w:rPr>
          <w:rFonts w:ascii="宋体" w:eastAsia="宋体" w:hAnsi="宋体" w:cs="宋体"/>
          <w:color w:val="000000"/>
          <w:sz w:val="27"/>
          <w:szCs w:val="27"/>
          <w:lang w:val="en-US" w:eastAsia="zh-CN" w:bidi="ar-SA"/>
        </w:rPr>
        <w:t>第</w:t>
      </w:r>
      <w:hyperlink r:id="rId113" w:anchor="tiao_395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规定，裁定如下：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驳回如皋市金鼎置业有限公司、南通正达房地产开发有限公司的再审申请。</w:t>
      </w:r>
    </w:p>
    <w:p w:rsidR="00AB2DD9" w:rsidRDefault="00AB2DD9">
      <w:pPr>
        <w:pStyle w:val="div"/>
        <w:spacing w:line="600" w:lineRule="atLeast"/>
        <w:ind w:left="375" w:right="375"/>
        <w:rPr>
          <w:rFonts w:ascii="宋体" w:eastAsia="宋体" w:hAnsi="宋体" w:cs="宋体"/>
          <w:color w:val="000000"/>
          <w:sz w:val="27"/>
          <w:szCs w:val="27"/>
          <w:lang w:val="en-US" w:eastAsia="zh-CN" w:bidi="ar-SA"/>
        </w:rPr>
      </w:pPr>
    </w:p>
    <w:p w:rsidR="00AB2DD9" w:rsidRDefault="00AB2DD9">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审判长　　杜微科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薛贵忠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汪　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二〇二一年六月三十日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法官助理　　缪　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　　李　璐</w:t>
      </w:r>
    </w:p>
    <w:p w:rsidR="00AB2DD9" w:rsidRDefault="00AB2DD9">
      <w:pPr>
        <w:ind w:left="375" w:right="375"/>
        <w:rPr>
          <w:rFonts w:ascii="Arial" w:eastAsia="Arial" w:hAnsi="Arial" w:cs="Arial"/>
          <w:lang w:val="en-US" w:eastAsia="zh-CN" w:bidi="ar-SA"/>
        </w:rPr>
      </w:pPr>
      <w:r>
        <w:rPr>
          <w:rFonts w:ascii="Arial" w:eastAsia="Arial" w:hAnsi="Arial" w:cs="Arial"/>
          <w:lang w:val="en-US" w:eastAsia="zh-CN" w:bidi="ar-SA"/>
        </w:rPr>
        <w:br/>
      </w:r>
    </w:p>
    <w:p w:rsidR="00AB2DD9" w:rsidRDefault="00AB2DD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AB2DD9" w:rsidRDefault="00AB2DD9">
      <w:pPr>
        <w:pStyle w:val="lenovodivulli"/>
        <w:tabs>
          <w:tab w:val="left" w:pos="825"/>
        </w:tabs>
        <w:ind w:left="375" w:right="375"/>
        <w:textAlignment w:val="baseline"/>
        <w:rPr>
          <w:lang w:val="en-US" w:eastAsia="zh-CN" w:bidi="ar-SA"/>
        </w:rPr>
      </w:pPr>
      <w:hyperlink r:id="rId114" w:tgtFrame="_blank" w:history="1">
        <w:r>
          <w:rPr>
            <w:rStyle w:val="lenovodivullia"/>
            <w:lang w:val="en-US" w:eastAsia="zh-CN" w:bidi="ar-SA"/>
          </w:rPr>
          <w:t>中华人民共和国外资企业法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15" w:anchor="tiao_15" w:tgtFrame="_blank" w:history="1">
        <w:r>
          <w:rPr>
            <w:rStyle w:val="lenovodivullia"/>
            <w:lang w:val="en-US" w:eastAsia="zh-CN" w:bidi="ar-SA"/>
          </w:rPr>
          <w:t>中华人民共和国中外合资经营企业法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15</w:t>
        </w:r>
        <w:r>
          <w:rPr>
            <w:rStyle w:val="lenovodivullia"/>
            <w:lang w:val="en-US" w:eastAsia="zh-CN" w:bidi="ar-SA"/>
          </w:rPr>
          <w:t>条</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16" w:anchor="tiao_3" w:tgtFrame="_blank" w:history="1">
        <w:r>
          <w:rPr>
            <w:rStyle w:val="lenovodivullia"/>
            <w:lang w:val="en-US" w:eastAsia="zh-CN" w:bidi="ar-SA"/>
          </w:rPr>
          <w:t>中华人民共和国中外合资经营企业法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w:t>
        </w:r>
        <w:r>
          <w:rPr>
            <w:rStyle w:val="lenovodivullia"/>
            <w:lang w:val="en-US" w:eastAsia="zh-CN" w:bidi="ar-SA"/>
          </w:rPr>
          <w:t>条</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17" w:anchor="tiao_200_kuan_1_xiang_2"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2</w:t>
        </w:r>
        <w:r>
          <w:rPr>
            <w:rStyle w:val="lenovodivullia"/>
            <w:lang w:val="en-US" w:eastAsia="zh-CN" w:bidi="ar-SA"/>
          </w:rPr>
          <w:t>项</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18" w:anchor="tiao_200_kuan_1_xiang_6"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6</w:t>
        </w:r>
        <w:r>
          <w:rPr>
            <w:rStyle w:val="lenovodivullia"/>
            <w:lang w:val="en-US" w:eastAsia="zh-CN" w:bidi="ar-SA"/>
          </w:rPr>
          <w:t>项</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19" w:anchor="tiao_20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0" w:tgtFrame="_blank" w:history="1">
        <w:r>
          <w:rPr>
            <w:rStyle w:val="lenovodivullia"/>
            <w:lang w:val="en-US" w:eastAsia="zh-CN" w:bidi="ar-SA"/>
          </w:rPr>
          <w:t>中华人民共和国中外合作经营企业法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1"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hyperlink>
    </w:p>
    <w:p w:rsidR="00AB2DD9" w:rsidRDefault="00AB2DD9">
      <w:pPr>
        <w:pStyle w:val="div"/>
        <w:ind w:left="375" w:right="375" w:firstLine="225"/>
        <w:rPr>
          <w:rFonts w:ascii="宋体" w:eastAsia="宋体" w:hAnsi="宋体" w:cs="宋体"/>
          <w:sz w:val="23"/>
          <w:szCs w:val="23"/>
          <w:lang w:val="en-US" w:eastAsia="zh-CN" w:bidi="ar-SA"/>
        </w:rPr>
      </w:pPr>
      <w:hyperlink r:id="rId122" w:tgtFrame="_blank" w:history="1">
        <w:r>
          <w:rPr>
            <w:rStyle w:val="a3"/>
            <w:rFonts w:ascii="宋体" w:eastAsia="宋体" w:hAnsi="宋体" w:cs="宋体"/>
            <w:sz w:val="23"/>
            <w:szCs w:val="23"/>
            <w:lang w:val="en-US" w:eastAsia="zh-CN" w:bidi="ar-SA"/>
          </w:rPr>
          <w:t>更多</w:t>
        </w:r>
      </w:hyperlink>
    </w:p>
    <w:p w:rsidR="00AB2DD9" w:rsidRDefault="00AB2DD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AB2DD9" w:rsidRDefault="00AB2DD9">
      <w:pPr>
        <w:pStyle w:val="lenovodivulli"/>
        <w:tabs>
          <w:tab w:val="left" w:pos="825"/>
        </w:tabs>
        <w:ind w:left="375" w:right="375"/>
        <w:textAlignment w:val="baseline"/>
        <w:rPr>
          <w:lang w:val="en-US" w:eastAsia="zh-CN" w:bidi="ar-SA"/>
        </w:rPr>
      </w:pPr>
      <w:hyperlink r:id="rId123" w:tgtFrame="_blank" w:history="1">
        <w:r>
          <w:rPr>
            <w:rStyle w:val="lenovodivullia"/>
            <w:lang w:val="en-US" w:eastAsia="zh-CN" w:bidi="ar-SA"/>
          </w:rPr>
          <w:t>泰国华彬国际集团公司诉红牛维他命饮料</w:t>
        </w:r>
        <w:r>
          <w:rPr>
            <w:rStyle w:val="lenovodivullia"/>
            <w:lang w:val="en-US" w:eastAsia="zh-CN" w:bidi="ar-SA"/>
          </w:rPr>
          <w:t>(</w:t>
        </w:r>
        <w:r>
          <w:rPr>
            <w:rStyle w:val="lenovodivullia"/>
            <w:lang w:val="en-US" w:eastAsia="zh-CN" w:bidi="ar-SA"/>
          </w:rPr>
          <w:t>泰国</w:t>
        </w:r>
        <w:r>
          <w:rPr>
            <w:rStyle w:val="lenovodivullia"/>
            <w:lang w:val="en-US" w:eastAsia="zh-CN" w:bidi="ar-SA"/>
          </w:rPr>
          <w:t>)</w:t>
        </w:r>
        <w:r>
          <w:rPr>
            <w:rStyle w:val="lenovodivullia"/>
            <w:lang w:val="en-US" w:eastAsia="zh-CN" w:bidi="ar-SA"/>
          </w:rPr>
          <w:t>有限公司等股东资格确认纠纷案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4" w:tgtFrame="_blank" w:history="1">
        <w:r>
          <w:rPr>
            <w:rStyle w:val="lenovodivullia"/>
            <w:lang w:val="en-US" w:eastAsia="zh-CN" w:bidi="ar-SA"/>
          </w:rPr>
          <w:t>天津国华鑫商贸有限公司与天津华通投资发展有限公司、原审第三人天津学熙能源科技服务有限公司等股东资格确认纠纷一案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5" w:tgtFrame="_blank" w:history="1">
        <w:r>
          <w:rPr>
            <w:rStyle w:val="lenovodivullia"/>
            <w:lang w:val="en-US" w:eastAsia="zh-CN" w:bidi="ar-SA"/>
          </w:rPr>
          <w:t>昆明哦客商贸有限公司、熊志民与李长友等股东资格确认纠纷案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6" w:tgtFrame="_blank" w:history="1">
        <w:r>
          <w:rPr>
            <w:rStyle w:val="lenovodivullia"/>
            <w:lang w:val="en-US" w:eastAsia="zh-CN" w:bidi="ar-SA"/>
          </w:rPr>
          <w:t>程某某</w:t>
        </w:r>
        <w:r>
          <w:rPr>
            <w:rStyle w:val="lenovodivullia"/>
            <w:lang w:val="en-US" w:eastAsia="zh-CN" w:bidi="ar-SA"/>
          </w:rPr>
          <w:t>(CarsonJunpingCheng)</w:t>
        </w:r>
        <w:r>
          <w:rPr>
            <w:rStyle w:val="lenovodivullia"/>
            <w:lang w:val="en-US" w:eastAsia="zh-CN" w:bidi="ar-SA"/>
          </w:rPr>
          <w:t>诉上海纽鑫达进出口有限公司、第三人张某、程某股东资格确认纠纷案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7" w:tgtFrame="_blank" w:history="1">
        <w:r>
          <w:rPr>
            <w:rStyle w:val="lenovodivullia"/>
            <w:lang w:val="en-US" w:eastAsia="zh-CN" w:bidi="ar-SA"/>
          </w:rPr>
          <w:t>程骏平诉上海纽鑫达进出口有限公司等股东资格确认纠纷案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8" w:tgtFrame="_blank" w:history="1">
        <w:r>
          <w:rPr>
            <w:rStyle w:val="lenovodivullia"/>
            <w:lang w:val="en-US" w:eastAsia="zh-CN" w:bidi="ar-SA"/>
          </w:rPr>
          <w:t>最高人民法院第六巡回法庭</w:t>
        </w:r>
        <w:r>
          <w:rPr>
            <w:rStyle w:val="lenovodivullia"/>
            <w:lang w:val="en-US" w:eastAsia="zh-CN" w:bidi="ar-SA"/>
          </w:rPr>
          <w:t>2019</w:t>
        </w:r>
        <w:r>
          <w:rPr>
            <w:rStyle w:val="lenovodivullia"/>
            <w:lang w:val="en-US" w:eastAsia="zh-CN" w:bidi="ar-SA"/>
          </w:rPr>
          <w:t>年度参考案例之十八：高文杰诉定西市熙海油脂有限责任公司等股东资格确认纠纷案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29" w:tgtFrame="_blank" w:history="1">
        <w:r>
          <w:rPr>
            <w:rStyle w:val="lenovodivullia"/>
            <w:lang w:val="en-US" w:eastAsia="zh-CN" w:bidi="ar-SA"/>
          </w:rPr>
          <w:t>福州法院</w:t>
        </w:r>
        <w:r>
          <w:rPr>
            <w:rStyle w:val="lenovodivullia"/>
            <w:lang w:val="en-US" w:eastAsia="zh-CN" w:bidi="ar-SA"/>
          </w:rPr>
          <w:t>2018</w:t>
        </w:r>
        <w:r>
          <w:rPr>
            <w:rStyle w:val="lenovodivullia"/>
            <w:lang w:val="en-US" w:eastAsia="zh-CN" w:bidi="ar-SA"/>
          </w:rPr>
          <w:t>年度商事审判十大案例之十：彭万铁诉</w:t>
        </w:r>
        <w:r>
          <w:rPr>
            <w:rStyle w:val="lenovodivullia"/>
            <w:lang w:val="en-US" w:eastAsia="zh-CN" w:bidi="ar-SA"/>
          </w:rPr>
          <w:t>S</w:t>
        </w:r>
        <w:r>
          <w:rPr>
            <w:rStyle w:val="lenovodivullia"/>
            <w:lang w:val="en-US" w:eastAsia="zh-CN" w:bidi="ar-SA"/>
          </w:rPr>
          <w:t>公司、</w:t>
        </w:r>
        <w:r>
          <w:rPr>
            <w:rStyle w:val="lenovodivullia"/>
            <w:lang w:val="en-US" w:eastAsia="zh-CN" w:bidi="ar-SA"/>
          </w:rPr>
          <w:t>X</w:t>
        </w:r>
        <w:r>
          <w:rPr>
            <w:rStyle w:val="lenovodivullia"/>
            <w:lang w:val="en-US" w:eastAsia="zh-CN" w:bidi="ar-SA"/>
          </w:rPr>
          <w:t>公司、</w:t>
        </w:r>
        <w:r>
          <w:rPr>
            <w:rStyle w:val="lenovodivullia"/>
            <w:lang w:val="en-US" w:eastAsia="zh-CN" w:bidi="ar-SA"/>
          </w:rPr>
          <w:t>J</w:t>
        </w:r>
        <w:r>
          <w:rPr>
            <w:rStyle w:val="lenovodivullia"/>
            <w:lang w:val="en-US" w:eastAsia="zh-CN" w:bidi="ar-SA"/>
          </w:rPr>
          <w:t>公司股东资格确认纠纷案</w:t>
        </w:r>
        <w:r>
          <w:rPr>
            <w:rStyle w:val="lenovodivullia"/>
            <w:lang w:val="en-US" w:eastAsia="zh-CN" w:bidi="ar-SA"/>
          </w:rPr>
          <w:t>——</w:t>
        </w:r>
        <w:r>
          <w:rPr>
            <w:rStyle w:val="lenovodivullia"/>
            <w:lang w:val="en-US" w:eastAsia="zh-CN" w:bidi="ar-SA"/>
          </w:rPr>
          <w:t>公司以股权激励名义引进的特定投资人的权利界限</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0" w:tgtFrame="_blank" w:history="1">
        <w:r>
          <w:rPr>
            <w:rStyle w:val="lenovodivullia"/>
            <w:lang w:val="en-US" w:eastAsia="zh-CN" w:bidi="ar-SA"/>
          </w:rPr>
          <w:t>沈懿与冯昌虎出资人身份确认纠纷上诉案</w:t>
        </w:r>
        <w:r>
          <w:rPr>
            <w:rStyle w:val="lenovodivullia"/>
            <w:lang w:val="en-US" w:eastAsia="zh-CN" w:bidi="ar-SA"/>
          </w:rPr>
          <w:t>——</w:t>
        </w:r>
        <w:r>
          <w:rPr>
            <w:rStyle w:val="lenovodivullia"/>
            <w:lang w:val="en-US" w:eastAsia="zh-CN" w:bidi="ar-SA"/>
          </w:rPr>
          <w:t>民办学校出资人和出资份额的确认</w:t>
        </w:r>
        <w:r>
          <w:rPr>
            <w:rStyle w:val="lenovodivullia"/>
            <w:lang w:val="en-US" w:eastAsia="zh-CN" w:bidi="ar-SA"/>
          </w:rPr>
          <w:t xml:space="preserve"> </w:t>
        </w:r>
      </w:hyperlink>
    </w:p>
    <w:p w:rsidR="00AB2DD9" w:rsidRDefault="00AB2DD9">
      <w:pPr>
        <w:pStyle w:val="div"/>
        <w:ind w:left="375" w:right="375" w:firstLine="225"/>
        <w:rPr>
          <w:rFonts w:ascii="宋体" w:eastAsia="宋体" w:hAnsi="宋体" w:cs="宋体"/>
          <w:sz w:val="23"/>
          <w:szCs w:val="23"/>
          <w:lang w:val="en-US" w:eastAsia="zh-CN" w:bidi="ar-SA"/>
        </w:rPr>
      </w:pPr>
      <w:hyperlink r:id="rId131" w:tgtFrame="_blank" w:history="1">
        <w:r>
          <w:rPr>
            <w:rStyle w:val="a3"/>
            <w:rFonts w:ascii="宋体" w:eastAsia="宋体" w:hAnsi="宋体" w:cs="宋体"/>
            <w:sz w:val="23"/>
            <w:szCs w:val="23"/>
            <w:lang w:val="en-US" w:eastAsia="zh-CN" w:bidi="ar-SA"/>
          </w:rPr>
          <w:t>更多</w:t>
        </w:r>
      </w:hyperlink>
    </w:p>
    <w:p w:rsidR="00AB2DD9" w:rsidRDefault="00AB2DD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AB2DD9" w:rsidRDefault="00AB2DD9">
      <w:pPr>
        <w:pStyle w:val="lenovodivulli"/>
        <w:tabs>
          <w:tab w:val="left" w:pos="825"/>
        </w:tabs>
        <w:ind w:left="375" w:right="375"/>
        <w:textAlignment w:val="baseline"/>
        <w:rPr>
          <w:lang w:val="en-US" w:eastAsia="zh-CN" w:bidi="ar-SA"/>
        </w:rPr>
      </w:pPr>
      <w:hyperlink r:id="rId132" w:tgtFrame="_blank" w:history="1">
        <w:r>
          <w:rPr>
            <w:rStyle w:val="lenovodivullia"/>
            <w:lang w:val="en-US" w:eastAsia="zh-CN" w:bidi="ar-SA"/>
          </w:rPr>
          <w:t>泰国华彬国际集团公司诉红牛维他命饮料</w:t>
        </w:r>
        <w:r>
          <w:rPr>
            <w:rStyle w:val="lenovodivullia"/>
            <w:lang w:val="en-US" w:eastAsia="zh-CN" w:bidi="ar-SA"/>
          </w:rPr>
          <w:t>(</w:t>
        </w:r>
        <w:r>
          <w:rPr>
            <w:rStyle w:val="lenovodivullia"/>
            <w:lang w:val="en-US" w:eastAsia="zh-CN" w:bidi="ar-SA"/>
          </w:rPr>
          <w:t>泰国</w:t>
        </w:r>
        <w:r>
          <w:rPr>
            <w:rStyle w:val="lenovodivullia"/>
            <w:lang w:val="en-US" w:eastAsia="zh-CN" w:bidi="ar-SA"/>
          </w:rPr>
          <w:t>)</w:t>
        </w:r>
        <w:r>
          <w:rPr>
            <w:rStyle w:val="lenovodivullia"/>
            <w:lang w:val="en-US" w:eastAsia="zh-CN" w:bidi="ar-SA"/>
          </w:rPr>
          <w:t>有限公司等股东资格确认纠纷案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3" w:tgtFrame="_blank" w:history="1">
        <w:r>
          <w:rPr>
            <w:rStyle w:val="lenovodivullia"/>
            <w:lang w:val="en-US" w:eastAsia="zh-CN" w:bidi="ar-SA"/>
          </w:rPr>
          <w:t>付某、建昌县某公司等股东资格确认纠纷民事申请再审审查民事裁定书</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4" w:tgtFrame="_blank" w:history="1">
        <w:r>
          <w:rPr>
            <w:rStyle w:val="lenovodivullia"/>
            <w:lang w:val="en-US" w:eastAsia="zh-CN" w:bidi="ar-SA"/>
          </w:rPr>
          <w:t>天津天马商贸有限公司与深圳市中经发投资实业有限公司等股东资格确认纠纷申请再审审查案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5" w:tgtFrame="_blank" w:history="1">
        <w:r>
          <w:rPr>
            <w:rStyle w:val="lenovodivullia"/>
            <w:lang w:val="en-US" w:eastAsia="zh-CN" w:bidi="ar-SA"/>
          </w:rPr>
          <w:t>北京新永正置业投资有限公司、应胜与万某股东资格确认纠纷再审案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6" w:tgtFrame="_blank" w:history="1">
        <w:r>
          <w:rPr>
            <w:rStyle w:val="lenovodivullia"/>
            <w:lang w:val="en-US" w:eastAsia="zh-CN" w:bidi="ar-SA"/>
          </w:rPr>
          <w:t>邓振华与江西浙商联盟农副产品商贸城有限公司等股东资格确认纠纷申请再审案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7" w:tgtFrame="_blank" w:history="1">
        <w:r>
          <w:rPr>
            <w:rStyle w:val="lenovodivullia"/>
            <w:lang w:val="en-US" w:eastAsia="zh-CN" w:bidi="ar-SA"/>
          </w:rPr>
          <w:t>兰州义乌商贸有限公司等与武威市义乌商贸有限责任公司股东资格确认纠纷上诉案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8" w:tgtFrame="_blank" w:history="1">
        <w:r>
          <w:rPr>
            <w:rStyle w:val="lenovodivullia"/>
            <w:lang w:val="en-US" w:eastAsia="zh-CN" w:bidi="ar-SA"/>
          </w:rPr>
          <w:t>兰州某商贸公司、厉某、赵某某诉武威某商贸公司、余某某等股东资格确认纠纷案</w:t>
        </w:r>
        <w:r>
          <w:rPr>
            <w:rStyle w:val="lenovodivullia"/>
            <w:lang w:val="en-US" w:eastAsia="zh-CN" w:bidi="ar-SA"/>
          </w:rPr>
          <w:t xml:space="preserve"> </w:t>
        </w:r>
      </w:hyperlink>
    </w:p>
    <w:p w:rsidR="00AB2DD9" w:rsidRDefault="00AB2DD9">
      <w:pPr>
        <w:pStyle w:val="lenovodivulli"/>
        <w:tabs>
          <w:tab w:val="left" w:pos="825"/>
        </w:tabs>
        <w:ind w:left="375" w:right="375"/>
        <w:textAlignment w:val="baseline"/>
        <w:rPr>
          <w:lang w:val="en-US" w:eastAsia="zh-CN" w:bidi="ar-SA"/>
        </w:rPr>
      </w:pPr>
      <w:hyperlink r:id="rId139" w:tgtFrame="_blank" w:history="1">
        <w:r>
          <w:rPr>
            <w:rStyle w:val="lenovodivullia"/>
            <w:lang w:val="en-US" w:eastAsia="zh-CN" w:bidi="ar-SA"/>
          </w:rPr>
          <w:t>新银投资发展有限公司、金晶（集团）有限公司等股东资格确认纠纷民事申请再审审查民事裁定书</w:t>
        </w:r>
        <w:r>
          <w:rPr>
            <w:rStyle w:val="lenovodivullia"/>
            <w:lang w:val="en-US" w:eastAsia="zh-CN" w:bidi="ar-SA"/>
          </w:rPr>
          <w:t xml:space="preserve"> </w:t>
        </w:r>
      </w:hyperlink>
    </w:p>
    <w:p w:rsidR="00AB2DD9" w:rsidRDefault="00AB2DD9">
      <w:pPr>
        <w:pStyle w:val="div"/>
        <w:ind w:left="375" w:right="375" w:firstLine="225"/>
        <w:rPr>
          <w:rFonts w:ascii="宋体" w:eastAsia="宋体" w:hAnsi="宋体" w:cs="宋体"/>
          <w:sz w:val="23"/>
          <w:szCs w:val="23"/>
          <w:lang w:val="en-US" w:eastAsia="zh-CN" w:bidi="ar-SA"/>
        </w:rPr>
      </w:pPr>
      <w:hyperlink r:id="rId140" w:tgtFrame="_blank" w:history="1">
        <w:r>
          <w:rPr>
            <w:rStyle w:val="a3"/>
            <w:rFonts w:ascii="宋体" w:eastAsia="宋体" w:hAnsi="宋体" w:cs="宋体"/>
            <w:sz w:val="23"/>
            <w:szCs w:val="23"/>
            <w:lang w:val="en-US" w:eastAsia="zh-CN" w:bidi="ar-SA"/>
          </w:rPr>
          <w:t>更多</w:t>
        </w:r>
      </w:hyperlink>
    </w:p>
    <w:p w:rsidR="00AB2DD9" w:rsidRDefault="00AB2DD9">
      <w:pPr>
        <w:ind w:left="375" w:right="375"/>
        <w:rPr>
          <w:rFonts w:ascii="Arial" w:eastAsia="Arial" w:hAnsi="Arial" w:cs="Arial"/>
          <w:lang w:val="en-US" w:eastAsia="zh-CN" w:bidi="ar-SA"/>
        </w:rPr>
      </w:pPr>
      <w:r>
        <w:rPr>
          <w:rFonts w:ascii="Arial" w:eastAsia="Arial" w:hAnsi="Arial" w:cs="Arial"/>
          <w:lang w:val="en-US" w:eastAsia="zh-CN" w:bidi="ar-SA"/>
        </w:rPr>
        <w:br/>
      </w:r>
    </w:p>
    <w:p w:rsidR="00AB2DD9" w:rsidRDefault="00A77B3E">
      <w:pPr>
        <w:spacing w:line="630" w:lineRule="atLeast"/>
        <w:rPr>
          <w:rFonts w:eastAsia="Times New Roman"/>
          <w:sz w:val="26"/>
          <w:szCs w:val="26"/>
          <w:lang w:val="en-US" w:eastAsia="zh-CN" w:bidi="ar-SA"/>
        </w:rPr>
      </w:pPr>
      <w:r>
        <w:br w:type="page"/>
      </w:r>
      <w:r w:rsidR="00AB2DD9">
        <w:rPr>
          <w:rFonts w:eastAsia="Times New Roman"/>
          <w:sz w:val="26"/>
          <w:szCs w:val="26"/>
          <w:lang w:val="en-US" w:eastAsia="zh-CN" w:bidi="ar-SA"/>
        </w:rPr>
        <w:lastRenderedPageBreak/>
        <w:t>©北大法宝：（</w:t>
      </w:r>
      <w:hyperlink r:id="rId141" w:history="1">
        <w:r w:rsidR="00AB2DD9">
          <w:rPr>
            <w:rFonts w:eastAsia="Times New Roman"/>
            <w:color w:val="218FC4"/>
            <w:sz w:val="26"/>
            <w:szCs w:val="26"/>
            <w:u w:val="single" w:color="218FC4"/>
            <w:lang w:val="en-US" w:eastAsia="zh-CN" w:bidi="ar-SA"/>
          </w:rPr>
          <w:t>www.pkulaw.com</w:t>
        </w:r>
      </w:hyperlink>
      <w:r w:rsidR="00AB2DD9">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42" w:history="1">
        <w:r w:rsidR="00AB2DD9">
          <w:rPr>
            <w:rFonts w:eastAsia="Times New Roman"/>
            <w:color w:val="218FC4"/>
            <w:sz w:val="26"/>
            <w:szCs w:val="26"/>
            <w:u w:val="single" w:color="218FC4"/>
            <w:lang w:val="en-US" w:eastAsia="zh-CN" w:bidi="ar-SA"/>
          </w:rPr>
          <w:t>产品和服务</w:t>
        </w:r>
      </w:hyperlink>
      <w:r w:rsidR="00AB2DD9">
        <w:rPr>
          <w:rFonts w:eastAsia="Times New Roman"/>
          <w:sz w:val="26"/>
          <w:szCs w:val="26"/>
          <w:lang w:val="en-US" w:eastAsia="zh-CN" w:bidi="ar-SA"/>
        </w:rPr>
        <w:t>。</w:t>
      </w:r>
      <w:r w:rsidR="00AB2DD9">
        <w:rPr>
          <w:rFonts w:eastAsia="Times New Roman"/>
          <w:sz w:val="26"/>
          <w:szCs w:val="26"/>
          <w:lang w:val="en-US" w:eastAsia="zh-CN" w:bidi="ar-SA"/>
        </w:rPr>
        <w:br/>
      </w:r>
      <w:hyperlink r:id="rId143" w:history="1">
        <w:r w:rsidR="00AB2DD9">
          <w:rPr>
            <w:rFonts w:eastAsia="Times New Roman"/>
            <w:color w:val="218FC4"/>
            <w:sz w:val="26"/>
            <w:szCs w:val="26"/>
            <w:u w:val="single" w:color="218FC4"/>
            <w:lang w:val="en-US" w:eastAsia="zh-CN" w:bidi="ar-SA"/>
          </w:rPr>
          <w:t>法宝快讯： 如何快速找到您需要的检索结果？ 法宝 V6 有何新特色？</w:t>
        </w:r>
      </w:hyperlink>
    </w:p>
    <w:p w:rsidR="00AB2DD9" w:rsidRDefault="00AB2DD9">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44" o:title=""/>
          </v:shape>
        </w:pict>
      </w:r>
    </w:p>
    <w:p w:rsidR="00AB2DD9" w:rsidRDefault="00AB2DD9">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AB2DD9" w:rsidRDefault="00AB2DD9">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45" w:history="1">
        <w:r>
          <w:rPr>
            <w:rFonts w:eastAsia="Times New Roman"/>
            <w:color w:val="000000"/>
            <w:sz w:val="26"/>
            <w:szCs w:val="26"/>
            <w:u w:val="single" w:color="000000"/>
            <w:lang w:val="en-US" w:eastAsia="zh-CN" w:bidi="ar-SA"/>
          </w:rPr>
          <w:t xml:space="preserve">https://www.pkulaw.com/pfnl/08df102e7c10f206c1a62a69cbb750341467e8a010c453c7bdfb.html </w:t>
        </w:r>
      </w:hyperlink>
    </w:p>
    <w:p w:rsidR="00A77B3E" w:rsidRDefault="00A77B3E"/>
    <w:sectPr w:rsidR="00A77B3E">
      <w:headerReference w:type="default" r:id="rId146"/>
      <w:footerReference w:type="default" r:id="rId14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2DD9" w:rsidRDefault="00AB2DD9">
      <w:r>
        <w:separator/>
      </w:r>
    </w:p>
  </w:endnote>
  <w:endnote w:type="continuationSeparator" w:id="0">
    <w:p w:rsidR="00AB2DD9" w:rsidRDefault="00AB2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AB2DD9" w:rsidRDefault="00AB2DD9">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3F666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3F666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AB2DD9" w:rsidRDefault="00AB2DD9">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AB2DD9" w:rsidRDefault="00AB2D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2DD9" w:rsidRDefault="00AB2DD9">
      <w:r>
        <w:separator/>
      </w:r>
    </w:p>
  </w:footnote>
  <w:footnote w:type="continuationSeparator" w:id="0">
    <w:p w:rsidR="00AB2DD9" w:rsidRDefault="00AB2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AB2DD9" w:rsidRDefault="00AB2DD9">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AB2DD9" w:rsidRDefault="00AB2DD9">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CLI.C.534019156</w:t>
          </w:r>
        </w:p>
      </w:tc>
    </w:tr>
  </w:tbl>
  <w:p w:rsidR="00AB2DD9" w:rsidRDefault="00AB2D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F6669"/>
    <w:rsid w:val="00A77B3E"/>
    <w:rsid w:val="00AB2DD9"/>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F5CFE7-9AFC-49D8-81E6-02FA337A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character" w:customStyle="1" w:styleId="fulltext-wrapfieldsullispan">
    <w:name w:val="fulltext-wrap_fields_ul_li_span"/>
    <w:basedOn w:val="a0"/>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character" w:customStyle="1" w:styleId="span">
    <w:name w:val="span"/>
    <w:basedOn w:val="a0"/>
    <w:rPr>
      <w:sz w:val="24"/>
      <w:szCs w:val="24"/>
      <w:bdr w:val="none" w:sz="0" w:space="0" w:color="auto"/>
      <w:vertAlign w:val="baseline"/>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3F6669"/>
    <w:pPr>
      <w:tabs>
        <w:tab w:val="center" w:pos="4153"/>
        <w:tab w:val="right" w:pos="8306"/>
      </w:tabs>
      <w:snapToGrid w:val="0"/>
      <w:jc w:val="center"/>
    </w:pPr>
    <w:rPr>
      <w:sz w:val="18"/>
      <w:szCs w:val="18"/>
    </w:rPr>
  </w:style>
  <w:style w:type="character" w:customStyle="1" w:styleId="a5">
    <w:name w:val="页眉 字符"/>
    <w:basedOn w:val="a0"/>
    <w:link w:val="a4"/>
    <w:rsid w:val="003F6669"/>
    <w:rPr>
      <w:sz w:val="18"/>
      <w:szCs w:val="18"/>
    </w:rPr>
  </w:style>
  <w:style w:type="paragraph" w:styleId="a6">
    <w:name w:val="footer"/>
    <w:basedOn w:val="a"/>
    <w:link w:val="a7"/>
    <w:rsid w:val="003F6669"/>
    <w:pPr>
      <w:tabs>
        <w:tab w:val="center" w:pos="4153"/>
        <w:tab w:val="right" w:pos="8306"/>
      </w:tabs>
      <w:snapToGrid w:val="0"/>
    </w:pPr>
    <w:rPr>
      <w:sz w:val="18"/>
      <w:szCs w:val="18"/>
    </w:rPr>
  </w:style>
  <w:style w:type="character" w:customStyle="1" w:styleId="a7">
    <w:name w:val="页脚 字符"/>
    <w:basedOn w:val="a0"/>
    <w:link w:val="a6"/>
    <w:rsid w:val="003F66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s://www.pkulaw.com/chl/d33df017c784876fbdfb.html?way=textRightFblx" TargetMode="External"/><Relationship Id="rId21" Type="http://schemas.openxmlformats.org/officeDocument/2006/relationships/hyperlink" Target="https://www.pkulaw.com/?ExtCondition.CriminalPunish=01010402&amp;way=textBasic" TargetMode="External"/><Relationship Id="rId42" Type="http://schemas.openxmlformats.org/officeDocument/2006/relationships/hyperlink" Target="javascript:LawFirmSearch('&#27743;&#33487;&#22914;&#19968;&#24459;&#24072;&#20107;&#21153;&#25152;')" TargetMode="External"/><Relationship Id="rId63" Type="http://schemas.openxmlformats.org/officeDocument/2006/relationships/hyperlink" Target="https://www.pkulaw.com/chl/87ef524781c6ffefbdfb.html?way=textSlc" TargetMode="External"/><Relationship Id="rId84" Type="http://schemas.openxmlformats.org/officeDocument/2006/relationships/hyperlink" Target="https://www.pkulaw.com/chl/f5ce50f76f52e5d0bdfb.html?way=textSlc" TargetMode="External"/><Relationship Id="rId138" Type="http://schemas.openxmlformats.org/officeDocument/2006/relationships/hyperlink" Target="https://www.pkulaw.com/pfnl/08df102e7c10f2065dc0d5fbd2a100babdc12d2e4b6d079abdfb.html?way=textRightFblx" TargetMode="External"/><Relationship Id="rId107" Type="http://schemas.openxmlformats.org/officeDocument/2006/relationships/hyperlink" Target="https://www.pkulaw.com/chl/d33df017c784876fbdfb.html?way=textSlc" TargetMode="External"/><Relationship Id="rId11" Type="http://schemas.openxmlformats.org/officeDocument/2006/relationships/hyperlink" Target="javascript:void(0)" TargetMode="External"/><Relationship Id="rId32" Type="http://schemas.openxmlformats.org/officeDocument/2006/relationships/hyperlink" Target="javascript:CompanySearch('&#21335;&#36890;&#27491;&#36798;&#25151;&#22320;&#20135;&#24320;&#21457;&#26377;&#38480;&#20844;&#21496;')" TargetMode="External"/><Relationship Id="rId53" Type="http://schemas.openxmlformats.org/officeDocument/2006/relationships/hyperlink" Target="https://www.pkulaw.com/chl/6a88714068b3724dbdfb.html?way=textSlc" TargetMode="External"/><Relationship Id="rId74" Type="http://schemas.openxmlformats.org/officeDocument/2006/relationships/hyperlink" Target="https://www.pkulaw.com/chl/aec0c211a78989e9bdfb.html?way=textSlc" TargetMode="External"/><Relationship Id="rId128" Type="http://schemas.openxmlformats.org/officeDocument/2006/relationships/hyperlink" Target="https://www.pkulaw.com/pfnl/c05aeed05a57db0adba920518e24483ec1d0119d696bb9f9bdfb.html?way=textRightFblx"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www.pkulaw.com/chl/6a88714068b3724dbdfb.html?way=textSlc" TargetMode="External"/><Relationship Id="rId22" Type="http://schemas.openxmlformats.org/officeDocument/2006/relationships/hyperlink" Target="https://www.pkulaw.com/?ExtCondition.CriminalPunish=01010501&amp;way=textBasic" TargetMode="External"/><Relationship Id="rId27" Type="http://schemas.openxmlformats.org/officeDocument/2006/relationships/hyperlink" Target="https://www.pkulaw.com/?ExtCondition.CriminalPunish=01020701&amp;way=textBasic" TargetMode="External"/><Relationship Id="rId43" Type="http://schemas.openxmlformats.org/officeDocument/2006/relationships/hyperlink" Target="javascript:LawFirmSearch('&#31119;&#24314;&#19994;&#21338;&#24459;&#24072;&#20107;&#21153;&#25152;')" TargetMode="External"/><Relationship Id="rId48" Type="http://schemas.openxmlformats.org/officeDocument/2006/relationships/hyperlink" Target="https://www.pkulaw.com/chl/d33df017c784876fbdfb.html?way=textSlc" TargetMode="External"/><Relationship Id="rId64" Type="http://schemas.openxmlformats.org/officeDocument/2006/relationships/hyperlink" Target="javascript:Ajzh_SLC(1,1970324848488865,'')" TargetMode="External"/><Relationship Id="rId69" Type="http://schemas.openxmlformats.org/officeDocument/2006/relationships/hyperlink" Target="https://www.pkulaw.com/chl/6a88714068b3724dbdfb.html?way=textSlc" TargetMode="External"/><Relationship Id="rId113" Type="http://schemas.openxmlformats.org/officeDocument/2006/relationships/hyperlink" Target="https://www.pkulaw.com/chl/12e67f26d4b80606bdfb.html?way=textSlc" TargetMode="External"/><Relationship Id="rId118" Type="http://schemas.openxmlformats.org/officeDocument/2006/relationships/hyperlink" Target="https://www.pkulaw.com/chl/d33df017c784876fbdfb.html?way=textRightFblx" TargetMode="External"/><Relationship Id="rId134" Type="http://schemas.openxmlformats.org/officeDocument/2006/relationships/hyperlink" Target="https://www.pkulaw.com/pfnl/08df102e7c10f206ea1623db1c308e038a6be2fd158f6b41bdfb.html?way=textRightFblx" TargetMode="External"/><Relationship Id="rId139" Type="http://schemas.openxmlformats.org/officeDocument/2006/relationships/hyperlink" Target="https://www.pkulaw.com/pfnl/95b2ca8d4055fce1776d0d0ace9979acc67e73b92da42204bdfb.html?way=textRightFblx" TargetMode="External"/><Relationship Id="rId80" Type="http://schemas.openxmlformats.org/officeDocument/2006/relationships/hyperlink" Target="https://www.pkulaw.com/chl/6a88714068b3724dbdfb.html?way=textSlc" TargetMode="External"/><Relationship Id="rId85" Type="http://schemas.openxmlformats.org/officeDocument/2006/relationships/hyperlink" Target="https://www.pkulaw.com/chl/f5ce50f76f52e5d0bdfb.html?way=textSlc" TargetMode="External"/><Relationship Id="rId12" Type="http://schemas.openxmlformats.org/officeDocument/2006/relationships/hyperlink" Target="https://www.pkulaw.com/?Aggs.DocumentAttr=002&amp;way=textBasic" TargetMode="External"/><Relationship Id="rId17" Type="http://schemas.openxmlformats.org/officeDocument/2006/relationships/hyperlink" Target="javascript:LawFirmSearch('&#27743;&#33487;&#22914;&#19968;&#24459;&#24072;&#20107;&#21153;&#25152;')" TargetMode="External"/><Relationship Id="rId33" Type="http://schemas.openxmlformats.org/officeDocument/2006/relationships/hyperlink" Target="javascript:CompanySearch('&#31119;&#24314;&#28085;&#27743;&#22823;&#22320;&#25151;&#22320;&#20135;&#24320;&#21457;&#26377;&#38480;&#20844;&#21496;')" TargetMode="External"/><Relationship Id="rId38" Type="http://schemas.openxmlformats.org/officeDocument/2006/relationships/hyperlink" Target="https://www.pkulaw.com/chl/6a88714068b3724dbdfb.html?way=textSlc" TargetMode="External"/><Relationship Id="rId59" Type="http://schemas.openxmlformats.org/officeDocument/2006/relationships/hyperlink" Target="https://www.pkulaw.com/chl/6a88714068b3724dbdfb.html?way=textSlc" TargetMode="External"/><Relationship Id="rId103" Type="http://schemas.openxmlformats.org/officeDocument/2006/relationships/hyperlink" Target="https://www.pkulaw.com/chl/dcc062cdcf6063b0bdfb.html?way=textSlc" TargetMode="External"/><Relationship Id="rId108" Type="http://schemas.openxmlformats.org/officeDocument/2006/relationships/hyperlink" Target="https://www.pkulaw.com/chl/d33df017c784876fbdfb.html?way=textSlc" TargetMode="External"/><Relationship Id="rId124" Type="http://schemas.openxmlformats.org/officeDocument/2006/relationships/hyperlink" Target="https://www.pkulaw.com/pfnl/08df102e7c10f20668ba0a5cf888c84d97bb10b7ff91945dbdfb.html?way=textRightFblx" TargetMode="External"/><Relationship Id="rId129" Type="http://schemas.openxmlformats.org/officeDocument/2006/relationships/hyperlink" Target="https://www.pkulaw.com/pfnl/a6bdb3332ec0adc4a3b9c7bcbd781a98fa2b211a6b6aa304bdfb.html?way=textRightFblx" TargetMode="External"/><Relationship Id="rId54" Type="http://schemas.openxmlformats.org/officeDocument/2006/relationships/hyperlink" Target="https://www.pkulaw.com/chl/6a88714068b3724dbdfb.html?way=textSlc" TargetMode="External"/><Relationship Id="rId70" Type="http://schemas.openxmlformats.org/officeDocument/2006/relationships/hyperlink" Target="https://www.pkulaw.com/chl/6a88714068b3724dbdfb.html?way=textSlc" TargetMode="External"/><Relationship Id="rId75" Type="http://schemas.openxmlformats.org/officeDocument/2006/relationships/hyperlink" Target="https://www.pkulaw.com/chl/a1486b29a8cf663fbdfb.html?way=textSlc" TargetMode="External"/><Relationship Id="rId91" Type="http://schemas.openxmlformats.org/officeDocument/2006/relationships/hyperlink" Target="https://www.pkulaw.com/chl/6a88714068b3724dbdfb.html?way=textSlc" TargetMode="External"/><Relationship Id="rId96" Type="http://schemas.openxmlformats.org/officeDocument/2006/relationships/hyperlink" Target="https://www.pkulaw.com/chl/bb7e08ee6f9a35f4bdfb.html?way=textSlc" TargetMode="External"/><Relationship Id="rId140" Type="http://schemas.openxmlformats.org/officeDocument/2006/relationships/hyperlink" Target="https://www.pkulaw.com/case/pfnl?Aggs.CategoryIntegration=&amp;Aggs.LastInstanceCourt=&amp;way=textRightFblx" TargetMode="External"/><Relationship Id="rId145" Type="http://schemas.openxmlformats.org/officeDocument/2006/relationships/hyperlink" Target="https://www.pkulaw.com/pfnl/08df102e7c10f206c1a62a69cbb750341467e8a010c453c7bdfb.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kulaw.com/?ExtCondition.CriminalPunish=01020404&amp;way=textBasic" TargetMode="External"/><Relationship Id="rId28" Type="http://schemas.openxmlformats.org/officeDocument/2006/relationships/hyperlink" Target="https://www.pkulaw.com/?ExtCondition.CriminalPunish=01020730&amp;way=textBasic" TargetMode="External"/><Relationship Id="rId49" Type="http://schemas.openxmlformats.org/officeDocument/2006/relationships/hyperlink" Target="https://www.pkulaw.com/chl/d33df017c784876fbdfb.html?way=textSlc" TargetMode="External"/><Relationship Id="rId114" Type="http://schemas.openxmlformats.org/officeDocument/2006/relationships/hyperlink" Target="https://www.pkulaw.com/chl/565613090e841b27bdfb.html" TargetMode="External"/><Relationship Id="rId119" Type="http://schemas.openxmlformats.org/officeDocument/2006/relationships/hyperlink" Target="https://www.pkulaw.com/chl/d33df017c784876fbdfb.html?way=textRightFblx" TargetMode="External"/><Relationship Id="rId44" Type="http://schemas.openxmlformats.org/officeDocument/2006/relationships/hyperlink" Target="https://www.pkulaw.com/chl/87ef524781c6ffefbdfb.html?way=textSlc" TargetMode="External"/><Relationship Id="rId60" Type="http://schemas.openxmlformats.org/officeDocument/2006/relationships/hyperlink" Target="https://www.pkulaw.com/chl/6a88714068b3724dbdfb.html?way=textSlc" TargetMode="External"/><Relationship Id="rId65" Type="http://schemas.openxmlformats.org/officeDocument/2006/relationships/hyperlink" Target="javascript:Ajzh_SLC(1,1970324848026024,'')" TargetMode="External"/><Relationship Id="rId81" Type="http://schemas.openxmlformats.org/officeDocument/2006/relationships/hyperlink" Target="https://www.pkulaw.com/chl/bb7e08ee6f9a35f4bdfb.html?way=textSlc" TargetMode="External"/><Relationship Id="rId86" Type="http://schemas.openxmlformats.org/officeDocument/2006/relationships/hyperlink" Target="https://www.pkulaw.com/chl/f5ce50f76f52e5d0bdfb.html?way=textSlc" TargetMode="External"/><Relationship Id="rId130" Type="http://schemas.openxmlformats.org/officeDocument/2006/relationships/hyperlink" Target="https://www.pkulaw.com/pfnl/a25051f3312b07f31f52c0ed7b457cdb4fabca4d6b3a74f8bdfb.html?way=textRightFblx" TargetMode="External"/><Relationship Id="rId135" Type="http://schemas.openxmlformats.org/officeDocument/2006/relationships/hyperlink" Target="https://www.pkulaw.com/pfnl/08df102e7c10f20622450bf539cf34d7bb2bf60563c587d7bdfb.html?way=textRightFblx" TargetMode="External"/><Relationship Id="rId13" Type="http://schemas.openxmlformats.org/officeDocument/2006/relationships/hyperlink" Target="https://www.pkulaw.com/?Aggs.LastInstanceCourt=01&amp;way=textBasic" TargetMode="External"/><Relationship Id="rId18" Type="http://schemas.openxmlformats.org/officeDocument/2006/relationships/hyperlink" Target="javascript:LawFirmSearch('&#27743;&#33487;&#28699;&#32852;&#24459;&#24072;&#20107;&#21153;&#25152;')" TargetMode="External"/><Relationship Id="rId39" Type="http://schemas.openxmlformats.org/officeDocument/2006/relationships/hyperlink" Target="javascript:LawFirmSearch('&#31119;&#24314;&#19994;&#21338;&#24459;&#24072;&#20107;&#21153;&#25152;')" TargetMode="External"/><Relationship Id="rId109" Type="http://schemas.openxmlformats.org/officeDocument/2006/relationships/hyperlink" Target="https://www.pkulaw.com/chl/d33df017c784876fbdfb.html?way=textSlc" TargetMode="External"/><Relationship Id="rId34" Type="http://schemas.openxmlformats.org/officeDocument/2006/relationships/hyperlink" Target="javascript:CompanySearch('&#22914;&#30347;&#24066;&#37329;&#40718;&#32622;&#19994;&#26377;&#38480;&#20844;&#21496;')" TargetMode="External"/><Relationship Id="rId50" Type="http://schemas.openxmlformats.org/officeDocument/2006/relationships/hyperlink" Target="https://www.pkulaw.com/chl/d33df017c784876fbdfb.html?way=textSlc" TargetMode="External"/><Relationship Id="rId55" Type="http://schemas.openxmlformats.org/officeDocument/2006/relationships/hyperlink" Target="https://www.pkulaw.com/chl/6a88714068b3724dbdfb.html?way=textSlc" TargetMode="External"/><Relationship Id="rId76" Type="http://schemas.openxmlformats.org/officeDocument/2006/relationships/hyperlink" Target="https://www.pkulaw.com/chl/bb7e08ee6f9a35f4bdfb.html?way=textSlc" TargetMode="External"/><Relationship Id="rId97" Type="http://schemas.openxmlformats.org/officeDocument/2006/relationships/hyperlink" Target="https://www.pkulaw.com/chl/f5ce50f76f52e5d0bdfb.html?way=textSlc" TargetMode="External"/><Relationship Id="rId104" Type="http://schemas.openxmlformats.org/officeDocument/2006/relationships/hyperlink" Target="https://www.pkulaw.com/chl/dcc062cdcf6063b0bdfb.html?way=textSlc" TargetMode="External"/><Relationship Id="rId120" Type="http://schemas.openxmlformats.org/officeDocument/2006/relationships/hyperlink" Target="https://www.pkulaw.com/chl/8d5ccc9a6f18e937bdfb.html" TargetMode="External"/><Relationship Id="rId125" Type="http://schemas.openxmlformats.org/officeDocument/2006/relationships/hyperlink" Target="https://www.pkulaw.com/pfnl/95b2ca8d4055fce1b861b8e06d1f2a018cc0361b07edcb76bdfb.html?way=textRightFblx" TargetMode="External"/><Relationship Id="rId141" Type="http://schemas.openxmlformats.org/officeDocument/2006/relationships/hyperlink" Target="https://www.pkulaw.com" TargetMode="External"/><Relationship Id="rId146" Type="http://schemas.openxmlformats.org/officeDocument/2006/relationships/header" Target="header1.xm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6a88714068b3724dbdfb.html?way=textSlc" TargetMode="External"/><Relationship Id="rId92" Type="http://schemas.openxmlformats.org/officeDocument/2006/relationships/hyperlink" Target="https://www.pkulaw.com/chl/6a88714068b3724dbdfb.html?way=textSlc" TargetMode="External"/><Relationship Id="rId2" Type="http://schemas.openxmlformats.org/officeDocument/2006/relationships/styles" Target="styles.xml"/><Relationship Id="rId29" Type="http://schemas.openxmlformats.org/officeDocument/2006/relationships/hyperlink" Target="https://www.pkulaw.com/?ExtCondition.CriminalPunish=01020732&amp;way=textBasic" TargetMode="External"/><Relationship Id="rId24" Type="http://schemas.openxmlformats.org/officeDocument/2006/relationships/hyperlink" Target="https://www.pkulaw.com/?ExtCondition.CriminalPunish=01020406&amp;way=textBasic" TargetMode="External"/><Relationship Id="rId40" Type="http://schemas.openxmlformats.org/officeDocument/2006/relationships/hyperlink" Target="javascript:LawFirmSearch('&#27743;&#33487;&#28699;&#32852;&#24459;&#24072;&#20107;&#21153;&#25152;')" TargetMode="External"/><Relationship Id="rId45" Type="http://schemas.openxmlformats.org/officeDocument/2006/relationships/hyperlink" Target="https://www.pkulaw.com/chl/87ef524781c6ffefbdfb.html?way=textSlc" TargetMode="External"/><Relationship Id="rId66" Type="http://schemas.openxmlformats.org/officeDocument/2006/relationships/hyperlink" Target="javascript:Ajzh_SLC(1,1970324846153862,'')" TargetMode="External"/><Relationship Id="rId87" Type="http://schemas.openxmlformats.org/officeDocument/2006/relationships/hyperlink" Target="https://www.pkulaw.com/chl/f5ce50f76f52e5d0bdfb.html?way=textSlc" TargetMode="External"/><Relationship Id="rId110" Type="http://schemas.openxmlformats.org/officeDocument/2006/relationships/hyperlink" Target="https://www.pkulaw.com/chl/d33df017c784876fbdfb.html?way=textSlc" TargetMode="External"/><Relationship Id="rId115" Type="http://schemas.openxmlformats.org/officeDocument/2006/relationships/hyperlink" Target="https://www.pkulaw.com/chl/f5ce50f76f52e5d0bdfb.html?way=textRightFblx" TargetMode="External"/><Relationship Id="rId131" Type="http://schemas.openxmlformats.org/officeDocument/2006/relationships/hyperlink" Target="https://www.pkulaw.com/case/pfnl?Aggs.CategoryIntegration=&amp;way=textRightFblx" TargetMode="External"/><Relationship Id="rId136" Type="http://schemas.openxmlformats.org/officeDocument/2006/relationships/hyperlink" Target="https://www.pkulaw.com/pfnl/08df102e7c10f206a6e2e21664962166d6d962021cf88bb5bdfb.html?way=textRightFblx" TargetMode="External"/><Relationship Id="rId61" Type="http://schemas.openxmlformats.org/officeDocument/2006/relationships/hyperlink" Target="https://www.pkulaw.com/chl/87ef524781c6ffefbdfb.html?way=textSlc" TargetMode="External"/><Relationship Id="rId82" Type="http://schemas.openxmlformats.org/officeDocument/2006/relationships/hyperlink" Target="https://www.pkulaw.com/chl/f5ce50f76f52e5d0bdfb.html?way=textSlc" TargetMode="External"/><Relationship Id="rId19" Type="http://schemas.openxmlformats.org/officeDocument/2006/relationships/hyperlink" Target="javascript:LawFirmSearch('&#27743;&#33487;&#28699;&#32852;&#24459;&#24072;&#20107;&#21153;&#25152;')" TargetMode="External"/><Relationship Id="rId14" Type="http://schemas.openxmlformats.org/officeDocument/2006/relationships/hyperlink" Target="https://www.pkulaw.com/?Aggs.CaseClass=003003002&amp;way=textBasic" TargetMode="External"/><Relationship Id="rId30" Type="http://schemas.openxmlformats.org/officeDocument/2006/relationships/hyperlink" Target="https://www.pkulaw.com/?ExtCondition.CriminalPunish=010209&amp;way=textBasic" TargetMode="External"/><Relationship Id="rId35" Type="http://schemas.openxmlformats.org/officeDocument/2006/relationships/hyperlink" Target="https://www.pkulaw.com/chl/6a88714068b3724dbdfb.html?way=textSlc" TargetMode="External"/><Relationship Id="rId56" Type="http://schemas.openxmlformats.org/officeDocument/2006/relationships/hyperlink" Target="https://www.pkulaw.com/chl/6a88714068b3724dbdfb.html?way=textSlc" TargetMode="External"/><Relationship Id="rId77" Type="http://schemas.openxmlformats.org/officeDocument/2006/relationships/hyperlink" Target="https://www.pkulaw.com/chl/bb7e08ee6f9a35f4bdfb.html?way=textSlc" TargetMode="External"/><Relationship Id="rId100" Type="http://schemas.openxmlformats.org/officeDocument/2006/relationships/hyperlink" Target="https://www.pkulaw.com/chl/6a88714068b3724dbdfb.html?way=textSlc" TargetMode="External"/><Relationship Id="rId105" Type="http://schemas.openxmlformats.org/officeDocument/2006/relationships/hyperlink" Target="https://www.pkulaw.com/chl/aec0c211a78989e9bdfb.html?way=textSlc" TargetMode="External"/><Relationship Id="rId126" Type="http://schemas.openxmlformats.org/officeDocument/2006/relationships/hyperlink" Target="https://www.pkulaw.com/pfnl/08df102e7c10f20664834aa8686562bbed01d3bd228363fdbdfb.html?way=textRightFblx" TargetMode="External"/><Relationship Id="rId147" Type="http://schemas.openxmlformats.org/officeDocument/2006/relationships/footer" Target="footer1.xm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d33df017c784876fbdfb.html?way=textSlc" TargetMode="External"/><Relationship Id="rId72" Type="http://schemas.openxmlformats.org/officeDocument/2006/relationships/hyperlink" Target="https://www.pkulaw.com/chl/6a88714068b3724dbdfb.html?way=textSlc" TargetMode="External"/><Relationship Id="rId93" Type="http://schemas.openxmlformats.org/officeDocument/2006/relationships/hyperlink" Target="https://www.pkulaw.com/chl/6a88714068b3724dbdfb.html?way=textSlc" TargetMode="External"/><Relationship Id="rId98" Type="http://schemas.openxmlformats.org/officeDocument/2006/relationships/hyperlink" Target="https://www.pkulaw.com/chl/565613090e841b27bdfb.html?way=textSlc" TargetMode="External"/><Relationship Id="rId121" Type="http://schemas.openxmlformats.org/officeDocument/2006/relationships/hyperlink" Target="https://www.pkulaw.com/chl/aec0c211a78989e9bdfb.html" TargetMode="External"/><Relationship Id="rId142" Type="http://schemas.openxmlformats.org/officeDocument/2006/relationships/hyperlink" Target="http://www.pkulaw.net/" TargetMode="External"/><Relationship Id="rId3" Type="http://schemas.openxmlformats.org/officeDocument/2006/relationships/settings" Target="settings.xml"/><Relationship Id="rId25" Type="http://schemas.openxmlformats.org/officeDocument/2006/relationships/hyperlink" Target="https://www.pkulaw.com/?ExtCondition.CriminalPunish=0102050206&amp;way=textBasic" TargetMode="External"/><Relationship Id="rId46" Type="http://schemas.openxmlformats.org/officeDocument/2006/relationships/hyperlink" Target="https://www.pkulaw.com/chl/87ef524781c6ffefbdfb.html?way=textSlc" TargetMode="External"/><Relationship Id="rId67" Type="http://schemas.openxmlformats.org/officeDocument/2006/relationships/hyperlink" Target="https://www.pkulaw.com/chl/6a88714068b3724dbdfb.html?way=textSlc" TargetMode="External"/><Relationship Id="rId116" Type="http://schemas.openxmlformats.org/officeDocument/2006/relationships/hyperlink" Target="https://www.pkulaw.com/chl/f5ce50f76f52e5d0bdfb.html?way=textRightFblx" TargetMode="External"/><Relationship Id="rId137" Type="http://schemas.openxmlformats.org/officeDocument/2006/relationships/hyperlink" Target="https://www.pkulaw.com/pfnl/95b2ca8d4055fce152c3aba0a338697cdaf6bf3ede439dfcbdfb.html?way=textRightFblx" TargetMode="External"/><Relationship Id="rId20" Type="http://schemas.openxmlformats.org/officeDocument/2006/relationships/hyperlink" Target="https://www.pkulaw.com/?ExtCondition.CriminalPunish=010103&amp;way=textBasic" TargetMode="External"/><Relationship Id="rId41" Type="http://schemas.openxmlformats.org/officeDocument/2006/relationships/hyperlink" Target="javascript:LawFirmSearch('&#27743;&#33487;&#28699;&#32852;&#24459;&#24072;&#20107;&#21153;&#25152;')" TargetMode="External"/><Relationship Id="rId62" Type="http://schemas.openxmlformats.org/officeDocument/2006/relationships/hyperlink" Target="https://www.pkulaw.com/chl/87ef524781c6ffefbdfb.html?way=textSlc" TargetMode="External"/><Relationship Id="rId83" Type="http://schemas.openxmlformats.org/officeDocument/2006/relationships/hyperlink" Target="https://www.pkulaw.com/chl/f5ce50f76f52e5d0bdfb.html?way=textSlc" TargetMode="External"/><Relationship Id="rId88" Type="http://schemas.openxmlformats.org/officeDocument/2006/relationships/hyperlink" Target="https://www.pkulaw.com/chl/6a88714068b3724dbdfb.html?way=textSlc" TargetMode="External"/><Relationship Id="rId111" Type="http://schemas.openxmlformats.org/officeDocument/2006/relationships/hyperlink" Target="https://www.pkulaw.com/chl/12e67f26d4b80606bdfb.html?way=textSlc" TargetMode="External"/><Relationship Id="rId132" Type="http://schemas.openxmlformats.org/officeDocument/2006/relationships/hyperlink" Target="https://www.pkulaw.com/pfnl/08df102e7c10f206b4940697baedd66dd18941db1d874a28bdfb.html?way=textRightFblx" TargetMode="External"/><Relationship Id="rId15" Type="http://schemas.openxmlformats.org/officeDocument/2006/relationships/hyperlink" Target="https://www.pkulaw.com/?Aggs.TrialStep=003&amp;way=textBasic" TargetMode="External"/><Relationship Id="rId36" Type="http://schemas.openxmlformats.org/officeDocument/2006/relationships/hyperlink" Target="https://www.pkulaw.com/chl/6a88714068b3724dbdfb.html?way=textSlc" TargetMode="External"/><Relationship Id="rId57" Type="http://schemas.openxmlformats.org/officeDocument/2006/relationships/hyperlink" Target="https://www.pkulaw.com/chl/6a88714068b3724dbdfb.html?way=textSlc" TargetMode="External"/><Relationship Id="rId106" Type="http://schemas.openxmlformats.org/officeDocument/2006/relationships/hyperlink" Target="https://www.pkulaw.com/chl/d33df017c784876fbdfb.html?way=textSlc" TargetMode="External"/><Relationship Id="rId127" Type="http://schemas.openxmlformats.org/officeDocument/2006/relationships/hyperlink" Target="https://www.pkulaw.com/pfnl/08df102e7c10f20664edd781fa92dc04099161546473af28bdfb.html?way=textRightFblx" TargetMode="External"/><Relationship Id="rId10" Type="http://schemas.openxmlformats.org/officeDocument/2006/relationships/hyperlink" Target="https://www.pkulaw.com/?Aggs.CategoryIntegration=002008002001&amp;way=textBasic" TargetMode="External"/><Relationship Id="rId31" Type="http://schemas.openxmlformats.org/officeDocument/2006/relationships/hyperlink" Target="https://www.pkulaw.com/?ExtCondition.CriminalPunish=01021110&amp;way=textBasic" TargetMode="External"/><Relationship Id="rId52" Type="http://schemas.openxmlformats.org/officeDocument/2006/relationships/hyperlink" Target="https://www.pkulaw.com/chl/6a88714068b3724dbdfb.html?way=textSlc" TargetMode="External"/><Relationship Id="rId73" Type="http://schemas.openxmlformats.org/officeDocument/2006/relationships/hyperlink" Target="https://www.pkulaw.com/chl/6a88714068b3724dbdfb.html?way=textSlc" TargetMode="External"/><Relationship Id="rId78" Type="http://schemas.openxmlformats.org/officeDocument/2006/relationships/hyperlink" Target="https://www.pkulaw.com/chl/bb7e08ee6f9a35f4bdfb.html?way=textSlc" TargetMode="External"/><Relationship Id="rId94" Type="http://schemas.openxmlformats.org/officeDocument/2006/relationships/hyperlink" Target="https://www.pkulaw.com/chl/6a88714068b3724dbdfb.html?way=textSlc" TargetMode="External"/><Relationship Id="rId99" Type="http://schemas.openxmlformats.org/officeDocument/2006/relationships/hyperlink" Target="https://www.pkulaw.com/chl/8d5ccc9a6f18e937bdfb.html?way=textSlc" TargetMode="External"/><Relationship Id="rId101" Type="http://schemas.openxmlformats.org/officeDocument/2006/relationships/hyperlink" Target="https://www.pkulaw.com/chl/6a88714068b3724dbdfb.html?way=textSlc" TargetMode="External"/><Relationship Id="rId122" Type="http://schemas.openxmlformats.org/officeDocument/2006/relationships/hyperlink" Target="https://www.pkulaw.com/AssociationMore/pfnl/08df102e7c10f206c1a62a69cbb750341467e8a010c453c7bdfb/19_0.html?way=textRightFblx" TargetMode="External"/><Relationship Id="rId143" Type="http://schemas.openxmlformats.org/officeDocument/2006/relationships/hyperlink" Target="http://www.pkulaw.com/helps/69.html"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26" Type="http://schemas.openxmlformats.org/officeDocument/2006/relationships/hyperlink" Target="https://www.pkulaw.com/?ExtCondition.CriminalPunish=01020503&amp;way=textBasic" TargetMode="External"/><Relationship Id="rId47" Type="http://schemas.openxmlformats.org/officeDocument/2006/relationships/hyperlink" Target="https://www.pkulaw.com/chl/87ef524781c6ffefbdfb.html?way=textSlc" TargetMode="External"/><Relationship Id="rId68" Type="http://schemas.openxmlformats.org/officeDocument/2006/relationships/hyperlink" Target="https://www.pkulaw.com/chl/6a88714068b3724dbdfb.html?way=textSlc" TargetMode="External"/><Relationship Id="rId89" Type="http://schemas.openxmlformats.org/officeDocument/2006/relationships/hyperlink" Target="https://www.pkulaw.com/chl/bb7e08ee6f9a35f4bdfb.html?way=textSlc" TargetMode="External"/><Relationship Id="rId112" Type="http://schemas.openxmlformats.org/officeDocument/2006/relationships/hyperlink" Target="https://www.pkulaw.com/chl/12e67f26d4b80606bdfb.html?way=textSlc" TargetMode="External"/><Relationship Id="rId133" Type="http://schemas.openxmlformats.org/officeDocument/2006/relationships/hyperlink" Target="https://www.pkulaw.com/pfnl/08df102e7c10f206b9486ce6e320989e6779910b50a2183cbdfb.html?way=textRightFblx" TargetMode="External"/><Relationship Id="rId16" Type="http://schemas.openxmlformats.org/officeDocument/2006/relationships/hyperlink" Target="javascript:LawFirmSearch('&#31119;&#24314;&#19994;&#21338;&#24459;&#24072;&#20107;&#21153;&#25152;')" TargetMode="External"/><Relationship Id="rId37" Type="http://schemas.openxmlformats.org/officeDocument/2006/relationships/hyperlink" Target="https://www.pkulaw.com/chl/6a88714068b3724dbdfb.html?way=textSlc" TargetMode="External"/><Relationship Id="rId58" Type="http://schemas.openxmlformats.org/officeDocument/2006/relationships/hyperlink" Target="https://www.pkulaw.com/chl/6a88714068b3724dbdfb.html?way=textSlc" TargetMode="External"/><Relationship Id="rId79" Type="http://schemas.openxmlformats.org/officeDocument/2006/relationships/hyperlink" Target="https://www.pkulaw.com/chl/bb7e08ee6f9a35f4bdfb.html?way=textSlc" TargetMode="External"/><Relationship Id="rId102" Type="http://schemas.openxmlformats.org/officeDocument/2006/relationships/hyperlink" Target="https://www.pkulaw.com/chl/6a88714068b3724dbdfb.html?way=textSlc" TargetMode="External"/><Relationship Id="rId123" Type="http://schemas.openxmlformats.org/officeDocument/2006/relationships/hyperlink" Target="https://www.pkulaw.com/pfnl/08df102e7c10f206b4940697baedd66dd18941db1d874a28bdfb.html?way=textRightFblx" TargetMode="External"/><Relationship Id="rId144" Type="http://schemas.openxmlformats.org/officeDocument/2006/relationships/image" Target="media/image1.png"/><Relationship Id="rId90" Type="http://schemas.openxmlformats.org/officeDocument/2006/relationships/hyperlink" Target="https://www.pkulaw.com/chl/9f6215c0acd104cc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5549</Words>
  <Characters>6025</Characters>
  <Application>Microsoft Office Word</Application>
  <DocSecurity>0</DocSecurity>
  <Lines>222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