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1BFE" w:rsidRDefault="00861BFE">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郑州俱进热电能源有限公司、丰润香港国际发展投资有限公司债权人代位权纠纷再审审查与审判监督民事裁定书</w:t>
      </w:r>
    </w:p>
    <w:p w:rsidR="00861BFE" w:rsidRDefault="00861BFE">
      <w:pPr>
        <w:ind w:left="375" w:right="375"/>
        <w:rPr>
          <w:rFonts w:ascii="Arial" w:eastAsia="Arial" w:hAnsi="Arial" w:cs="Arial"/>
          <w:lang w:val="en-US" w:eastAsia="zh-CN" w:bidi="ar-SA"/>
        </w:rPr>
      </w:pPr>
      <w:r>
        <w:rPr>
          <w:rFonts w:ascii="Arial" w:eastAsia="Arial" w:hAnsi="Arial" w:cs="Arial"/>
          <w:lang w:val="en-US" w:eastAsia="zh-CN" w:bidi="ar-SA"/>
        </w:rPr>
        <w:br/>
      </w:r>
    </w:p>
    <w:p w:rsidR="00861BFE" w:rsidRDefault="00861BFE">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合同、准合同纠纷</w:t>
        </w:r>
      </w:hyperlink>
      <w:hyperlink r:id="rId9" w:history="1">
        <w:bookmarkStart w:id="1" w:name="anyouzhu"/>
        <w:r>
          <w:rPr>
            <w:rStyle w:val="fulltext-wrapfieldsulliannotation"/>
            <w:rFonts w:ascii="宋体" w:eastAsia="宋体" w:hAnsi="宋体" w:cs="宋体"/>
            <w:lang w:val="en-US" w:eastAsia="zh-CN" w:bidi="ar-SA"/>
          </w:rPr>
          <w:t>注</w:t>
        </w:r>
      </w:hyperlink>
      <w:bookmarkEnd w:id="1"/>
      <w:r>
        <w:rPr>
          <w:rStyle w:val="fulltext-wrapfieldsulrow"/>
          <w:rFonts w:ascii="宋体" w:eastAsia="宋体" w:hAnsi="宋体" w:cs="宋体"/>
          <w:color w:val="999999"/>
          <w:sz w:val="23"/>
          <w:szCs w:val="23"/>
          <w:lang w:val="en-US" w:eastAsia="zh-CN" w:bidi="ar-SA"/>
        </w:rPr>
        <w:t xml:space="preserve">&gt; </w:t>
      </w:r>
      <w:hyperlink r:id="rId10" w:tgtFrame="_blank" w:history="1">
        <w:r>
          <w:rPr>
            <w:rStyle w:val="fulltext-wrapfieldsullia"/>
            <w:rFonts w:ascii="宋体" w:eastAsia="宋体" w:hAnsi="宋体" w:cs="宋体"/>
            <w:sz w:val="23"/>
            <w:szCs w:val="23"/>
            <w:lang w:val="en-US" w:eastAsia="zh-CN" w:bidi="ar-SA"/>
          </w:rPr>
          <w:t>合同纠纷</w:t>
        </w:r>
      </w:hyperlink>
      <w:r>
        <w:rPr>
          <w:rStyle w:val="fulltext-wrapfieldsulrow"/>
          <w:rFonts w:ascii="宋体" w:eastAsia="宋体" w:hAnsi="宋体" w:cs="宋体"/>
          <w:color w:val="999999"/>
          <w:sz w:val="23"/>
          <w:szCs w:val="23"/>
          <w:lang w:val="en-US" w:eastAsia="zh-CN" w:bidi="ar-SA"/>
        </w:rPr>
        <w:t xml:space="preserve">&gt; </w:t>
      </w:r>
      <w:hyperlink r:id="rId11" w:tgtFrame="_blank" w:history="1">
        <w:r>
          <w:rPr>
            <w:rStyle w:val="fulltext-wrapfieldsullia"/>
            <w:rFonts w:ascii="宋体" w:eastAsia="宋体" w:hAnsi="宋体" w:cs="宋体"/>
            <w:sz w:val="23"/>
            <w:szCs w:val="23"/>
            <w:lang w:val="en-US" w:eastAsia="zh-CN" w:bidi="ar-SA"/>
          </w:rPr>
          <w:t>债权人代位权纠纷</w:t>
        </w:r>
      </w:hyperlink>
      <w:hyperlink r:id="rId12" w:history="1">
        <w:bookmarkStart w:id="2" w:name="category"/>
        <w:r>
          <w:rPr>
            <w:rStyle w:val="fulltext-wrapfieldsulliorganization"/>
            <w:rFonts w:ascii="宋体" w:eastAsia="宋体" w:hAnsi="宋体" w:cs="宋体"/>
            <w:sz w:val="23"/>
            <w:szCs w:val="23"/>
            <w:lang w:val="en-US" w:eastAsia="zh-CN" w:bidi="ar-SA"/>
          </w:rPr>
          <w:t>案由释义</w:t>
        </w:r>
      </w:hyperlink>
      <w:bookmarkEnd w:id="2"/>
    </w:p>
    <w:p w:rsidR="00861BFE" w:rsidRDefault="00861BFE">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(2021)</w:t>
      </w:r>
      <w:r>
        <w:rPr>
          <w:rStyle w:val="fulltext-wrapfieldsulrow"/>
          <w:rFonts w:ascii="宋体" w:eastAsia="宋体" w:hAnsi="宋体" w:cs="宋体"/>
          <w:color w:val="999999"/>
          <w:sz w:val="23"/>
          <w:szCs w:val="23"/>
          <w:lang w:val="en-US" w:eastAsia="zh-CN" w:bidi="ar-SA"/>
        </w:rPr>
        <w:t>豫民申</w:t>
      </w:r>
      <w:r>
        <w:rPr>
          <w:rStyle w:val="fulltext-wrapfieldsulrow"/>
          <w:rFonts w:ascii="宋体" w:eastAsia="宋体" w:hAnsi="宋体" w:cs="宋体"/>
          <w:color w:val="999999"/>
          <w:sz w:val="23"/>
          <w:szCs w:val="23"/>
          <w:lang w:val="en-US" w:eastAsia="zh-CN" w:bidi="ar-SA"/>
        </w:rPr>
        <w:t>448</w:t>
      </w:r>
      <w:r>
        <w:rPr>
          <w:rStyle w:val="fulltext-wrapfieldsulrow"/>
          <w:rFonts w:ascii="宋体" w:eastAsia="宋体" w:hAnsi="宋体" w:cs="宋体"/>
          <w:color w:val="999999"/>
          <w:sz w:val="23"/>
          <w:szCs w:val="23"/>
          <w:lang w:val="en-US" w:eastAsia="zh-CN" w:bidi="ar-SA"/>
        </w:rPr>
        <w:t>号</w:t>
      </w:r>
    </w:p>
    <w:p w:rsidR="00861BFE" w:rsidRDefault="00861BFE">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审理法官：</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谷彩霞</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庞敏</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赵玉香</w:t>
      </w:r>
    </w:p>
    <w:p w:rsidR="00861BFE" w:rsidRDefault="00861BFE">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3" w:tgtFrame="_blank" w:history="1">
        <w:r>
          <w:rPr>
            <w:rStyle w:val="fulltext-wrapfieldsullia"/>
            <w:rFonts w:ascii="宋体" w:eastAsia="宋体" w:hAnsi="宋体" w:cs="宋体"/>
            <w:sz w:val="23"/>
            <w:szCs w:val="23"/>
            <w:lang w:val="en-US" w:eastAsia="zh-CN" w:bidi="ar-SA"/>
          </w:rPr>
          <w:t>裁定书</w:t>
        </w:r>
      </w:hyperlink>
    </w:p>
    <w:p w:rsidR="00861BFE" w:rsidRDefault="00861BFE">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裁定类型：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终结诉讼</w:t>
      </w:r>
      <w:r>
        <w:rPr>
          <w:rStyle w:val="fulltext-wrapfieldsulli"/>
          <w:rFonts w:ascii="宋体" w:eastAsia="宋体" w:hAnsi="宋体" w:cs="宋体"/>
          <w:sz w:val="23"/>
          <w:szCs w:val="23"/>
          <w:lang w:val="en-US" w:eastAsia="zh-CN" w:bidi="ar-SA"/>
        </w:rPr>
        <w:t xml:space="preserve"> </w:t>
      </w:r>
    </w:p>
    <w:p w:rsidR="00861BFE" w:rsidRDefault="00861BFE">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861BFE" w:rsidRDefault="00861BFE">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row"/>
          <w:rFonts w:ascii="宋体" w:eastAsia="宋体" w:hAnsi="宋体" w:cs="宋体"/>
          <w:color w:val="999999"/>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河南省高级人民法院</w:t>
        </w:r>
      </w:hyperlink>
    </w:p>
    <w:p w:rsidR="00861BFE" w:rsidRDefault="00861BFE">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2021.01.28</w:t>
      </w:r>
    </w:p>
    <w:p w:rsidR="00861BFE" w:rsidRDefault="00861BFE">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5" w:tgtFrame="_blank" w:history="1">
        <w:r>
          <w:rPr>
            <w:rStyle w:val="fulltext-wrapfieldsullia"/>
            <w:rFonts w:ascii="宋体" w:eastAsia="宋体" w:hAnsi="宋体" w:cs="宋体"/>
            <w:sz w:val="23"/>
            <w:szCs w:val="23"/>
            <w:lang w:val="en-US" w:eastAsia="zh-CN" w:bidi="ar-SA"/>
          </w:rPr>
          <w:t>民事申请再审审查</w:t>
        </w:r>
      </w:hyperlink>
    </w:p>
    <w:p w:rsidR="00861BFE" w:rsidRDefault="00861BFE">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6" w:tgtFrame="_blank" w:history="1">
        <w:r>
          <w:rPr>
            <w:rStyle w:val="fulltext-wrapfieldsullia"/>
            <w:rFonts w:ascii="宋体" w:eastAsia="宋体" w:hAnsi="宋体" w:cs="宋体"/>
            <w:sz w:val="23"/>
            <w:szCs w:val="23"/>
            <w:lang w:val="en-US" w:eastAsia="zh-CN" w:bidi="ar-SA"/>
          </w:rPr>
          <w:t>再审</w:t>
        </w:r>
      </w:hyperlink>
    </w:p>
    <w:p w:rsidR="00861BFE" w:rsidRDefault="00861BFE">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代理律师</w:t>
      </w:r>
      <w:r>
        <w:rPr>
          <w:rStyle w:val="fulltext-wrapfieldsulliboxstrong"/>
          <w:rFonts w:ascii="宋体" w:eastAsia="宋体" w:hAnsi="宋体" w:cs="宋体"/>
          <w:sz w:val="23"/>
          <w:szCs w:val="23"/>
          <w:lang w:val="en-US" w:eastAsia="zh-CN" w:bidi="ar-SA"/>
        </w:rPr>
        <w:t>/</w:t>
      </w:r>
      <w:r>
        <w:rPr>
          <w:rStyle w:val="fulltext-wrapfieldsulliboxstrong"/>
          <w:rFonts w:ascii="宋体" w:eastAsia="宋体" w:hAnsi="宋体" w:cs="宋体"/>
          <w:sz w:val="23"/>
          <w:szCs w:val="23"/>
          <w:lang w:val="en-US" w:eastAsia="zh-CN" w:bidi="ar-SA"/>
        </w:rPr>
        <w:t>律所：</w:t>
      </w:r>
      <w:r>
        <w:rPr>
          <w:rStyle w:val="fulltext-wrapfieldsullia"/>
          <w:rFonts w:ascii="宋体" w:eastAsia="宋体" w:hAnsi="宋体" w:cs="宋体"/>
          <w:sz w:val="23"/>
          <w:szCs w:val="23"/>
          <w:lang w:val="en-US" w:eastAsia="zh-CN" w:bidi="ar-SA"/>
        </w:rPr>
        <w:t>王高应</w:t>
      </w:r>
      <w:r>
        <w:rPr>
          <w:rStyle w:val="fulltext-wrapfieldsulrow"/>
          <w:rFonts w:ascii="宋体" w:eastAsia="宋体" w:hAnsi="宋体" w:cs="宋体"/>
          <w:color w:val="999999"/>
          <w:sz w:val="23"/>
          <w:szCs w:val="23"/>
          <w:lang w:val="en-US" w:eastAsia="zh-CN" w:bidi="ar-SA"/>
        </w:rPr>
        <w:t>,</w:t>
      </w:r>
      <w:hyperlink r:id="rId17" w:history="1">
        <w:r>
          <w:rPr>
            <w:rStyle w:val="fulltext-wrapfieldsullia"/>
            <w:rFonts w:ascii="宋体" w:eastAsia="宋体" w:hAnsi="宋体" w:cs="宋体"/>
            <w:sz w:val="23"/>
            <w:szCs w:val="23"/>
            <w:lang w:val="en-US" w:eastAsia="zh-CN" w:bidi="ar-SA"/>
          </w:rPr>
          <w:t>上海市建纬（郑州）律师事务所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吕姣姣</w:t>
      </w:r>
      <w:r>
        <w:rPr>
          <w:rStyle w:val="fulltext-wrapfieldsulrow"/>
          <w:rFonts w:ascii="宋体" w:eastAsia="宋体" w:hAnsi="宋体" w:cs="宋体"/>
          <w:color w:val="999999"/>
          <w:sz w:val="23"/>
          <w:szCs w:val="23"/>
          <w:lang w:val="en-US" w:eastAsia="zh-CN" w:bidi="ar-SA"/>
        </w:rPr>
        <w:t>,</w:t>
      </w:r>
      <w:hyperlink r:id="rId18" w:history="1">
        <w:r>
          <w:rPr>
            <w:rStyle w:val="fulltext-wrapfieldsullia"/>
            <w:rFonts w:ascii="宋体" w:eastAsia="宋体" w:hAnsi="宋体" w:cs="宋体"/>
            <w:sz w:val="23"/>
            <w:szCs w:val="23"/>
            <w:lang w:val="en-US" w:eastAsia="zh-CN" w:bidi="ar-SA"/>
          </w:rPr>
          <w:t>上海市建纬（郑州）律师事务所</w:t>
        </w:r>
      </w:hyperlink>
      <w:r>
        <w:rPr>
          <w:rStyle w:val="fulltext-wrapfieldsulrow"/>
          <w:rFonts w:ascii="宋体" w:eastAsia="宋体" w:hAnsi="宋体" w:cs="宋体"/>
          <w:color w:val="999999"/>
          <w:sz w:val="23"/>
          <w:szCs w:val="23"/>
          <w:lang w:val="en-US" w:eastAsia="zh-CN" w:bidi="ar-SA"/>
        </w:rPr>
        <w:t>;</w:t>
      </w:r>
    </w:p>
    <w:p w:rsidR="00861BFE" w:rsidRDefault="00861BFE">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19" w:tgtFrame="_blank" w:history="1">
        <w:r>
          <w:rPr>
            <w:rStyle w:val="fulltext-wrapfieldsullia"/>
            <w:rFonts w:ascii="宋体" w:eastAsia="宋体" w:hAnsi="宋体" w:cs="宋体"/>
            <w:sz w:val="23"/>
            <w:szCs w:val="23"/>
            <w:lang w:val="en-US" w:eastAsia="zh-CN" w:bidi="ar-SA"/>
          </w:rPr>
          <w:t>以合法形式掩盖非法目的</w:t>
        </w:r>
      </w:hyperlink>
      <w:r>
        <w:rPr>
          <w:rStyle w:val="fulltext-wrapfieldsulrow"/>
          <w:rFonts w:ascii="宋体" w:eastAsia="宋体" w:hAnsi="宋体" w:cs="宋体"/>
          <w:color w:val="999999"/>
          <w:sz w:val="23"/>
          <w:szCs w:val="23"/>
          <w:lang w:val="en-US" w:eastAsia="zh-CN" w:bidi="ar-SA"/>
        </w:rPr>
        <w:t xml:space="preserve"> </w:t>
      </w:r>
      <w:hyperlink r:id="rId20" w:tgtFrame="_blank" w:history="1">
        <w:r>
          <w:rPr>
            <w:rStyle w:val="fulltext-wrapfieldsullia"/>
            <w:rFonts w:ascii="宋体" w:eastAsia="宋体" w:hAnsi="宋体" w:cs="宋体"/>
            <w:sz w:val="23"/>
            <w:szCs w:val="23"/>
            <w:lang w:val="en-US" w:eastAsia="zh-CN" w:bidi="ar-SA"/>
          </w:rPr>
          <w:t>合同</w:t>
        </w:r>
      </w:hyperlink>
      <w:r>
        <w:rPr>
          <w:rStyle w:val="fulltext-wrapfieldsulrow"/>
          <w:rFonts w:ascii="宋体" w:eastAsia="宋体" w:hAnsi="宋体" w:cs="宋体"/>
          <w:color w:val="999999"/>
          <w:sz w:val="23"/>
          <w:szCs w:val="23"/>
          <w:lang w:val="en-US" w:eastAsia="zh-CN" w:bidi="ar-SA"/>
        </w:rPr>
        <w:t xml:space="preserve"> </w:t>
      </w:r>
      <w:hyperlink r:id="rId21" w:tgtFrame="_blank" w:history="1">
        <w:r>
          <w:rPr>
            <w:rStyle w:val="fulltext-wrapfieldsullia"/>
            <w:rFonts w:ascii="宋体" w:eastAsia="宋体" w:hAnsi="宋体" w:cs="宋体"/>
            <w:sz w:val="23"/>
            <w:szCs w:val="23"/>
            <w:lang w:val="en-US" w:eastAsia="zh-CN" w:bidi="ar-SA"/>
          </w:rPr>
          <w:t>第三人</w:t>
        </w:r>
      </w:hyperlink>
      <w:r>
        <w:rPr>
          <w:rStyle w:val="fulltext-wrapfieldsulrow"/>
          <w:rFonts w:ascii="宋体" w:eastAsia="宋体" w:hAnsi="宋体" w:cs="宋体"/>
          <w:color w:val="999999"/>
          <w:sz w:val="23"/>
          <w:szCs w:val="23"/>
          <w:lang w:val="en-US" w:eastAsia="zh-CN" w:bidi="ar-SA"/>
        </w:rPr>
        <w:t xml:space="preserve"> </w:t>
      </w:r>
      <w:hyperlink r:id="rId22" w:tgtFrame="_blank" w:history="1">
        <w:r>
          <w:rPr>
            <w:rStyle w:val="fulltext-wrapfieldsullia"/>
            <w:rFonts w:ascii="宋体" w:eastAsia="宋体" w:hAnsi="宋体" w:cs="宋体"/>
            <w:sz w:val="23"/>
            <w:szCs w:val="23"/>
            <w:lang w:val="en-US" w:eastAsia="zh-CN" w:bidi="ar-SA"/>
          </w:rPr>
          <w:t>合法性</w:t>
        </w:r>
      </w:hyperlink>
      <w:r>
        <w:rPr>
          <w:rStyle w:val="fulltext-wrapfieldsulrow"/>
          <w:rFonts w:ascii="宋体" w:eastAsia="宋体" w:hAnsi="宋体" w:cs="宋体"/>
          <w:color w:val="999999"/>
          <w:sz w:val="23"/>
          <w:szCs w:val="23"/>
          <w:lang w:val="en-US" w:eastAsia="zh-CN" w:bidi="ar-SA"/>
        </w:rPr>
        <w:t xml:space="preserve"> </w:t>
      </w:r>
      <w:hyperlink r:id="rId23" w:tgtFrame="_blank" w:history="1">
        <w:r>
          <w:rPr>
            <w:rStyle w:val="fulltext-wrapfieldsullia"/>
            <w:rFonts w:ascii="宋体" w:eastAsia="宋体" w:hAnsi="宋体" w:cs="宋体"/>
            <w:sz w:val="23"/>
            <w:szCs w:val="23"/>
            <w:lang w:val="en-US" w:eastAsia="zh-CN" w:bidi="ar-SA"/>
          </w:rPr>
          <w:t>申请再审</w:t>
        </w:r>
      </w:hyperlink>
      <w:r>
        <w:rPr>
          <w:rStyle w:val="fulltext-wrapfieldsulrow"/>
          <w:rFonts w:ascii="宋体" w:eastAsia="宋体" w:hAnsi="宋体" w:cs="宋体"/>
          <w:color w:val="999999"/>
          <w:sz w:val="23"/>
          <w:szCs w:val="23"/>
          <w:lang w:val="en-US" w:eastAsia="zh-CN" w:bidi="ar-SA"/>
        </w:rPr>
        <w:t xml:space="preserve"> </w:t>
      </w:r>
      <w:hyperlink r:id="rId24" w:tgtFrame="_blank" w:history="1">
        <w:r>
          <w:rPr>
            <w:rStyle w:val="fulltext-wrapfieldsullia"/>
            <w:rFonts w:ascii="宋体" w:eastAsia="宋体" w:hAnsi="宋体" w:cs="宋体"/>
            <w:sz w:val="23"/>
            <w:szCs w:val="23"/>
            <w:lang w:val="en-US" w:eastAsia="zh-CN" w:bidi="ar-SA"/>
          </w:rPr>
          <w:t>审判监督</w:t>
        </w:r>
      </w:hyperlink>
      <w:r>
        <w:rPr>
          <w:rStyle w:val="fulltext-wrapfieldsulrow"/>
          <w:rFonts w:ascii="宋体" w:eastAsia="宋体" w:hAnsi="宋体" w:cs="宋体"/>
          <w:color w:val="999999"/>
          <w:sz w:val="23"/>
          <w:szCs w:val="23"/>
          <w:lang w:val="en-US" w:eastAsia="zh-CN" w:bidi="ar-SA"/>
        </w:rPr>
        <w:t xml:space="preserve"> </w:t>
      </w:r>
      <w:hyperlink r:id="rId25" w:tgtFrame="_blank" w:history="1">
        <w:r>
          <w:rPr>
            <w:rStyle w:val="fulltext-wrapfieldsullia"/>
            <w:rFonts w:ascii="宋体" w:eastAsia="宋体" w:hAnsi="宋体" w:cs="宋体"/>
            <w:sz w:val="23"/>
            <w:szCs w:val="23"/>
            <w:lang w:val="en-US" w:eastAsia="zh-CN" w:bidi="ar-SA"/>
          </w:rPr>
          <w:t>清算</w:t>
        </w:r>
      </w:hyperlink>
    </w:p>
    <w:p w:rsidR="00861BFE" w:rsidRDefault="00861BFE">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相关企业：</w:t>
      </w:r>
      <w:hyperlink r:id="rId26" w:history="1">
        <w:r>
          <w:rPr>
            <w:rStyle w:val="fulltext-wrapfieldsullia"/>
            <w:rFonts w:ascii="宋体" w:eastAsia="宋体" w:hAnsi="宋体" w:cs="宋体"/>
            <w:sz w:val="23"/>
            <w:szCs w:val="23"/>
            <w:lang w:val="en-US" w:eastAsia="zh-CN" w:bidi="ar-SA"/>
          </w:rPr>
          <w:t>登封电厂集团有限公司</w:t>
        </w:r>
      </w:hyperlink>
      <w:hyperlink r:id="rId27" w:history="1">
        <w:r>
          <w:rPr>
            <w:rStyle w:val="fulltext-wrapfieldsullia"/>
            <w:rFonts w:ascii="宋体" w:eastAsia="宋体" w:hAnsi="宋体" w:cs="宋体"/>
            <w:sz w:val="23"/>
            <w:szCs w:val="23"/>
            <w:lang w:val="en-US" w:eastAsia="zh-CN" w:bidi="ar-SA"/>
          </w:rPr>
          <w:t>郑州俱进热电能源有限公司</w:t>
        </w:r>
      </w:hyperlink>
    </w:p>
    <w:p w:rsidR="00861BFE" w:rsidRDefault="00861BFE">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861BFE" w:rsidRDefault="00861BFE">
      <w:pPr>
        <w:ind w:left="375" w:right="375"/>
        <w:rPr>
          <w:rFonts w:ascii="Arial" w:eastAsia="Arial" w:hAnsi="Arial" w:cs="Arial"/>
          <w:lang w:val="en-US" w:eastAsia="zh-CN" w:bidi="ar-SA"/>
        </w:rPr>
      </w:pPr>
      <w:r>
        <w:rPr>
          <w:rFonts w:ascii="Arial" w:eastAsia="Arial" w:hAnsi="Arial" w:cs="Arial"/>
          <w:lang w:val="en-US" w:eastAsia="zh-CN" w:bidi="ar-SA"/>
        </w:rPr>
        <w:br/>
      </w:r>
    </w:p>
    <w:p w:rsidR="00861BFE" w:rsidRDefault="00861BFE">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郑州俱进热电能源有限公司、丰润香港国际发展投资有限公司债权人代位权纠纷再审审查与审判监督民事裁定书</w:t>
      </w:r>
    </w:p>
    <w:p w:rsidR="00861BFE" w:rsidRDefault="00861BFE">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河南省高级人民法院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民事裁定书</w:t>
      </w:r>
    </w:p>
    <w:p w:rsidR="00861BFE" w:rsidRDefault="00861BFE">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t>(2021)</w:t>
      </w:r>
      <w:r>
        <w:rPr>
          <w:rStyle w:val="span"/>
          <w:rFonts w:ascii="宋体" w:eastAsia="宋体" w:hAnsi="宋体" w:cs="宋体"/>
          <w:color w:val="000000"/>
          <w:sz w:val="27"/>
          <w:szCs w:val="27"/>
          <w:lang w:val="en-US" w:eastAsia="zh-CN" w:bidi="ar-SA"/>
        </w:rPr>
        <w:t>豫民申</w:t>
      </w:r>
      <w:r>
        <w:rPr>
          <w:rStyle w:val="span"/>
          <w:rFonts w:ascii="宋体" w:eastAsia="宋体" w:hAnsi="宋体" w:cs="宋体"/>
          <w:color w:val="000000"/>
          <w:sz w:val="27"/>
          <w:szCs w:val="27"/>
          <w:lang w:val="en-US" w:eastAsia="zh-CN" w:bidi="ar-SA"/>
        </w:rPr>
        <w:t>448</w:t>
      </w:r>
      <w:r>
        <w:rPr>
          <w:rStyle w:val="span"/>
          <w:rFonts w:ascii="宋体" w:eastAsia="宋体" w:hAnsi="宋体" w:cs="宋体"/>
          <w:color w:val="000000"/>
          <w:sz w:val="27"/>
          <w:szCs w:val="27"/>
          <w:lang w:val="en-US" w:eastAsia="zh-CN" w:bidi="ar-SA"/>
        </w:rPr>
        <w:t>号</w:t>
      </w:r>
    </w:p>
    <w:p w:rsidR="00861BFE" w:rsidRDefault="00861BFE">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lastRenderedPageBreak/>
        <w:br/>
      </w:r>
      <w:r>
        <w:rPr>
          <w:rStyle w:val="span"/>
          <w:rFonts w:ascii="宋体" w:eastAsia="宋体" w:hAnsi="宋体" w:cs="宋体"/>
          <w:vanish/>
          <w:color w:val="000000"/>
          <w:sz w:val="27"/>
          <w:szCs w:val="27"/>
          <w:lang w:val="en-US" w:eastAsia="zh-CN" w:bidi="ar-SA"/>
        </w:rPr>
        <w:t>当事人</w:t>
      </w:r>
      <w:bookmarkStart w:id="3" w:name="anchor-0"/>
      <w:bookmarkEnd w:id="3"/>
      <w:r>
        <w:rPr>
          <w:rFonts w:ascii="宋体" w:eastAsia="宋体" w:hAnsi="宋体" w:cs="宋体"/>
          <w:color w:val="000000"/>
          <w:sz w:val="27"/>
          <w:szCs w:val="27"/>
          <w:lang w:val="en-US" w:eastAsia="zh-CN" w:bidi="ar-SA"/>
        </w:rPr>
        <w:t xml:space="preserve">　　再审申请人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一审第三人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hyperlink r:id="rId28" w:history="1">
        <w:r>
          <w:rPr>
            <w:rStyle w:val="fulltext-wrapfulltexta"/>
            <w:rFonts w:ascii="宋体" w:eastAsia="宋体" w:hAnsi="宋体" w:cs="宋体"/>
            <w:sz w:val="27"/>
            <w:szCs w:val="27"/>
            <w:lang w:val="en-US" w:eastAsia="zh-CN" w:bidi="ar-SA"/>
          </w:rPr>
          <w:t>郑州俱进热电能源有限公司</w:t>
        </w:r>
      </w:hyperlink>
      <w:r>
        <w:rPr>
          <w:rFonts w:ascii="宋体" w:eastAsia="宋体" w:hAnsi="宋体" w:cs="宋体"/>
          <w:color w:val="000000"/>
          <w:sz w:val="27"/>
          <w:szCs w:val="27"/>
          <w:lang w:val="en-US" w:eastAsia="zh-CN" w:bidi="ar-SA"/>
        </w:rPr>
        <w:t>，住所地河南省郑州市登封市生态工业园区。</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法定代表人：闫奇俊，该公司董事长。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委托诉讼代理人：王高应，上海市建纬</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郑州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委托诉讼代理人：吕姣姣，上海市建纬</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郑州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被申请人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一审原告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：丰润香港国际发展投资有限公司，住所地中国香港特别行政区中环皇后大道中某某新纪元广场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低座</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某某</w:t>
      </w:r>
      <w:r>
        <w:rPr>
          <w:rFonts w:ascii="宋体" w:eastAsia="宋体" w:hAnsi="宋体" w:cs="宋体"/>
          <w:color w:val="000000"/>
          <w:sz w:val="27"/>
          <w:szCs w:val="27"/>
          <w:lang w:val="en-US" w:eastAsia="zh-CN" w:bidi="ar-SA"/>
        </w:rPr>
        <w:t>C1</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法定代表人：李颖玲，该公司董事长。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委托诉讼代理人：徐东芝，国浩律师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天津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委托诉讼代理人：李冠楠，国浩律师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天津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一审被告：</w:t>
      </w:r>
      <w:hyperlink r:id="rId29" w:history="1">
        <w:r>
          <w:rPr>
            <w:rStyle w:val="fulltext-wrapfulltexta"/>
            <w:rFonts w:ascii="宋体" w:eastAsia="宋体" w:hAnsi="宋体" w:cs="宋体"/>
            <w:sz w:val="27"/>
            <w:szCs w:val="27"/>
            <w:lang w:val="en-US" w:eastAsia="zh-CN" w:bidi="ar-SA"/>
          </w:rPr>
          <w:t>登封电厂集团有限公司</w:t>
        </w:r>
      </w:hyperlink>
      <w:r>
        <w:rPr>
          <w:rFonts w:ascii="宋体" w:eastAsia="宋体" w:hAnsi="宋体" w:cs="宋体"/>
          <w:color w:val="000000"/>
          <w:sz w:val="27"/>
          <w:szCs w:val="27"/>
          <w:lang w:val="en-US" w:eastAsia="zh-CN" w:bidi="ar-SA"/>
        </w:rPr>
        <w:t>，住所地河南省登封市中岳大街西段某某。</w:t>
      </w:r>
    </w:p>
    <w:p w:rsidR="00861BFE" w:rsidRDefault="00861BFE">
      <w:pPr>
        <w:pStyle w:val="div"/>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w:t>
      </w:r>
      <w:r>
        <w:rPr>
          <w:rFonts w:ascii="宋体" w:eastAsia="宋体" w:hAnsi="宋体" w:cs="宋体"/>
          <w:color w:val="000000"/>
          <w:sz w:val="27"/>
          <w:szCs w:val="27"/>
          <w:lang w:val="en-US" w:eastAsia="zh-CN" w:bidi="ar-SA"/>
        </w:rPr>
        <w:t>法定代表人：闫奇俊，该公司总经理。</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委托诉讼代理人：王高应，上海市建纬</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郑州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委托诉讼代理人：吕姣姣，上海市建纬</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郑州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审理经过</w:t>
      </w:r>
      <w:bookmarkStart w:id="4" w:name="anchor-1"/>
      <w:bookmarkEnd w:id="4"/>
      <w:r>
        <w:rPr>
          <w:rFonts w:ascii="宋体" w:eastAsia="宋体" w:hAnsi="宋体" w:cs="宋体"/>
          <w:color w:val="000000"/>
          <w:sz w:val="27"/>
          <w:szCs w:val="27"/>
          <w:lang w:val="en-US" w:eastAsia="zh-CN" w:bidi="ar-SA"/>
        </w:rPr>
        <w:t xml:space="preserve">　　再审申请人郑州俱进热电能源有限公司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以下简称俱进公司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因与被申请人丰润香港国际发展投资有限公司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以下简称丰润公司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及一审被告登封电厂集团有限公司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以下简称登电集团</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债权人代位权纠纷一案，不服河南省郑州市中级人民法院</w:t>
      </w:r>
      <w:r>
        <w:rPr>
          <w:rStyle w:val="span"/>
          <w:rFonts w:ascii="宋体" w:eastAsia="宋体" w:hAnsi="宋体" w:cs="宋体"/>
          <w:color w:val="000000"/>
          <w:sz w:val="27"/>
          <w:szCs w:val="27"/>
          <w:lang w:val="en-US" w:eastAsia="zh-CN" w:bidi="ar-SA"/>
        </w:rPr>
        <w:t>(2019)</w:t>
      </w:r>
      <w:r>
        <w:rPr>
          <w:rStyle w:val="span"/>
          <w:rFonts w:ascii="宋体" w:eastAsia="宋体" w:hAnsi="宋体" w:cs="宋体"/>
          <w:color w:val="000000"/>
          <w:sz w:val="27"/>
          <w:szCs w:val="27"/>
          <w:lang w:val="en-US" w:eastAsia="zh-CN" w:bidi="ar-SA"/>
        </w:rPr>
        <w:t>豫</w:t>
      </w:r>
      <w:r>
        <w:rPr>
          <w:rStyle w:val="span"/>
          <w:rFonts w:ascii="宋体" w:eastAsia="宋体" w:hAnsi="宋体" w:cs="宋体"/>
          <w:color w:val="000000"/>
          <w:sz w:val="27"/>
          <w:szCs w:val="27"/>
          <w:lang w:val="en-US" w:eastAsia="zh-CN" w:bidi="ar-SA"/>
        </w:rPr>
        <w:t>01</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2340</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民事调解书</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w:t>
      </w:r>
      <w:r>
        <w:rPr>
          <w:rFonts w:ascii="宋体" w:eastAsia="宋体" w:hAnsi="宋体" w:cs="宋体"/>
          <w:color w:val="000000"/>
          <w:sz w:val="27"/>
          <w:szCs w:val="27"/>
          <w:lang w:val="en-US" w:eastAsia="zh-CN" w:bidi="ar-SA"/>
        </w:rPr>
        <w:t>2340</w:t>
      </w:r>
      <w:r>
        <w:rPr>
          <w:rFonts w:ascii="宋体" w:eastAsia="宋体" w:hAnsi="宋体" w:cs="宋体"/>
          <w:color w:val="000000"/>
          <w:sz w:val="27"/>
          <w:szCs w:val="27"/>
          <w:lang w:val="en-US" w:eastAsia="zh-CN" w:bidi="ar-SA"/>
        </w:rPr>
        <w:t>号调解书</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，向本院申请再审。本院于</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日立案后，依法组成合议庭进行了审查，现已审查终结。</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再审申请人诉称</w:t>
      </w:r>
      <w:bookmarkStart w:id="5" w:name="anchor-3"/>
      <w:bookmarkEnd w:id="5"/>
      <w:r>
        <w:rPr>
          <w:rFonts w:ascii="宋体" w:eastAsia="宋体" w:hAnsi="宋体" w:cs="宋体"/>
          <w:color w:val="000000"/>
          <w:sz w:val="27"/>
          <w:szCs w:val="27"/>
          <w:lang w:val="en-US" w:eastAsia="zh-CN" w:bidi="ar-SA"/>
        </w:rPr>
        <w:t xml:space="preserve">　　俱进公司申请再审称，一、</w:t>
      </w:r>
      <w:r>
        <w:rPr>
          <w:rFonts w:ascii="宋体" w:eastAsia="宋体" w:hAnsi="宋体" w:cs="宋体"/>
          <w:color w:val="000000"/>
          <w:sz w:val="27"/>
          <w:szCs w:val="27"/>
          <w:lang w:val="en-US" w:eastAsia="zh-CN" w:bidi="ar-SA"/>
        </w:rPr>
        <w:t>2340</w:t>
      </w:r>
      <w:r>
        <w:rPr>
          <w:rFonts w:ascii="宋体" w:eastAsia="宋体" w:hAnsi="宋体" w:cs="宋体"/>
          <w:color w:val="000000"/>
          <w:sz w:val="27"/>
          <w:szCs w:val="27"/>
          <w:lang w:val="en-US" w:eastAsia="zh-CN" w:bidi="ar-SA"/>
        </w:rPr>
        <w:t>号调解书第二项俱进公司向</w:t>
      </w:r>
      <w:r>
        <w:rPr>
          <w:rFonts w:ascii="宋体" w:eastAsia="宋体" w:hAnsi="宋体" w:cs="宋体"/>
          <w:color w:val="000000"/>
          <w:sz w:val="27"/>
          <w:szCs w:val="27"/>
          <w:lang w:val="en-US" w:eastAsia="zh-CN" w:bidi="ar-SA"/>
        </w:rPr>
        <w:lastRenderedPageBreak/>
        <w:t>丰润公司支付的款项中除分红款外还存在赔偿金，即利息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依据国家政策及法律规定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该部分分红款俱进公司无法且不能向丰润公司支付。</w:t>
      </w:r>
      <w:r>
        <w:rPr>
          <w:rFonts w:ascii="宋体" w:eastAsia="宋体" w:hAnsi="宋体" w:cs="宋体"/>
          <w:color w:val="000000"/>
          <w:sz w:val="27"/>
          <w:szCs w:val="27"/>
          <w:lang w:val="en-US" w:eastAsia="zh-CN" w:bidi="ar-SA"/>
        </w:rPr>
        <w:t>1.2017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河南省人民政府印发《河南省推进能源业转型发展实施方案》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豫政办</w:t>
      </w:r>
      <w:r>
        <w:rPr>
          <w:rFonts w:ascii="宋体" w:eastAsia="宋体" w:hAnsi="宋体" w:cs="宋体"/>
          <w:color w:val="000000"/>
          <w:sz w:val="27"/>
          <w:szCs w:val="27"/>
          <w:lang w:val="en-US" w:eastAsia="zh-CN" w:bidi="ar-SA"/>
        </w:rPr>
        <w:t>[2017]134</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要求郑州市制定市区及周边地区煤电结构化方案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实施主城区煤电机组清零行动。</w:t>
      </w:r>
      <w:r>
        <w:rPr>
          <w:rFonts w:ascii="宋体" w:eastAsia="宋体" w:hAnsi="宋体" w:cs="宋体"/>
          <w:color w:val="000000"/>
          <w:sz w:val="27"/>
          <w:szCs w:val="27"/>
          <w:lang w:val="en-US" w:eastAsia="zh-CN" w:bidi="ar-SA"/>
        </w:rPr>
        <w:t>2018</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郑州市人民政府《关于印发郑州市煤电行业转型发展实施方案的通知》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郑政文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2018]91</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该实施方案附件明确要求俱进公司电厂在</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月实施关停。依据国家政策规定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俱进公司电厂关停，俱进公司需补缴欠缴的政府性基金、政府交叉补贴及系统备用费等各项费用，俱进公司在该费用结清后方能向丰润公司支付相应的分红款项。</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国家发展改革委、国家能源局《关于印发</w:t>
      </w:r>
      <w:hyperlink r:id="rId30" w:history="1">
        <w:r>
          <w:rPr>
            <w:rStyle w:val="fulltext-wrapfulltexta"/>
            <w:rFonts w:ascii="宋体" w:eastAsia="宋体" w:hAnsi="宋体" w:cs="宋体"/>
            <w:sz w:val="27"/>
            <w:szCs w:val="27"/>
            <w:lang w:val="en-US" w:eastAsia="zh-CN" w:bidi="ar-SA"/>
          </w:rPr>
          <w:t>电力体制改革配套文件的通知</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发改经体</w:t>
      </w:r>
      <w:r>
        <w:rPr>
          <w:rFonts w:ascii="宋体" w:eastAsia="宋体" w:hAnsi="宋体" w:cs="宋体"/>
          <w:color w:val="000000"/>
          <w:sz w:val="27"/>
          <w:szCs w:val="27"/>
          <w:lang w:val="en-US" w:eastAsia="zh-CN" w:bidi="ar-SA"/>
        </w:rPr>
        <w:t>[2015]2752</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附件</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《关于加强和规范燃煤自备电厂监督管理的指导意见》明确规定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企业自备电厂自发用电量应承担并足额缴纳国家重大水利工程建设基金、农网还贷资金、可再生能源发展基金、大中型水库移民后期扶持基金和城市公用事业附加等依法合规设立的政府性基金以及政策性交叉补贴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各级地方政府均不得随意减免或选择性征收。拥有并网运行自备电厂的企业应与电网企业协商确定备用容量</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并按约定的备用容量向电网企业支付系统备用费。经初步核查测算</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俱进公司需缴纳欠缴的</w:t>
      </w:r>
      <w:r>
        <w:rPr>
          <w:rFonts w:ascii="宋体" w:eastAsia="宋体" w:hAnsi="宋体" w:cs="宋体"/>
          <w:color w:val="000000"/>
          <w:sz w:val="27"/>
          <w:szCs w:val="27"/>
          <w:lang w:val="en-US" w:eastAsia="zh-CN" w:bidi="ar-SA"/>
        </w:rPr>
        <w:t>2005</w:t>
      </w:r>
      <w:r>
        <w:rPr>
          <w:rFonts w:ascii="宋体" w:eastAsia="宋体" w:hAnsi="宋体" w:cs="宋体"/>
          <w:color w:val="000000"/>
          <w:sz w:val="27"/>
          <w:szCs w:val="27"/>
          <w:lang w:val="en-US" w:eastAsia="zh-CN" w:bidi="ar-SA"/>
        </w:rPr>
        <w:t>年度至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年度前</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个月政府性基金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含农网还贷金、可再生能源附加、大</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中</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小型水库移民后期扶持基金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、政府性交叉补贴及系统备用费共计</w:t>
      </w:r>
      <w:r>
        <w:rPr>
          <w:rFonts w:ascii="宋体" w:eastAsia="宋体" w:hAnsi="宋体" w:cs="宋体"/>
          <w:color w:val="000000"/>
          <w:sz w:val="27"/>
          <w:szCs w:val="27"/>
          <w:lang w:val="en-US" w:eastAsia="zh-CN" w:bidi="ar-SA"/>
        </w:rPr>
        <w:t>686,597,778.87</w:t>
      </w:r>
      <w:r>
        <w:rPr>
          <w:rFonts w:ascii="宋体" w:eastAsia="宋体" w:hAnsi="宋体" w:cs="宋体"/>
          <w:color w:val="000000"/>
          <w:sz w:val="27"/>
          <w:szCs w:val="27"/>
          <w:lang w:val="en-US" w:eastAsia="zh-CN" w:bidi="ar-SA"/>
        </w:rPr>
        <w:t>元。目前</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俱进公司电厂面临关停</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该部分费用应由各股东登电集团、丰润公司及其他股东从分配利润中按照股权比例进行分摊补缴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以避免国家利益受损。二、</w:t>
      </w:r>
      <w:r>
        <w:rPr>
          <w:rFonts w:ascii="宋体" w:eastAsia="宋体" w:hAnsi="宋体" w:cs="宋体"/>
          <w:color w:val="000000"/>
          <w:sz w:val="27"/>
          <w:szCs w:val="27"/>
          <w:lang w:val="en-US" w:eastAsia="zh-CN" w:bidi="ar-SA"/>
        </w:rPr>
        <w:t>2340</w:t>
      </w:r>
      <w:r>
        <w:rPr>
          <w:rFonts w:ascii="宋体" w:eastAsia="宋体" w:hAnsi="宋体" w:cs="宋体"/>
          <w:color w:val="000000"/>
          <w:sz w:val="27"/>
          <w:szCs w:val="27"/>
          <w:lang w:val="en-US" w:eastAsia="zh-CN" w:bidi="ar-SA"/>
        </w:rPr>
        <w:t>号调解书第二项载明俱进公司向丰润公司支付利息违反法律规定，俱进公司不能向丰润公司支付未分红款项的利息。</w:t>
      </w:r>
      <w:r>
        <w:rPr>
          <w:rFonts w:ascii="宋体" w:eastAsia="宋体" w:hAnsi="宋体" w:cs="宋体"/>
          <w:color w:val="000000"/>
          <w:sz w:val="27"/>
          <w:szCs w:val="27"/>
          <w:lang w:val="en-US" w:eastAsia="zh-CN" w:bidi="ar-SA"/>
        </w:rPr>
        <w:t>1.2340</w:t>
      </w:r>
      <w:r>
        <w:rPr>
          <w:rFonts w:ascii="宋体" w:eastAsia="宋体" w:hAnsi="宋体" w:cs="宋体"/>
          <w:color w:val="000000"/>
          <w:sz w:val="27"/>
          <w:szCs w:val="27"/>
          <w:lang w:val="en-US" w:eastAsia="zh-CN" w:bidi="ar-SA"/>
        </w:rPr>
        <w:t>号调解书载明俱进公司支付丰润公司利息的计算依据是《借据》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即丰润公司将取得的分红款转化为借款并</w:t>
      </w:r>
      <w:r>
        <w:rPr>
          <w:rFonts w:ascii="宋体" w:eastAsia="宋体" w:hAnsi="宋体" w:cs="宋体"/>
          <w:color w:val="000000"/>
          <w:sz w:val="27"/>
          <w:szCs w:val="27"/>
          <w:lang w:val="en-US" w:eastAsia="zh-CN" w:bidi="ar-SA"/>
        </w:rPr>
        <w:t>进而由俱进公司出具了《借</w:t>
      </w:r>
      <w:r>
        <w:rPr>
          <w:rFonts w:ascii="宋体" w:eastAsia="宋体" w:hAnsi="宋体" w:cs="宋体"/>
          <w:color w:val="000000"/>
          <w:sz w:val="27"/>
          <w:szCs w:val="27"/>
          <w:lang w:val="en-US" w:eastAsia="zh-CN" w:bidi="ar-SA"/>
        </w:rPr>
        <w:lastRenderedPageBreak/>
        <w:t>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使丰润公司应得分红款项转化为借款</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致丰润公司无需再向国家缴纳企业所得税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达到了逃避国家税收的非法目的。这种以合法形式掩盖非法目的而签订的《借据》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不仅严重损害了俱进公司的合法权益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更导致国家税收减少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严重损害了国家利益。该《借据》因损害了国家利益而无效。</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俱进公司系中外合作经营企业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丰润公司系香港企业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丰润公司通过将分红款转化为借款的行为属于国内企业向外方企业举借外债。根据《</w:t>
      </w:r>
      <w:hyperlink r:id="rId31" w:history="1">
        <w:r>
          <w:rPr>
            <w:rStyle w:val="fulltext-wrapfulltexta"/>
            <w:rFonts w:ascii="宋体" w:eastAsia="宋体" w:hAnsi="宋体" w:cs="宋体"/>
            <w:sz w:val="27"/>
            <w:szCs w:val="27"/>
            <w:lang w:val="en-US" w:eastAsia="zh-CN" w:bidi="ar-SA"/>
          </w:rPr>
          <w:t>外债管理暂行办法</w:t>
        </w:r>
      </w:hyperlink>
      <w:r>
        <w:rPr>
          <w:rFonts w:ascii="宋体" w:eastAsia="宋体" w:hAnsi="宋体" w:cs="宋体"/>
          <w:color w:val="000000"/>
          <w:sz w:val="27"/>
          <w:szCs w:val="27"/>
          <w:lang w:val="en-US" w:eastAsia="zh-CN" w:bidi="ar-SA"/>
        </w:rPr>
        <w:t>》第</w:t>
      </w:r>
      <w:hyperlink r:id="rId32" w:anchor="tiao_8" w:history="1">
        <w:r>
          <w:rPr>
            <w:rStyle w:val="fulltext-wrapfulltexta"/>
            <w:rFonts w:ascii="宋体" w:eastAsia="宋体" w:hAnsi="宋体" w:cs="宋体"/>
            <w:sz w:val="27"/>
            <w:szCs w:val="27"/>
            <w:lang w:val="en-US" w:eastAsia="zh-CN" w:bidi="ar-SA"/>
          </w:rPr>
          <w:t>八条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国家对各类外债和或有外债实行全口径管理。举借外债、对外担保、外债资金的使用和偿还须符合国家有关法律、法规的规定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第二十一条规定，未经国务院批准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任何政府机关、社会团体、事业单位不得举借外债或对外担保。因此</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对于分红款转为借款并计算利息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在未取得政府主管部门审批的情况下没有合法依据。根据外汇管理有关规定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借入外债需有外汇资金流入并经外管局备案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分红款可以按照规定进行购汇支付</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但利息未经批准、备案不能通过购汇支付至境外。因此</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在实际操作过程中</w:t>
      </w:r>
      <w:r>
        <w:rPr>
          <w:rFonts w:ascii="宋体" w:eastAsia="宋体" w:hAnsi="宋体" w:cs="宋体"/>
          <w:color w:val="000000"/>
          <w:sz w:val="27"/>
          <w:szCs w:val="27"/>
          <w:lang w:val="en-US" w:eastAsia="zh-CN" w:bidi="ar-SA"/>
        </w:rPr>
        <w:t>,2340</w:t>
      </w:r>
      <w:r>
        <w:rPr>
          <w:rFonts w:ascii="宋体" w:eastAsia="宋体" w:hAnsi="宋体" w:cs="宋体"/>
          <w:color w:val="000000"/>
          <w:sz w:val="27"/>
          <w:szCs w:val="27"/>
          <w:lang w:val="en-US" w:eastAsia="zh-CN" w:bidi="ar-SA"/>
        </w:rPr>
        <w:t>号调解书载明俱进公司支付丰润公司的利息不仅不合法</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也无操作路径。</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再审被申请人辩称</w:t>
      </w:r>
      <w:bookmarkStart w:id="6" w:name="anchor-4"/>
      <w:bookmarkEnd w:id="6"/>
      <w:r>
        <w:rPr>
          <w:rFonts w:ascii="宋体" w:eastAsia="宋体" w:hAnsi="宋体" w:cs="宋体"/>
          <w:color w:val="000000"/>
          <w:sz w:val="27"/>
          <w:szCs w:val="27"/>
          <w:lang w:val="en-US" w:eastAsia="zh-CN" w:bidi="ar-SA"/>
        </w:rPr>
        <w:t xml:space="preserve">　　丰润公司辩称，一、俱进公司主张《借据》属于以合法形式掩盖非法目的的无效合同无事实及法律依据，依法应予驳回。俱进公司向丰润公司出具《借据》中的本金数额为丰润公司</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年应得的分红款，该借款本金金额已在相应年度丰润公司应分得分红款的基础上扣除了</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的应缴税款，即丰润公司已按法律规定缴纳了应缴税款，不存在通过分红款转借款逃避国家税收、损害国家利益的目的和事实，合法有效。二、俱进公司主张向丰润公司支付利息存在合法</w:t>
      </w:r>
      <w:r>
        <w:rPr>
          <w:rFonts w:ascii="宋体" w:eastAsia="宋体" w:hAnsi="宋体" w:cs="宋体"/>
          <w:color w:val="000000"/>
          <w:sz w:val="27"/>
          <w:szCs w:val="27"/>
          <w:lang w:val="en-US" w:eastAsia="zh-CN" w:bidi="ar-SA"/>
        </w:rPr>
        <w:t>XXX</w:t>
      </w:r>
      <w:r>
        <w:rPr>
          <w:rFonts w:ascii="宋体" w:eastAsia="宋体" w:hAnsi="宋体" w:cs="宋体"/>
          <w:color w:val="000000"/>
          <w:sz w:val="27"/>
          <w:szCs w:val="27"/>
          <w:lang w:val="en-US" w:eastAsia="zh-CN" w:bidi="ar-SA"/>
        </w:rPr>
        <w:t>且无操作路径无事实及法律依据，依法应予驳回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俱进公司向丰润公司出具的《借据》属于俱进公司对欠付丰润公司分红款的债权确认，并不是俱进公司直接向外资企业举借外债，不受</w:t>
      </w:r>
      <w:hyperlink r:id="rId33" w:history="1">
        <w:r>
          <w:rPr>
            <w:rStyle w:val="fulltext-wrapfulltexta"/>
            <w:rFonts w:ascii="宋体" w:eastAsia="宋体" w:hAnsi="宋体" w:cs="宋体"/>
            <w:sz w:val="27"/>
            <w:szCs w:val="27"/>
            <w:lang w:val="en-US" w:eastAsia="zh-CN" w:bidi="ar-SA"/>
          </w:rPr>
          <w:t>外债管理暂行办法</w:t>
        </w:r>
      </w:hyperlink>
      <w:r>
        <w:rPr>
          <w:rFonts w:ascii="宋体" w:eastAsia="宋体" w:hAnsi="宋体" w:cs="宋体"/>
          <w:color w:val="000000"/>
          <w:sz w:val="27"/>
          <w:szCs w:val="27"/>
          <w:lang w:val="en-US" w:eastAsia="zh-CN" w:bidi="ar-SA"/>
        </w:rPr>
        <w:t>的规范调整。</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退一步讲，即便根据《</w:t>
      </w:r>
      <w:hyperlink r:id="rId34" w:history="1">
        <w:r>
          <w:rPr>
            <w:rStyle w:val="fulltext-wrapfulltexta"/>
            <w:rFonts w:ascii="宋体" w:eastAsia="宋体" w:hAnsi="宋体" w:cs="宋体"/>
            <w:sz w:val="27"/>
            <w:szCs w:val="27"/>
            <w:lang w:val="en-US" w:eastAsia="zh-CN" w:bidi="ar-SA"/>
          </w:rPr>
          <w:t>外债管理暂行办法</w:t>
        </w:r>
      </w:hyperlink>
      <w:r>
        <w:rPr>
          <w:rFonts w:ascii="宋体" w:eastAsia="宋体" w:hAnsi="宋体" w:cs="宋体"/>
          <w:color w:val="000000"/>
          <w:sz w:val="27"/>
          <w:szCs w:val="27"/>
          <w:lang w:val="en-US" w:eastAsia="zh-CN" w:bidi="ar-SA"/>
        </w:rPr>
        <w:t>》第</w:t>
      </w:r>
      <w:hyperlink r:id="rId35" w:anchor="tiao_21" w:history="1">
        <w:r>
          <w:rPr>
            <w:rStyle w:val="fulltext-wrapfulltexta"/>
            <w:rFonts w:ascii="宋体" w:eastAsia="宋体" w:hAnsi="宋体" w:cs="宋体"/>
            <w:sz w:val="27"/>
            <w:szCs w:val="27"/>
            <w:lang w:val="en-US" w:eastAsia="zh-CN" w:bidi="ar-SA"/>
          </w:rPr>
          <w:t>二十一条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未经国务院批准，</w:t>
      </w:r>
      <w:r>
        <w:rPr>
          <w:rFonts w:ascii="宋体" w:eastAsia="宋体" w:hAnsi="宋体" w:cs="宋体"/>
          <w:color w:val="000000"/>
          <w:sz w:val="27"/>
          <w:szCs w:val="27"/>
          <w:lang w:val="en-US" w:eastAsia="zh-CN" w:bidi="ar-SA"/>
        </w:rPr>
        <w:lastRenderedPageBreak/>
        <w:t>任何政府机关、社会团体、事业单位不得举借外债或对外担保</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，俱进公司并非政府机关、社会团体、事业单位。俱进公司据此主张借款未取得政府主管部门审批存在合法</w:t>
      </w:r>
      <w:r>
        <w:rPr>
          <w:rFonts w:ascii="宋体" w:eastAsia="宋体" w:hAnsi="宋体" w:cs="宋体"/>
          <w:color w:val="000000"/>
          <w:sz w:val="27"/>
          <w:szCs w:val="27"/>
          <w:lang w:val="en-US" w:eastAsia="zh-CN" w:bidi="ar-SA"/>
        </w:rPr>
        <w:t>XXX</w:t>
      </w:r>
      <w:r>
        <w:rPr>
          <w:rFonts w:ascii="宋体" w:eastAsia="宋体" w:hAnsi="宋体" w:cs="宋体"/>
          <w:color w:val="000000"/>
          <w:sz w:val="27"/>
          <w:szCs w:val="27"/>
          <w:lang w:val="en-US" w:eastAsia="zh-CN" w:bidi="ar-SA"/>
        </w:rPr>
        <w:t>不成立。</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不论在各方盖章确认的调解协议中，还是一审法院已生效的民事调解书中，均明确是俱进公司对丰润公司应付而未付分红的赔偿款，而非借款利息，仅将借据中的利息计算方式作为参考，该笔款项的性质属于合作公司违反合作合同的约定应支付丰润公司的国际赔偿款。根据国家外汇管理局《关于印发</w:t>
      </w:r>
      <w:hyperlink r:id="rId36" w:history="1">
        <w:r>
          <w:rPr>
            <w:rStyle w:val="fulltext-wrapfulltexta"/>
            <w:rFonts w:ascii="宋体" w:eastAsia="宋体" w:hAnsi="宋体" w:cs="宋体"/>
            <w:sz w:val="27"/>
            <w:szCs w:val="27"/>
            <w:lang w:val="en-US" w:eastAsia="zh-CN" w:bidi="ar-SA"/>
          </w:rPr>
          <w:t>服务贸易外汇管理法规的通知</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汇发</w:t>
      </w:r>
      <w:r>
        <w:rPr>
          <w:rFonts w:ascii="宋体" w:eastAsia="宋体" w:hAnsi="宋体" w:cs="宋体"/>
          <w:color w:val="000000"/>
          <w:sz w:val="27"/>
          <w:szCs w:val="27"/>
          <w:lang w:val="en-US" w:eastAsia="zh-CN" w:bidi="ar-SA"/>
        </w:rPr>
        <w:t>[2013]30</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附件</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w:t>
      </w:r>
      <w:hyperlink r:id="rId37" w:history="1">
        <w:r>
          <w:rPr>
            <w:rStyle w:val="fulltext-wrapfulltexta"/>
            <w:rFonts w:ascii="宋体" w:eastAsia="宋体" w:hAnsi="宋体" w:cs="宋体"/>
            <w:sz w:val="27"/>
            <w:szCs w:val="27"/>
            <w:lang w:val="en-US" w:eastAsia="zh-CN" w:bidi="ar-SA"/>
          </w:rPr>
          <w:t>服务贸易外汇管理指引实施细则</w:t>
        </w:r>
      </w:hyperlink>
      <w:r>
        <w:rPr>
          <w:rFonts w:ascii="宋体" w:eastAsia="宋体" w:hAnsi="宋体" w:cs="宋体"/>
          <w:color w:val="000000"/>
          <w:sz w:val="27"/>
          <w:szCs w:val="27"/>
          <w:lang w:val="en-US" w:eastAsia="zh-CN" w:bidi="ar-SA"/>
        </w:rPr>
        <w:t>》第</w:t>
      </w:r>
      <w:hyperlink r:id="rId38" w:anchor="tiao_6" w:history="1">
        <w:r>
          <w:rPr>
            <w:rStyle w:val="fulltext-wrapfulltexta"/>
            <w:rFonts w:ascii="宋体" w:eastAsia="宋体" w:hAnsi="宋体" w:cs="宋体"/>
            <w:sz w:val="27"/>
            <w:szCs w:val="27"/>
            <w:lang w:val="en-US" w:eastAsia="zh-CN" w:bidi="ar-SA"/>
          </w:rPr>
          <w:t>六条</w:t>
        </w:r>
      </w:hyperlink>
      <w:r>
        <w:rPr>
          <w:rFonts w:ascii="宋体" w:eastAsia="宋体" w:hAnsi="宋体" w:cs="宋体"/>
          <w:color w:val="000000"/>
          <w:sz w:val="27"/>
          <w:szCs w:val="27"/>
          <w:lang w:val="en-US" w:eastAsia="zh-CN" w:bidi="ar-SA"/>
        </w:rPr>
        <w:t>之规定：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办理单笔等值</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万美元以上的服务贸易外汇收支业务，金融机构应按以下规定审查并留存交易单证：</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八</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国际赔偿款项下：原始交易合同、赔偿协议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赔偿条款</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和整个赔偿过程的相关说明或证明材料；或者仅审核法院判决书或仲裁机构出具的仲裁书或有权调解机构出具的调解书等。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退一步将，就支付路径而言，根据</w:t>
      </w:r>
      <w:r>
        <w:rPr>
          <w:rFonts w:ascii="宋体" w:eastAsia="宋体" w:hAnsi="宋体" w:cs="宋体"/>
          <w:color w:val="000000"/>
          <w:sz w:val="27"/>
          <w:szCs w:val="27"/>
          <w:lang w:val="en-US" w:eastAsia="zh-CN" w:bidi="ar-SA"/>
        </w:rPr>
        <w:t>2340</w:t>
      </w:r>
      <w:r>
        <w:rPr>
          <w:rFonts w:ascii="宋体" w:eastAsia="宋体" w:hAnsi="宋体" w:cs="宋体"/>
          <w:color w:val="000000"/>
          <w:sz w:val="27"/>
          <w:szCs w:val="27"/>
          <w:lang w:val="en-US" w:eastAsia="zh-CN" w:bidi="ar-SA"/>
        </w:rPr>
        <w:t>号调解书，俱进公司、登电集团对调解款项的支付路径有两种：可换汇支付至丰润公司境外账户或者直接支付人民币至国浩律师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天津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事务所资金监管账户，款项自汇入丰润公司境外账户或国浩律师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天津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事务所资金监管账户之日，均视为俱进公司、登电集团履行完毕当期应丰付的调解款项支付义务。</w:t>
      </w:r>
      <w:r>
        <w:rPr>
          <w:rFonts w:ascii="宋体" w:eastAsia="宋体" w:hAnsi="宋体" w:cs="宋体"/>
          <w:color w:val="000000"/>
          <w:sz w:val="27"/>
          <w:szCs w:val="27"/>
          <w:lang w:val="en-US" w:eastAsia="zh-CN" w:bidi="ar-SA"/>
        </w:rPr>
        <w:t>2340</w:t>
      </w:r>
      <w:r>
        <w:rPr>
          <w:rFonts w:ascii="宋体" w:eastAsia="宋体" w:hAnsi="宋体" w:cs="宋体"/>
          <w:color w:val="000000"/>
          <w:sz w:val="27"/>
          <w:szCs w:val="27"/>
          <w:lang w:val="en-US" w:eastAsia="zh-CN" w:bidi="ar-SA"/>
        </w:rPr>
        <w:t>号调解书载明的俱进公司支付给丰润公司的赔偿款完全具有现实可行的支付路径。三、俱进公司主张的需要缴付欠缴的政府性基金、政府交叉补贴及系统备用费等发生在</w:t>
      </w:r>
      <w:r>
        <w:rPr>
          <w:rFonts w:ascii="宋体" w:eastAsia="宋体" w:hAnsi="宋体" w:cs="宋体"/>
          <w:color w:val="000000"/>
          <w:sz w:val="27"/>
          <w:szCs w:val="27"/>
          <w:lang w:val="en-US" w:eastAsia="zh-CN" w:bidi="ar-SA"/>
        </w:rPr>
        <w:t>2340</w:t>
      </w:r>
      <w:r>
        <w:rPr>
          <w:rFonts w:ascii="宋体" w:eastAsia="宋体" w:hAnsi="宋体" w:cs="宋体"/>
          <w:color w:val="000000"/>
          <w:sz w:val="27"/>
          <w:szCs w:val="27"/>
          <w:lang w:val="en-US" w:eastAsia="zh-CN" w:bidi="ar-SA"/>
        </w:rPr>
        <w:t>号调解书签署之后，不能成为申请撤销</w:t>
      </w:r>
      <w:r>
        <w:rPr>
          <w:rFonts w:ascii="宋体" w:eastAsia="宋体" w:hAnsi="宋体" w:cs="宋体"/>
          <w:color w:val="000000"/>
          <w:sz w:val="27"/>
          <w:szCs w:val="27"/>
          <w:lang w:val="en-US" w:eastAsia="zh-CN" w:bidi="ar-SA"/>
        </w:rPr>
        <w:t>2340</w:t>
      </w:r>
      <w:r>
        <w:rPr>
          <w:rFonts w:ascii="宋体" w:eastAsia="宋体" w:hAnsi="宋体" w:cs="宋体"/>
          <w:color w:val="000000"/>
          <w:sz w:val="27"/>
          <w:szCs w:val="27"/>
          <w:lang w:val="en-US" w:eastAsia="zh-CN" w:bidi="ar-SA"/>
        </w:rPr>
        <w:t>号调解书的法定事由。且目前政府部门并未明确发文要求俱进公司缴付上述费用，即使后期政府发文明确要求俱进公司承担缴付上述政府性基金、政府交叉补贴及系统备用费，也只能对俱进公司当期财务费用进行调整，而不能推翻以往年度已依法作出的股利分配决议。同</w:t>
      </w:r>
      <w:r>
        <w:rPr>
          <w:rFonts w:ascii="宋体" w:eastAsia="宋体" w:hAnsi="宋体" w:cs="宋体"/>
          <w:color w:val="000000"/>
          <w:sz w:val="27"/>
          <w:szCs w:val="27"/>
          <w:lang w:val="en-US" w:eastAsia="zh-CN" w:bidi="ar-SA"/>
        </w:rPr>
        <w:t>时根据《国家发展和改革委员会、国家能源局关于印发</w:t>
      </w:r>
      <w:hyperlink r:id="rId39" w:history="1">
        <w:r>
          <w:rPr>
            <w:rStyle w:val="fulltext-wrapfulltexta"/>
            <w:rFonts w:ascii="宋体" w:eastAsia="宋体" w:hAnsi="宋体" w:cs="宋体"/>
            <w:sz w:val="27"/>
            <w:szCs w:val="27"/>
            <w:lang w:val="en-US" w:eastAsia="zh-CN" w:bidi="ar-SA"/>
          </w:rPr>
          <w:t>电力体制改革配套文件的通知</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发改经体</w:t>
      </w:r>
      <w:r>
        <w:rPr>
          <w:rFonts w:ascii="宋体" w:eastAsia="宋体" w:hAnsi="宋体" w:cs="宋体"/>
          <w:color w:val="000000"/>
          <w:sz w:val="27"/>
          <w:szCs w:val="27"/>
          <w:lang w:val="en-US" w:eastAsia="zh-CN" w:bidi="ar-SA"/>
        </w:rPr>
        <w:t>[2015]2752</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附</w:t>
      </w:r>
      <w:r>
        <w:rPr>
          <w:rFonts w:ascii="宋体" w:eastAsia="宋体" w:hAnsi="宋体" w:cs="宋体"/>
          <w:color w:val="000000"/>
          <w:sz w:val="27"/>
          <w:szCs w:val="27"/>
          <w:lang w:val="en-US" w:eastAsia="zh-CN" w:bidi="ar-SA"/>
        </w:rPr>
        <w:lastRenderedPageBreak/>
        <w:t>件</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《关于推进售电侧改革的实施意见》明确规定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拥有自备电源的用户应按规定承担国家依法合规设立的政府性基金，以及与产业政策相符合的政策性交叉补贴和系统备用费。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也即应由登电集团承担上述相关费用，而不是俱进公司承担，俱进公司借此主张不向丰润公司支付分红款，企图继续恶意拖欠外方股东的分红款，属于严重违背诚信的抵赖行为。调解协议内容不存在任何违反法律的情形，俱进公司再审请求无事实及法律依据，俱进公司的再审申请应依法予以驳回。</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登电集团同意俱进公司意见。</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本院认为</w:t>
      </w:r>
      <w:bookmarkStart w:id="7" w:name="anchor-5"/>
      <w:bookmarkEnd w:id="7"/>
      <w:r>
        <w:rPr>
          <w:rFonts w:ascii="宋体" w:eastAsia="宋体" w:hAnsi="宋体" w:cs="宋体"/>
          <w:color w:val="000000"/>
          <w:sz w:val="27"/>
          <w:szCs w:val="27"/>
          <w:lang w:val="en-US" w:eastAsia="zh-CN" w:bidi="ar-SA"/>
        </w:rPr>
        <w:t xml:space="preserve">　　本院经审查认为，</w:t>
      </w:r>
      <w:bookmarkStart w:id="8" w:name="anchor-7"/>
      <w:bookmarkEnd w:id="8"/>
      <w:r>
        <w:rPr>
          <w:rFonts w:ascii="宋体" w:eastAsia="宋体" w:hAnsi="宋体" w:cs="宋体"/>
          <w:color w:val="000000"/>
          <w:sz w:val="27"/>
          <w:szCs w:val="27"/>
          <w:lang w:val="en-US" w:eastAsia="zh-CN" w:bidi="ar-SA"/>
        </w:rPr>
        <w:t>《</w:t>
      </w:r>
      <w:hyperlink r:id="rId40"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41" w:anchor="tiao_201" w:history="1">
        <w:r>
          <w:rPr>
            <w:rStyle w:val="fulltext-wrapfulltexta"/>
            <w:rFonts w:ascii="宋体" w:eastAsia="宋体" w:hAnsi="宋体" w:cs="宋体"/>
            <w:sz w:val="27"/>
            <w:szCs w:val="27"/>
            <w:lang w:val="en-US" w:eastAsia="zh-CN" w:bidi="ar-SA"/>
          </w:rPr>
          <w:t>二百零一条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当事人对已经发生法律效力的调解书，提出证据证明调解违反自愿原则或者调解协议的内容违反法律的，可以申请再审。经人民法院审查属实的，应当再审。</w:t>
      </w:r>
      <w:r>
        <w:rPr>
          <w:rFonts w:ascii="宋体" w:eastAsia="宋体" w:hAnsi="宋体" w:cs="宋体"/>
          <w:color w:val="000000"/>
          <w:sz w:val="27"/>
          <w:szCs w:val="27"/>
          <w:lang w:val="en-US" w:eastAsia="zh-CN" w:bidi="ar-SA"/>
        </w:rPr>
        <w:t>”2340</w:t>
      </w:r>
      <w:r>
        <w:rPr>
          <w:rFonts w:ascii="宋体" w:eastAsia="宋体" w:hAnsi="宋体" w:cs="宋体"/>
          <w:color w:val="000000"/>
          <w:sz w:val="27"/>
          <w:szCs w:val="27"/>
          <w:lang w:val="en-US" w:eastAsia="zh-CN" w:bidi="ar-SA"/>
        </w:rPr>
        <w:t>号调解书系在一审法院主持下，各方当事人在平等、自愿、协商一致的前提下共同达成，俱进公司对</w:t>
      </w:r>
      <w:r>
        <w:rPr>
          <w:rFonts w:ascii="宋体" w:eastAsia="宋体" w:hAnsi="宋体" w:cs="宋体"/>
          <w:color w:val="000000"/>
          <w:sz w:val="27"/>
          <w:szCs w:val="27"/>
          <w:lang w:val="en-US" w:eastAsia="zh-CN" w:bidi="ar-SA"/>
        </w:rPr>
        <w:t>2340</w:t>
      </w:r>
      <w:r>
        <w:rPr>
          <w:rFonts w:ascii="宋体" w:eastAsia="宋体" w:hAnsi="宋体" w:cs="宋体"/>
          <w:color w:val="000000"/>
          <w:sz w:val="27"/>
          <w:szCs w:val="27"/>
          <w:lang w:val="en-US" w:eastAsia="zh-CN" w:bidi="ar-SA"/>
        </w:rPr>
        <w:t>号调解协议内容为其真实意思表示亦不否认。俱进公司主张调解协议内容违法而无效的事实理由是丰润公司将应取得的分红款转化为借款并获取利息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丰润公司无需再向国家缴纳企业所得税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达到了逃避国家税收的非法目的。根据各方认可事实，俱进公司系依法设立的中外合作企业，丰润公司为外方股东，登电集团为中方大股东。俱进公司因未及时支付丰润公司</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年应得分红款，于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日向丰润公司出具《借据》，对应付丰润公司</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年应得分红进行确认，借款本金已扣除丰润公司</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的应缴税款。《借据》项下债务并非俱进公司直接向外资企业举借外债，不属于国内企业向外方企业举借外债，丰润公司亦不存在通过分红款转借款逃避国家税收、损害国家利益的非法目的及违法事实。俱进公司拖欠丰润公司</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年应得分红至</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日，期间外方资金占用损失客观</w:t>
      </w:r>
      <w:r>
        <w:rPr>
          <w:rFonts w:ascii="宋体" w:eastAsia="宋体" w:hAnsi="宋体" w:cs="宋体"/>
          <w:color w:val="000000"/>
          <w:sz w:val="27"/>
          <w:szCs w:val="27"/>
          <w:lang w:val="en-US" w:eastAsia="zh-CN" w:bidi="ar-SA"/>
        </w:rPr>
        <w:t>存在，《借据》参照年息</w:t>
      </w:r>
      <w:r>
        <w:rPr>
          <w:rFonts w:ascii="宋体" w:eastAsia="宋体" w:hAnsi="宋体" w:cs="宋体"/>
          <w:color w:val="000000"/>
          <w:sz w:val="27"/>
          <w:szCs w:val="27"/>
          <w:lang w:val="en-US" w:eastAsia="zh-CN" w:bidi="ar-SA"/>
        </w:rPr>
        <w:t>6.5%</w:t>
      </w:r>
      <w:r>
        <w:rPr>
          <w:rFonts w:ascii="宋体" w:eastAsia="宋体" w:hAnsi="宋体" w:cs="宋体"/>
          <w:color w:val="000000"/>
          <w:sz w:val="27"/>
          <w:szCs w:val="27"/>
          <w:lang w:val="en-US" w:eastAsia="zh-CN" w:bidi="ar-SA"/>
        </w:rPr>
        <w:t>对丰润公司的相关损失进行赔偿并不超出《</w:t>
      </w:r>
      <w:hyperlink r:id="rId42" w:history="1">
        <w:r>
          <w:rPr>
            <w:rStyle w:val="fulltext-wrapfulltexta"/>
            <w:rFonts w:ascii="宋体" w:eastAsia="宋体" w:hAnsi="宋体" w:cs="宋体"/>
            <w:sz w:val="27"/>
            <w:szCs w:val="27"/>
            <w:lang w:val="en-US" w:eastAsia="zh-CN" w:bidi="ar-SA"/>
          </w:rPr>
          <w:t>最高人民法院</w:t>
        </w:r>
        <w:r>
          <w:rPr>
            <w:rStyle w:val="fulltext-wrapfulltexta"/>
            <w:rFonts w:ascii="宋体" w:eastAsia="宋体" w:hAnsi="宋体" w:cs="宋体"/>
            <w:sz w:val="27"/>
            <w:szCs w:val="27"/>
            <w:lang w:val="en-US" w:eastAsia="zh-CN" w:bidi="ar-SA"/>
          </w:rPr>
          <w:lastRenderedPageBreak/>
          <w:t>关于审理民间借贷案件适用法律若干问题的规定</w:t>
        </w:r>
      </w:hyperlink>
      <w:r>
        <w:rPr>
          <w:rFonts w:ascii="宋体" w:eastAsia="宋体" w:hAnsi="宋体" w:cs="宋体"/>
          <w:color w:val="000000"/>
          <w:sz w:val="27"/>
          <w:szCs w:val="27"/>
          <w:lang w:val="en-US" w:eastAsia="zh-CN" w:bidi="ar-SA"/>
        </w:rPr>
        <w:t>》第</w:t>
      </w:r>
      <w:hyperlink r:id="rId43" w:anchor="tiao_25" w:history="1">
        <w:r>
          <w:rPr>
            <w:rStyle w:val="fulltext-wrapfulltexta"/>
            <w:rFonts w:ascii="宋体" w:eastAsia="宋体" w:hAnsi="宋体" w:cs="宋体"/>
            <w:sz w:val="27"/>
            <w:szCs w:val="27"/>
            <w:lang w:val="en-US" w:eastAsia="zh-CN" w:bidi="ar-SA"/>
          </w:rPr>
          <w:t>二十五条</w:t>
        </w:r>
      </w:hyperlink>
      <w:r>
        <w:rPr>
          <w:rFonts w:ascii="宋体" w:eastAsia="宋体" w:hAnsi="宋体" w:cs="宋体"/>
          <w:color w:val="000000"/>
          <w:sz w:val="27"/>
          <w:szCs w:val="27"/>
          <w:lang w:val="en-US" w:eastAsia="zh-CN" w:bidi="ar-SA"/>
        </w:rPr>
        <w:t>规定的利率标准，于情合理，于法有据。调解协议约定的支付路径包括支付人民币至国浩律师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天津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事务所资金监管账户，俱进公司所称</w:t>
      </w:r>
      <w:r>
        <w:rPr>
          <w:rFonts w:ascii="宋体" w:eastAsia="宋体" w:hAnsi="宋体" w:cs="宋体"/>
          <w:color w:val="000000"/>
          <w:sz w:val="27"/>
          <w:szCs w:val="27"/>
          <w:lang w:val="en-US" w:eastAsia="zh-CN" w:bidi="ar-SA"/>
        </w:rPr>
        <w:t>2340</w:t>
      </w:r>
      <w:r>
        <w:rPr>
          <w:rFonts w:ascii="宋体" w:eastAsia="宋体" w:hAnsi="宋体" w:cs="宋体"/>
          <w:color w:val="000000"/>
          <w:sz w:val="27"/>
          <w:szCs w:val="27"/>
          <w:lang w:val="en-US" w:eastAsia="zh-CN" w:bidi="ar-SA"/>
        </w:rPr>
        <w:t>号调解书</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无操作路径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于事实不符。俱进公司称依照国家政策俱进公司电厂在</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月实施关停，经自行审核测算，需补缴</w:t>
      </w:r>
      <w:r>
        <w:rPr>
          <w:rFonts w:ascii="宋体" w:eastAsia="宋体" w:hAnsi="宋体" w:cs="宋体"/>
          <w:color w:val="000000"/>
          <w:sz w:val="27"/>
          <w:szCs w:val="27"/>
          <w:lang w:val="en-US" w:eastAsia="zh-CN" w:bidi="ar-SA"/>
        </w:rPr>
        <w:t>2005</w:t>
      </w:r>
      <w:r>
        <w:rPr>
          <w:rFonts w:ascii="宋体" w:eastAsia="宋体" w:hAnsi="宋体" w:cs="宋体"/>
          <w:color w:val="000000"/>
          <w:sz w:val="27"/>
          <w:szCs w:val="27"/>
          <w:lang w:val="en-US" w:eastAsia="zh-CN" w:bidi="ar-SA"/>
        </w:rPr>
        <w:t>年度至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年度前</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个月欠缴的政府性基金、政府性交叉补贴及系统备用费共计</w:t>
      </w:r>
      <w:r>
        <w:rPr>
          <w:rFonts w:ascii="宋体" w:eastAsia="宋体" w:hAnsi="宋体" w:cs="宋体"/>
          <w:color w:val="000000"/>
          <w:sz w:val="27"/>
          <w:szCs w:val="27"/>
          <w:lang w:val="en-US" w:eastAsia="zh-CN" w:bidi="ar-SA"/>
        </w:rPr>
        <w:t>686,597,778.87</w:t>
      </w:r>
      <w:r>
        <w:rPr>
          <w:rFonts w:ascii="宋体" w:eastAsia="宋体" w:hAnsi="宋体" w:cs="宋体"/>
          <w:color w:val="000000"/>
          <w:sz w:val="27"/>
          <w:szCs w:val="27"/>
          <w:lang w:val="en-US" w:eastAsia="zh-CN" w:bidi="ar-SA"/>
        </w:rPr>
        <w:t>元。俱进公司该项主张无证据证明，且该事实发生在</w:t>
      </w:r>
      <w:r>
        <w:rPr>
          <w:rFonts w:ascii="宋体" w:eastAsia="宋体" w:hAnsi="宋体" w:cs="宋体"/>
          <w:color w:val="000000"/>
          <w:sz w:val="27"/>
          <w:szCs w:val="27"/>
          <w:lang w:val="en-US" w:eastAsia="zh-CN" w:bidi="ar-SA"/>
        </w:rPr>
        <w:t>2340</w:t>
      </w:r>
      <w:r>
        <w:rPr>
          <w:rFonts w:ascii="宋体" w:eastAsia="宋体" w:hAnsi="宋体" w:cs="宋体"/>
          <w:color w:val="000000"/>
          <w:sz w:val="27"/>
          <w:szCs w:val="27"/>
          <w:lang w:val="en-US" w:eastAsia="zh-CN" w:bidi="ar-SA"/>
        </w:rPr>
        <w:t>号调解书生效之后，丰润公司作为俱进公司的外方股东对于俱进公司电厂关停应否与其他股东按比例分摊补缴款项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俱进公司可另诉解决或通过清算解决。《</w:t>
      </w:r>
      <w:hyperlink r:id="rId44"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》第</w:t>
      </w:r>
      <w:hyperlink r:id="rId45" w:anchor="tiao_5" w:history="1">
        <w:r>
          <w:rPr>
            <w:rStyle w:val="fulltext-wrapfulltexta"/>
            <w:rFonts w:ascii="宋体" w:eastAsia="宋体" w:hAnsi="宋体" w:cs="宋体"/>
            <w:sz w:val="27"/>
            <w:szCs w:val="27"/>
            <w:lang w:val="en-US" w:eastAsia="zh-CN" w:bidi="ar-SA"/>
          </w:rPr>
          <w:t>五条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国家依法保护外国投资者在中国境内的投资、收益和其他合法权益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hyperlink r:id="rId46" w:anchor="tiao_21" w:history="1">
        <w:r>
          <w:rPr>
            <w:rStyle w:val="fulltext-wrapfulltexta"/>
            <w:rFonts w:ascii="宋体" w:eastAsia="宋体" w:hAnsi="宋体" w:cs="宋体"/>
            <w:sz w:val="27"/>
            <w:szCs w:val="27"/>
            <w:lang w:val="en-US" w:eastAsia="zh-CN" w:bidi="ar-SA"/>
          </w:rPr>
          <w:t>二十一条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外国投资者在中国境内的出资、利润、资本收益、资产处置所得、知识产权许可使用费、依法获得的补偿或者赔偿、清算所得等，可以依法以人民币或者外汇自由汇入、汇出。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hyperlink r:id="rId47" w:history="1">
        <w:r>
          <w:rPr>
            <w:rStyle w:val="fulltext-wrapfulltexta"/>
            <w:rFonts w:ascii="宋体" w:eastAsia="宋体" w:hAnsi="宋体" w:cs="宋体"/>
            <w:sz w:val="27"/>
            <w:szCs w:val="27"/>
            <w:lang w:val="en-US" w:eastAsia="zh-CN" w:bidi="ar-SA"/>
          </w:rPr>
          <w:t>最高人民法院关于适用〈中华人民共和国外商投资法〉若干问题的解释</w:t>
        </w:r>
      </w:hyperlink>
      <w:r>
        <w:rPr>
          <w:rFonts w:ascii="宋体" w:eastAsia="宋体" w:hAnsi="宋体" w:cs="宋体"/>
          <w:color w:val="000000"/>
          <w:sz w:val="27"/>
          <w:szCs w:val="27"/>
          <w:lang w:val="en-US" w:eastAsia="zh-CN" w:bidi="ar-SA"/>
        </w:rPr>
        <w:t>》第</w:t>
      </w:r>
      <w:hyperlink r:id="rId48" w:anchor="tiao_6" w:history="1">
        <w:r>
          <w:rPr>
            <w:rStyle w:val="fulltext-wrapfulltexta"/>
            <w:rFonts w:ascii="宋体" w:eastAsia="宋体" w:hAnsi="宋体" w:cs="宋体"/>
            <w:sz w:val="27"/>
            <w:szCs w:val="27"/>
            <w:lang w:val="en-US" w:eastAsia="zh-CN" w:bidi="ar-SA"/>
          </w:rPr>
          <w:t>六条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人民法院审理香港特别行政区、澳门特别行政区投资者、定居在国外的中国公民在内地、台湾地区投资者在大陆投资产生的相关纠纷案件，可以参照适用本解释。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丰润公司本案诉请的投资红利及损失补偿系丰润公司直接在内地投资应取得的合法利益，受《</w:t>
      </w:r>
      <w:hyperlink r:id="rId49"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》法律保护。俱进公司所称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向丰润公司支付利息存在合法</w:t>
      </w:r>
      <w:r>
        <w:rPr>
          <w:rFonts w:ascii="宋体" w:eastAsia="宋体" w:hAnsi="宋体" w:cs="宋体"/>
          <w:color w:val="000000"/>
          <w:sz w:val="27"/>
          <w:szCs w:val="27"/>
          <w:lang w:val="en-US" w:eastAsia="zh-CN" w:bidi="ar-SA"/>
        </w:rPr>
        <w:t>XXX</w:t>
      </w:r>
      <w:r>
        <w:rPr>
          <w:rFonts w:ascii="宋体" w:eastAsia="宋体" w:hAnsi="宋体" w:cs="宋体"/>
          <w:color w:val="000000"/>
          <w:sz w:val="27"/>
          <w:szCs w:val="27"/>
          <w:lang w:val="en-US" w:eastAsia="zh-CN" w:bidi="ar-SA"/>
        </w:rPr>
        <w:t>且无操作路径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无事实及法律依据。俱进公司的再审申请不符合《</w:t>
      </w:r>
      <w:hyperlink r:id="rId50"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51" w:anchor="tiao_200" w:history="1">
        <w:r>
          <w:rPr>
            <w:rStyle w:val="fulltext-wrapfulltexta"/>
            <w:rFonts w:ascii="宋体" w:eastAsia="宋体" w:hAnsi="宋体" w:cs="宋体"/>
            <w:sz w:val="27"/>
            <w:szCs w:val="27"/>
            <w:lang w:val="en-US" w:eastAsia="zh-CN" w:bidi="ar-SA"/>
          </w:rPr>
          <w:t>二百条</w:t>
        </w:r>
      </w:hyperlink>
      <w:r>
        <w:rPr>
          <w:rFonts w:ascii="宋体" w:eastAsia="宋体" w:hAnsi="宋体" w:cs="宋体"/>
          <w:color w:val="000000"/>
          <w:sz w:val="27"/>
          <w:szCs w:val="27"/>
          <w:lang w:val="en-US" w:eastAsia="zh-CN" w:bidi="ar-SA"/>
        </w:rPr>
        <w:t>规定的情形。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依照《</w:t>
      </w:r>
      <w:hyperlink r:id="rId52"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53" w:anchor="tiao_169" w:history="1">
        <w:r>
          <w:rPr>
            <w:rStyle w:val="fulltext-wrapfulltexta"/>
            <w:rFonts w:ascii="宋体" w:eastAsia="宋体" w:hAnsi="宋体" w:cs="宋体"/>
            <w:sz w:val="27"/>
            <w:szCs w:val="27"/>
            <w:lang w:val="en-US" w:eastAsia="zh-CN" w:bidi="ar-SA"/>
          </w:rPr>
          <w:t>一百六十九条</w:t>
        </w:r>
      </w:hyperlink>
      <w:r>
        <w:rPr>
          <w:rFonts w:ascii="宋体" w:eastAsia="宋体" w:hAnsi="宋体" w:cs="宋体"/>
          <w:color w:val="000000"/>
          <w:sz w:val="27"/>
          <w:szCs w:val="27"/>
          <w:lang w:val="en-US" w:eastAsia="zh-CN" w:bidi="ar-SA"/>
        </w:rPr>
        <w:t>第</w:t>
      </w:r>
      <w:hyperlink r:id="rId54" w:anchor="tiao_169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55" w:anchor="tiao_204" w:history="1">
        <w:r>
          <w:rPr>
            <w:rStyle w:val="fulltext-wrapfulltexta"/>
            <w:rFonts w:ascii="宋体" w:eastAsia="宋体" w:hAnsi="宋体" w:cs="宋体"/>
            <w:sz w:val="27"/>
            <w:szCs w:val="27"/>
            <w:lang w:val="en-US" w:eastAsia="zh-CN" w:bidi="ar-SA"/>
          </w:rPr>
          <w:t>二百零四条</w:t>
        </w:r>
      </w:hyperlink>
      <w:r>
        <w:rPr>
          <w:rFonts w:ascii="宋体" w:eastAsia="宋体" w:hAnsi="宋体" w:cs="宋体"/>
          <w:color w:val="000000"/>
          <w:sz w:val="27"/>
          <w:szCs w:val="27"/>
          <w:lang w:val="en-US" w:eastAsia="zh-CN" w:bidi="ar-SA"/>
        </w:rPr>
        <w:t>第</w:t>
      </w:r>
      <w:hyperlink r:id="rId56" w:anchor="tiao_204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以及《</w:t>
      </w:r>
      <w:hyperlink r:id="rId57" w:history="1">
        <w:r>
          <w:rPr>
            <w:rStyle w:val="fulltext-wrapfulltexta"/>
            <w:rFonts w:ascii="宋体" w:eastAsia="宋体" w:hAnsi="宋体" w:cs="宋体"/>
            <w:sz w:val="27"/>
            <w:szCs w:val="27"/>
            <w:lang w:val="en-US" w:eastAsia="zh-CN" w:bidi="ar-SA"/>
          </w:rPr>
          <w:t>最高人民法院关于适用</w:t>
        </w:r>
        <w:r>
          <w:rPr>
            <w:rStyle w:val="fulltext-wrapfulltexta"/>
            <w:rFonts w:ascii="宋体" w:eastAsia="宋体" w:hAnsi="宋体" w:cs="宋体"/>
            <w:sz w:val="27"/>
            <w:szCs w:val="27"/>
            <w:lang w:val="en-US" w:eastAsia="zh-CN" w:bidi="ar-SA"/>
          </w:rPr>
          <w:t>&lt;</w:t>
        </w:r>
        <w:r>
          <w:rPr>
            <w:rStyle w:val="fulltext-wrapfulltexta"/>
            <w:rFonts w:ascii="宋体" w:eastAsia="宋体" w:hAnsi="宋体" w:cs="宋体"/>
            <w:sz w:val="27"/>
            <w:szCs w:val="27"/>
            <w:lang w:val="en-US" w:eastAsia="zh-CN" w:bidi="ar-SA"/>
          </w:rPr>
          <w:t>中华人民共和国民事诉讼法</w:t>
        </w:r>
        <w:r>
          <w:rPr>
            <w:rStyle w:val="fulltext-wrapfulltexta"/>
            <w:rFonts w:ascii="宋体" w:eastAsia="宋体" w:hAnsi="宋体" w:cs="宋体"/>
            <w:sz w:val="27"/>
            <w:szCs w:val="27"/>
            <w:lang w:val="en-US" w:eastAsia="zh-CN" w:bidi="ar-SA"/>
          </w:rPr>
          <w:t>&gt;</w:t>
        </w:r>
        <w:r>
          <w:rPr>
            <w:rStyle w:val="fulltext-wrapfulltexta"/>
            <w:rFonts w:ascii="宋体" w:eastAsia="宋体" w:hAnsi="宋体" w:cs="宋体"/>
            <w:sz w:val="27"/>
            <w:szCs w:val="27"/>
            <w:lang w:val="en-US" w:eastAsia="zh-CN" w:bidi="ar-SA"/>
          </w:rPr>
          <w:t>的解释</w:t>
        </w:r>
      </w:hyperlink>
      <w:r>
        <w:rPr>
          <w:rFonts w:ascii="宋体" w:eastAsia="宋体" w:hAnsi="宋体" w:cs="宋体"/>
          <w:color w:val="000000"/>
          <w:sz w:val="27"/>
          <w:szCs w:val="27"/>
          <w:lang w:val="en-US" w:eastAsia="zh-CN" w:bidi="ar-SA"/>
        </w:rPr>
        <w:t>》第</w:t>
      </w:r>
      <w:hyperlink r:id="rId58" w:anchor="tiao_395" w:history="1">
        <w:r>
          <w:rPr>
            <w:rStyle w:val="fulltext-wrapfulltexta"/>
            <w:rFonts w:ascii="宋体" w:eastAsia="宋体" w:hAnsi="宋体" w:cs="宋体"/>
            <w:sz w:val="27"/>
            <w:szCs w:val="27"/>
            <w:lang w:val="en-US" w:eastAsia="zh-CN" w:bidi="ar-SA"/>
          </w:rPr>
          <w:t>三百九十五条</w:t>
        </w:r>
      </w:hyperlink>
      <w:r>
        <w:rPr>
          <w:rFonts w:ascii="宋体" w:eastAsia="宋体" w:hAnsi="宋体" w:cs="宋体"/>
          <w:color w:val="000000"/>
          <w:sz w:val="27"/>
          <w:szCs w:val="27"/>
          <w:lang w:val="en-US" w:eastAsia="zh-CN" w:bidi="ar-SA"/>
        </w:rPr>
        <w:t>第</w:t>
      </w:r>
      <w:hyperlink r:id="rId59" w:anchor="tiao_395_kuan_2" w:history="1">
        <w:r>
          <w:rPr>
            <w:rStyle w:val="fulltext-wrapfulltexta"/>
            <w:rFonts w:ascii="宋体" w:eastAsia="宋体" w:hAnsi="宋体" w:cs="宋体"/>
            <w:sz w:val="27"/>
            <w:szCs w:val="27"/>
            <w:lang w:val="en-US" w:eastAsia="zh-CN" w:bidi="ar-SA"/>
          </w:rPr>
          <w:t>二款</w:t>
        </w:r>
      </w:hyperlink>
      <w:r>
        <w:rPr>
          <w:rFonts w:ascii="宋体" w:eastAsia="宋体" w:hAnsi="宋体" w:cs="宋体"/>
          <w:color w:val="000000"/>
          <w:sz w:val="27"/>
          <w:szCs w:val="27"/>
          <w:lang w:val="en-US" w:eastAsia="zh-CN" w:bidi="ar-SA"/>
        </w:rPr>
        <w:t>规定，裁定如下：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lastRenderedPageBreak/>
        <w:t>裁判结果</w:t>
      </w:r>
      <w:bookmarkStart w:id="9" w:name="anchor-2"/>
      <w:bookmarkEnd w:id="9"/>
      <w:r>
        <w:rPr>
          <w:rFonts w:ascii="宋体" w:eastAsia="宋体" w:hAnsi="宋体" w:cs="宋体"/>
          <w:color w:val="000000"/>
          <w:sz w:val="27"/>
          <w:szCs w:val="27"/>
          <w:lang w:val="en-US" w:eastAsia="zh-CN" w:bidi="ar-SA"/>
        </w:rPr>
        <w:t xml:space="preserve">　　驳回郑州俱进热电能源有限公司的再审申请。</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10" w:name="anchor-6"/>
      <w:bookmarkEnd w:id="10"/>
    </w:p>
    <w:p w:rsidR="00861BFE" w:rsidRDefault="00861BFE">
      <w:pPr>
        <w:pStyle w:val="div"/>
        <w:spacing w:after="300"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审判长　谷彩霞</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　庞</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敏</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　赵玉香</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二〇二一年一月二十八日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书记员　谢园园</w:t>
      </w:r>
    </w:p>
    <w:p w:rsidR="00861BFE" w:rsidRDefault="00861BFE">
      <w:pPr>
        <w:ind w:left="375" w:right="375"/>
        <w:rPr>
          <w:rFonts w:ascii="Arial" w:eastAsia="Arial" w:hAnsi="Arial" w:cs="Arial"/>
          <w:lang w:val="en-US" w:eastAsia="zh-CN" w:bidi="ar-SA"/>
        </w:rPr>
      </w:pPr>
      <w:r>
        <w:rPr>
          <w:rFonts w:ascii="Arial" w:eastAsia="Arial" w:hAnsi="Arial" w:cs="Arial"/>
          <w:lang w:val="en-US" w:eastAsia="zh-CN" w:bidi="ar-SA"/>
        </w:rPr>
        <w:br/>
      </w:r>
    </w:p>
    <w:p w:rsidR="00861BFE" w:rsidRDefault="00861BFE">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861BFE" w:rsidRDefault="00861BFE">
      <w:pPr>
        <w:pStyle w:val="lenovodivulli"/>
        <w:tabs>
          <w:tab w:val="left" w:pos="825"/>
        </w:tabs>
        <w:ind w:left="375" w:right="375"/>
        <w:textAlignment w:val="baseline"/>
        <w:rPr>
          <w:lang w:val="en-US" w:eastAsia="zh-CN" w:bidi="ar-SA"/>
        </w:rPr>
      </w:pPr>
      <w:hyperlink r:id="rId60" w:tgtFrame="_blank" w:history="1">
        <w:r>
          <w:rPr>
            <w:rStyle w:val="lenovodivullia"/>
            <w:lang w:val="en-US" w:eastAsia="zh-CN" w:bidi="ar-SA"/>
          </w:rPr>
          <w:t>国家外汇管理局关于印发服务贸易外汇管理法规的通知</w:t>
        </w:r>
        <w:r>
          <w:rPr>
            <w:rStyle w:val="lenovodivullia"/>
            <w:lang w:val="en-US" w:eastAsia="zh-CN" w:bidi="ar-SA"/>
          </w:rPr>
          <w:t>[</w:t>
        </w:r>
        <w:r>
          <w:rPr>
            <w:rStyle w:val="lenovodivullia"/>
            <w:lang w:val="en-US" w:eastAsia="zh-CN" w:bidi="ar-SA"/>
          </w:rPr>
          <w:t>失效</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61" w:tgtFrame="_blank" w:history="1">
        <w:r>
          <w:rPr>
            <w:rStyle w:val="lenovodivullia"/>
            <w:lang w:val="en-US" w:eastAsia="zh-CN" w:bidi="ar-SA"/>
          </w:rPr>
          <w:t>国家发展改革委、国家能源局关于印发电力体制改革配套文件的通知</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62" w:anchor="tiao_169_kuan_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169</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63" w:anchor="tiao_200"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200</w:t>
        </w:r>
        <w:r>
          <w:rPr>
            <w:rStyle w:val="lenovodivullia"/>
            <w:lang w:val="en-US" w:eastAsia="zh-CN" w:bidi="ar-SA"/>
          </w:rPr>
          <w:t>条</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64" w:anchor="tiao_20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201</w:t>
        </w:r>
        <w:r>
          <w:rPr>
            <w:rStyle w:val="lenovodivullia"/>
            <w:lang w:val="en-US" w:eastAsia="zh-CN" w:bidi="ar-SA"/>
          </w:rPr>
          <w:t>条</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65" w:anchor="tiao_204_kuan_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204</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66" w:anchor="tiao_6" w:tgtFrame="_blank" w:history="1">
        <w:r>
          <w:rPr>
            <w:rStyle w:val="lenovodivullia"/>
            <w:lang w:val="en-US" w:eastAsia="zh-CN" w:bidi="ar-SA"/>
          </w:rPr>
          <w:t>服务贸易外汇管理指引实施细则</w:t>
        </w:r>
        <w:r>
          <w:rPr>
            <w:rStyle w:val="lenovodivullia"/>
            <w:lang w:val="en-US" w:eastAsia="zh-CN" w:bidi="ar-SA"/>
          </w:rPr>
          <w:t>(2015</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6</w:t>
        </w:r>
        <w:r>
          <w:rPr>
            <w:rStyle w:val="lenovodivullia"/>
            <w:lang w:val="en-US" w:eastAsia="zh-CN" w:bidi="ar-SA"/>
          </w:rPr>
          <w:t>条</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67" w:anchor="tiao_21" w:tgtFrame="_blank" w:history="1">
        <w:r>
          <w:rPr>
            <w:rStyle w:val="lenovodivullia"/>
            <w:lang w:val="en-US" w:eastAsia="zh-CN" w:bidi="ar-SA"/>
          </w:rPr>
          <w:t>中华人民共和国外商投资法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21</w:t>
        </w:r>
        <w:r>
          <w:rPr>
            <w:rStyle w:val="lenovodivullia"/>
            <w:lang w:val="en-US" w:eastAsia="zh-CN" w:bidi="ar-SA"/>
          </w:rPr>
          <w:t>条</w:t>
        </w:r>
        <w:r>
          <w:rPr>
            <w:rStyle w:val="lenovodivullia"/>
            <w:lang w:val="en-US" w:eastAsia="zh-CN" w:bidi="ar-SA"/>
          </w:rPr>
          <w:t xml:space="preserve"> </w:t>
        </w:r>
      </w:hyperlink>
    </w:p>
    <w:p w:rsidR="00861BFE" w:rsidRDefault="00861BFE">
      <w:pPr>
        <w:pStyle w:val="div"/>
        <w:ind w:left="375" w:right="375" w:firstLine="225"/>
        <w:rPr>
          <w:rFonts w:ascii="宋体" w:eastAsia="宋体" w:hAnsi="宋体" w:cs="宋体"/>
          <w:sz w:val="23"/>
          <w:szCs w:val="23"/>
          <w:lang w:val="en-US" w:eastAsia="zh-CN" w:bidi="ar-SA"/>
        </w:rPr>
      </w:pPr>
      <w:hyperlink r:id="rId68" w:tgtFrame="_blank" w:history="1">
        <w:r>
          <w:rPr>
            <w:rStyle w:val="a3"/>
            <w:rFonts w:ascii="宋体" w:eastAsia="宋体" w:hAnsi="宋体" w:cs="宋体"/>
            <w:sz w:val="23"/>
            <w:szCs w:val="23"/>
            <w:lang w:val="en-US" w:eastAsia="zh-CN" w:bidi="ar-SA"/>
          </w:rPr>
          <w:t>更多</w:t>
        </w:r>
      </w:hyperlink>
    </w:p>
    <w:p w:rsidR="00861BFE" w:rsidRDefault="00861BFE">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861BFE" w:rsidRDefault="00861BFE">
      <w:pPr>
        <w:pStyle w:val="lenovodivulli"/>
        <w:tabs>
          <w:tab w:val="left" w:pos="825"/>
        </w:tabs>
        <w:ind w:left="375" w:right="375"/>
        <w:textAlignment w:val="baseline"/>
        <w:rPr>
          <w:lang w:val="en-US" w:eastAsia="zh-CN" w:bidi="ar-SA"/>
        </w:rPr>
      </w:pPr>
      <w:hyperlink r:id="rId69" w:tgtFrame="_blank" w:history="1">
        <w:r>
          <w:rPr>
            <w:rStyle w:val="lenovodivullia"/>
            <w:lang w:val="en-US" w:eastAsia="zh-CN" w:bidi="ar-SA"/>
          </w:rPr>
          <w:t>林某某、李某某与某某投资服务有限公司、盖某某债权人代位权纠纷再审案</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70" w:tgtFrame="_blank" w:history="1">
        <w:r>
          <w:rPr>
            <w:rStyle w:val="lenovodivullia"/>
            <w:lang w:val="en-US" w:eastAsia="zh-CN" w:bidi="ar-SA"/>
          </w:rPr>
          <w:t>上海市高级人民法院发布</w:t>
        </w:r>
        <w:r>
          <w:rPr>
            <w:rStyle w:val="lenovodivullia"/>
            <w:lang w:val="en-US" w:eastAsia="zh-CN" w:bidi="ar-SA"/>
          </w:rPr>
          <w:t>2024</w:t>
        </w:r>
        <w:r>
          <w:rPr>
            <w:rStyle w:val="lenovodivullia"/>
            <w:lang w:val="en-US" w:eastAsia="zh-CN" w:bidi="ar-SA"/>
          </w:rPr>
          <w:t>年度金融商事审判十大案例之七：甲公司诉乙公司、第三人丙融资租赁公司债权人代位权纠纷案</w:t>
        </w:r>
        <w:r>
          <w:rPr>
            <w:rStyle w:val="lenovodivullia"/>
            <w:lang w:val="en-US" w:eastAsia="zh-CN" w:bidi="ar-SA"/>
          </w:rPr>
          <w:t>——</w:t>
        </w:r>
        <w:r>
          <w:rPr>
            <w:rStyle w:val="lenovodivullia"/>
            <w:lang w:val="en-US" w:eastAsia="zh-CN" w:bidi="ar-SA"/>
          </w:rPr>
          <w:t>租赁物重复售后回租情形下融资租赁合同效力的认定</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71" w:tgtFrame="_blank" w:history="1">
        <w:r>
          <w:rPr>
            <w:rStyle w:val="lenovodivullia"/>
            <w:lang w:val="en-US" w:eastAsia="zh-CN" w:bidi="ar-SA"/>
          </w:rPr>
          <w:t>成都市国土资源局武侯分局与招商</w:t>
        </w:r>
        <w:r>
          <w:rPr>
            <w:rStyle w:val="lenovodivullia"/>
            <w:lang w:val="en-US" w:eastAsia="zh-CN" w:bidi="ar-SA"/>
          </w:rPr>
          <w:t>(</w:t>
        </w:r>
        <w:r>
          <w:rPr>
            <w:rStyle w:val="lenovodivullia"/>
            <w:lang w:val="en-US" w:eastAsia="zh-CN" w:bidi="ar-SA"/>
          </w:rPr>
          <w:t>蛇口</w:t>
        </w:r>
        <w:r>
          <w:rPr>
            <w:rStyle w:val="lenovodivullia"/>
            <w:lang w:val="en-US" w:eastAsia="zh-CN" w:bidi="ar-SA"/>
          </w:rPr>
          <w:t>)</w:t>
        </w:r>
        <w:r>
          <w:rPr>
            <w:rStyle w:val="lenovodivullia"/>
            <w:lang w:val="en-US" w:eastAsia="zh-CN" w:bidi="ar-SA"/>
          </w:rPr>
          <w:t>成都房地产开发有限责任公司、成都港招实业开发有限责任公司、海南民丰科技实业开发总公司债权人代位权纠纷案</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72" w:tgtFrame="_blank" w:history="1">
        <w:r>
          <w:rPr>
            <w:rStyle w:val="lenovodivullia"/>
            <w:lang w:val="en-US" w:eastAsia="zh-CN" w:bidi="ar-SA"/>
          </w:rPr>
          <w:t>中国银行股份有限公司汕头分行与广东发展银行股份有限公司韶关分行、第三人珠海经济特区安然实业</w:t>
        </w:r>
        <w:r>
          <w:rPr>
            <w:rStyle w:val="lenovodivullia"/>
            <w:lang w:val="en-US" w:eastAsia="zh-CN" w:bidi="ar-SA"/>
          </w:rPr>
          <w:t>(</w:t>
        </w:r>
        <w:r>
          <w:rPr>
            <w:rStyle w:val="lenovodivullia"/>
            <w:lang w:val="en-US" w:eastAsia="zh-CN" w:bidi="ar-SA"/>
          </w:rPr>
          <w:t>集团</w:t>
        </w:r>
        <w:r>
          <w:rPr>
            <w:rStyle w:val="lenovodivullia"/>
            <w:lang w:val="en-US" w:eastAsia="zh-CN" w:bidi="ar-SA"/>
          </w:rPr>
          <w:t>)</w:t>
        </w:r>
        <w:r>
          <w:rPr>
            <w:rStyle w:val="lenovodivullia"/>
            <w:lang w:val="en-US" w:eastAsia="zh-CN" w:bidi="ar-SA"/>
          </w:rPr>
          <w:t>公司代位权纠纷案</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73" w:tgtFrame="_blank" w:history="1">
        <w:r>
          <w:rPr>
            <w:rStyle w:val="lenovodivullia"/>
            <w:lang w:val="en-US" w:eastAsia="zh-CN" w:bidi="ar-SA"/>
          </w:rPr>
          <w:t>湘财证券有限责任公司与中国光大银行长沙新华支行、第三人湖南省平安轻化科技实业有限公司借款合同代位权纠纷案</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74" w:tgtFrame="_blank" w:history="1">
        <w:r>
          <w:rPr>
            <w:rStyle w:val="lenovodivullia"/>
            <w:lang w:val="en-US" w:eastAsia="zh-CN" w:bidi="ar-SA"/>
          </w:rPr>
          <w:t>中国农业银行汇金支行诉张家港涤纶厂代位权纠纷案</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75" w:tgtFrame="_blank" w:history="1">
        <w:r>
          <w:rPr>
            <w:rStyle w:val="lenovodivullia"/>
            <w:lang w:val="en-US" w:eastAsia="zh-CN" w:bidi="ar-SA"/>
          </w:rPr>
          <w:t>浙江江山法院判决胡少琴诉汪晨帆债权人代位权纠纷案</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76" w:tgtFrame="_blank" w:history="1">
        <w:r>
          <w:rPr>
            <w:rStyle w:val="lenovodivullia"/>
            <w:lang w:val="en-US" w:eastAsia="zh-CN" w:bidi="ar-SA"/>
          </w:rPr>
          <w:t>北京大兴法院判决鑫兴通达公司诉苏中建设公司等债权人代位权纠纷案</w:t>
        </w:r>
        <w:r>
          <w:rPr>
            <w:rStyle w:val="lenovodivullia"/>
            <w:lang w:val="en-US" w:eastAsia="zh-CN" w:bidi="ar-SA"/>
          </w:rPr>
          <w:t xml:space="preserve"> </w:t>
        </w:r>
      </w:hyperlink>
    </w:p>
    <w:p w:rsidR="00861BFE" w:rsidRDefault="00861BFE">
      <w:pPr>
        <w:pStyle w:val="div"/>
        <w:ind w:left="375" w:right="375" w:firstLine="225"/>
        <w:rPr>
          <w:rFonts w:ascii="宋体" w:eastAsia="宋体" w:hAnsi="宋体" w:cs="宋体"/>
          <w:sz w:val="23"/>
          <w:szCs w:val="23"/>
          <w:lang w:val="en-US" w:eastAsia="zh-CN" w:bidi="ar-SA"/>
        </w:rPr>
      </w:pPr>
      <w:hyperlink r:id="rId77" w:tgtFrame="_blank" w:history="1">
        <w:r>
          <w:rPr>
            <w:rStyle w:val="a3"/>
            <w:rFonts w:ascii="宋体" w:eastAsia="宋体" w:hAnsi="宋体" w:cs="宋体"/>
            <w:sz w:val="23"/>
            <w:szCs w:val="23"/>
            <w:lang w:val="en-US" w:eastAsia="zh-CN" w:bidi="ar-SA"/>
          </w:rPr>
          <w:t>更多</w:t>
        </w:r>
      </w:hyperlink>
    </w:p>
    <w:p w:rsidR="00861BFE" w:rsidRDefault="00861BFE">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861BFE" w:rsidRDefault="00861BFE">
      <w:pPr>
        <w:pStyle w:val="lenovodivulli"/>
        <w:tabs>
          <w:tab w:val="left" w:pos="825"/>
        </w:tabs>
        <w:ind w:left="375" w:right="375"/>
        <w:textAlignment w:val="baseline"/>
        <w:rPr>
          <w:lang w:val="en-US" w:eastAsia="zh-CN" w:bidi="ar-SA"/>
        </w:rPr>
      </w:pPr>
      <w:hyperlink r:id="rId78" w:tgtFrame="_blank" w:history="1">
        <w:r>
          <w:rPr>
            <w:rStyle w:val="lenovodivullia"/>
            <w:lang w:val="en-US" w:eastAsia="zh-CN" w:bidi="ar-SA"/>
          </w:rPr>
          <w:t>严某</w:t>
        </w:r>
        <w:r>
          <w:rPr>
            <w:rStyle w:val="lenovodivullia"/>
            <w:lang w:val="en-US" w:eastAsia="zh-CN" w:bidi="ar-SA"/>
          </w:rPr>
          <w:t>;</w:t>
        </w:r>
        <w:r>
          <w:rPr>
            <w:rStyle w:val="lenovodivullia"/>
            <w:lang w:val="en-US" w:eastAsia="zh-CN" w:bidi="ar-SA"/>
          </w:rPr>
          <w:t>河南某甲有限公司</w:t>
        </w:r>
        <w:r>
          <w:rPr>
            <w:rStyle w:val="lenovodivullia"/>
            <w:lang w:val="en-US" w:eastAsia="zh-CN" w:bidi="ar-SA"/>
          </w:rPr>
          <w:t>;</w:t>
        </w:r>
        <w:r>
          <w:rPr>
            <w:rStyle w:val="lenovodivullia"/>
            <w:lang w:val="en-US" w:eastAsia="zh-CN" w:bidi="ar-SA"/>
          </w:rPr>
          <w:t>河南某乙有限公司</w:t>
        </w:r>
        <w:r>
          <w:rPr>
            <w:rStyle w:val="lenovodivullia"/>
            <w:lang w:val="en-US" w:eastAsia="zh-CN" w:bidi="ar-SA"/>
          </w:rPr>
          <w:t>;</w:t>
        </w:r>
        <w:r>
          <w:rPr>
            <w:rStyle w:val="lenovodivullia"/>
            <w:lang w:val="en-US" w:eastAsia="zh-CN" w:bidi="ar-SA"/>
          </w:rPr>
          <w:t>张某债权人代位权纠纷再审审查和审判监督民事裁定书</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79" w:tgtFrame="_blank" w:history="1">
        <w:r>
          <w:rPr>
            <w:rStyle w:val="lenovodivullia"/>
            <w:lang w:val="en-US" w:eastAsia="zh-CN" w:bidi="ar-SA"/>
          </w:rPr>
          <w:t>秦某等与河南某有限责任公司债权人代位权纠纷再审审查和审判监督民事裁定书</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80" w:tgtFrame="_blank" w:history="1">
        <w:r>
          <w:rPr>
            <w:rStyle w:val="lenovodivullia"/>
            <w:lang w:val="en-US" w:eastAsia="zh-CN" w:bidi="ar-SA"/>
          </w:rPr>
          <w:t>国安权</w:t>
        </w:r>
        <w:r>
          <w:rPr>
            <w:rStyle w:val="lenovodivullia"/>
            <w:lang w:val="en-US" w:eastAsia="zh-CN" w:bidi="ar-SA"/>
          </w:rPr>
          <w:t>;</w:t>
        </w:r>
        <w:r>
          <w:rPr>
            <w:rStyle w:val="lenovodivullia"/>
            <w:lang w:val="en-US" w:eastAsia="zh-CN" w:bidi="ar-SA"/>
          </w:rPr>
          <w:t>商丘市旺角投资有限公司</w:t>
        </w:r>
        <w:r>
          <w:rPr>
            <w:rStyle w:val="lenovodivullia"/>
            <w:lang w:val="en-US" w:eastAsia="zh-CN" w:bidi="ar-SA"/>
          </w:rPr>
          <w:t>;</w:t>
        </w:r>
        <w:r>
          <w:rPr>
            <w:rStyle w:val="lenovodivullia"/>
            <w:lang w:val="en-US" w:eastAsia="zh-CN" w:bidi="ar-SA"/>
          </w:rPr>
          <w:t>许南京债权人代位权纠纷再审审查和审判监督民事裁定书</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81" w:tgtFrame="_blank" w:history="1">
        <w:r>
          <w:rPr>
            <w:rStyle w:val="lenovodivullia"/>
            <w:lang w:val="en-US" w:eastAsia="zh-CN" w:bidi="ar-SA"/>
          </w:rPr>
          <w:t>红旗渠建设集团有限公司等与新乡市宏展建设工程有限公司债权人代位权纠纷再审审查和审判监督民事裁定书</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82" w:tgtFrame="_blank" w:history="1">
        <w:r>
          <w:rPr>
            <w:rStyle w:val="lenovodivullia"/>
            <w:lang w:val="en-US" w:eastAsia="zh-CN" w:bidi="ar-SA"/>
          </w:rPr>
          <w:t>陈诺冰等与三门峡市嘉亿置业有限公司债权人代位权纠纷再审审查和审判监督民事裁定书</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83" w:tgtFrame="_blank" w:history="1">
        <w:r>
          <w:rPr>
            <w:rStyle w:val="lenovodivullia"/>
            <w:lang w:val="en-US" w:eastAsia="zh-CN" w:bidi="ar-SA"/>
          </w:rPr>
          <w:t>华润风电（舞钢）有限公司等与中国电建集团河北工程有限公司债权人代位权纠纷再审审查和审判监督民事裁定书</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84" w:tgtFrame="_blank" w:history="1">
        <w:r>
          <w:rPr>
            <w:rStyle w:val="lenovodivullia"/>
            <w:lang w:val="en-US" w:eastAsia="zh-CN" w:bidi="ar-SA"/>
          </w:rPr>
          <w:t>辛某辰</w:t>
        </w:r>
        <w:r>
          <w:rPr>
            <w:rStyle w:val="lenovodivullia"/>
            <w:lang w:val="en-US" w:eastAsia="zh-CN" w:bidi="ar-SA"/>
          </w:rPr>
          <w:t>;</w:t>
        </w:r>
        <w:r>
          <w:rPr>
            <w:rStyle w:val="lenovodivullia"/>
            <w:lang w:val="en-US" w:eastAsia="zh-CN" w:bidi="ar-SA"/>
          </w:rPr>
          <w:t>朱某东</w:t>
        </w:r>
        <w:r>
          <w:rPr>
            <w:rStyle w:val="lenovodivullia"/>
            <w:lang w:val="en-US" w:eastAsia="zh-CN" w:bidi="ar-SA"/>
          </w:rPr>
          <w:t>;</w:t>
        </w:r>
        <w:r>
          <w:rPr>
            <w:rStyle w:val="lenovodivullia"/>
            <w:lang w:val="en-US" w:eastAsia="zh-CN" w:bidi="ar-SA"/>
          </w:rPr>
          <w:t>郑某旺</w:t>
        </w:r>
        <w:r>
          <w:rPr>
            <w:rStyle w:val="lenovodivullia"/>
            <w:lang w:val="en-US" w:eastAsia="zh-CN" w:bidi="ar-SA"/>
          </w:rPr>
          <w:t>;</w:t>
        </w:r>
        <w:r>
          <w:rPr>
            <w:rStyle w:val="lenovodivullia"/>
            <w:lang w:val="en-US" w:eastAsia="zh-CN" w:bidi="ar-SA"/>
          </w:rPr>
          <w:t>郑州某甲矿业有限公司债权人代位权纠纷再审民事判决书</w:t>
        </w:r>
        <w:r>
          <w:rPr>
            <w:rStyle w:val="lenovodivullia"/>
            <w:lang w:val="en-US" w:eastAsia="zh-CN" w:bidi="ar-SA"/>
          </w:rPr>
          <w:t xml:space="preserve"> </w:t>
        </w:r>
      </w:hyperlink>
    </w:p>
    <w:p w:rsidR="00861BFE" w:rsidRDefault="00861BFE">
      <w:pPr>
        <w:pStyle w:val="lenovodivulli"/>
        <w:tabs>
          <w:tab w:val="left" w:pos="825"/>
        </w:tabs>
        <w:ind w:left="375" w:right="375"/>
        <w:textAlignment w:val="baseline"/>
        <w:rPr>
          <w:lang w:val="en-US" w:eastAsia="zh-CN" w:bidi="ar-SA"/>
        </w:rPr>
      </w:pPr>
      <w:hyperlink r:id="rId85" w:tgtFrame="_blank" w:history="1">
        <w:r>
          <w:rPr>
            <w:rStyle w:val="lenovodivullia"/>
            <w:lang w:val="en-US" w:eastAsia="zh-CN" w:bidi="ar-SA"/>
          </w:rPr>
          <w:t>河南丰杰商贸有限公司等与宋学强债权人代位权纠纷再审审查和审判监督民事裁定书</w:t>
        </w:r>
        <w:r>
          <w:rPr>
            <w:rStyle w:val="lenovodivullia"/>
            <w:lang w:val="en-US" w:eastAsia="zh-CN" w:bidi="ar-SA"/>
          </w:rPr>
          <w:t xml:space="preserve"> </w:t>
        </w:r>
      </w:hyperlink>
    </w:p>
    <w:p w:rsidR="00861BFE" w:rsidRDefault="00861BFE">
      <w:pPr>
        <w:pStyle w:val="div"/>
        <w:ind w:left="375" w:right="375" w:firstLine="225"/>
        <w:rPr>
          <w:rFonts w:ascii="宋体" w:eastAsia="宋体" w:hAnsi="宋体" w:cs="宋体"/>
          <w:sz w:val="23"/>
          <w:szCs w:val="23"/>
          <w:lang w:val="en-US" w:eastAsia="zh-CN" w:bidi="ar-SA"/>
        </w:rPr>
      </w:pPr>
      <w:hyperlink r:id="rId86" w:tgtFrame="_blank" w:history="1">
        <w:r>
          <w:rPr>
            <w:rStyle w:val="a3"/>
            <w:rFonts w:ascii="宋体" w:eastAsia="宋体" w:hAnsi="宋体" w:cs="宋体"/>
            <w:sz w:val="23"/>
            <w:szCs w:val="23"/>
            <w:lang w:val="en-US" w:eastAsia="zh-CN" w:bidi="ar-SA"/>
          </w:rPr>
          <w:t>更多</w:t>
        </w:r>
      </w:hyperlink>
    </w:p>
    <w:p w:rsidR="00861BFE" w:rsidRDefault="00861BFE">
      <w:pPr>
        <w:ind w:left="375" w:right="375"/>
        <w:rPr>
          <w:rFonts w:ascii="Arial" w:eastAsia="Arial" w:hAnsi="Arial" w:cs="Arial"/>
          <w:lang w:val="en-US" w:eastAsia="zh-CN" w:bidi="ar-SA"/>
        </w:rPr>
      </w:pPr>
      <w:r>
        <w:rPr>
          <w:rFonts w:ascii="Arial" w:eastAsia="Arial" w:hAnsi="Arial" w:cs="Arial"/>
          <w:lang w:val="en-US" w:eastAsia="zh-CN" w:bidi="ar-SA"/>
        </w:rPr>
        <w:br/>
      </w:r>
    </w:p>
    <w:p w:rsidR="00861BFE" w:rsidRDefault="00A77B3E">
      <w:pPr>
        <w:spacing w:line="630" w:lineRule="atLeast"/>
        <w:rPr>
          <w:rFonts w:eastAsia="Times New Roman"/>
          <w:sz w:val="26"/>
          <w:szCs w:val="26"/>
          <w:lang w:val="en-US" w:eastAsia="zh-CN" w:bidi="ar-SA"/>
        </w:rPr>
      </w:pPr>
      <w:r>
        <w:br w:type="page"/>
      </w:r>
      <w:r w:rsidR="00861BFE">
        <w:rPr>
          <w:rFonts w:eastAsia="Times New Roman"/>
          <w:sz w:val="26"/>
          <w:szCs w:val="26"/>
          <w:lang w:val="en-US" w:eastAsia="zh-CN" w:bidi="ar-SA"/>
        </w:rPr>
        <w:lastRenderedPageBreak/>
        <w:t>©北大法宝：（</w:t>
      </w:r>
      <w:hyperlink r:id="rId87" w:history="1">
        <w:r w:rsidR="00861BFE">
          <w:rPr>
            <w:rFonts w:eastAsia="Times New Roman"/>
            <w:color w:val="218FC4"/>
            <w:sz w:val="26"/>
            <w:szCs w:val="26"/>
            <w:u w:val="single" w:color="218FC4"/>
            <w:lang w:val="en-US" w:eastAsia="zh-CN" w:bidi="ar-SA"/>
          </w:rPr>
          <w:t>www.pkulaw.com</w:t>
        </w:r>
      </w:hyperlink>
      <w:r w:rsidR="00861BFE">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88" w:history="1">
        <w:r w:rsidR="00861BFE">
          <w:rPr>
            <w:rFonts w:eastAsia="Times New Roman"/>
            <w:color w:val="218FC4"/>
            <w:sz w:val="26"/>
            <w:szCs w:val="26"/>
            <w:u w:val="single" w:color="218FC4"/>
            <w:lang w:val="en-US" w:eastAsia="zh-CN" w:bidi="ar-SA"/>
          </w:rPr>
          <w:t>产品和服务</w:t>
        </w:r>
      </w:hyperlink>
      <w:r w:rsidR="00861BFE">
        <w:rPr>
          <w:rFonts w:eastAsia="Times New Roman"/>
          <w:sz w:val="26"/>
          <w:szCs w:val="26"/>
          <w:lang w:val="en-US" w:eastAsia="zh-CN" w:bidi="ar-SA"/>
        </w:rPr>
        <w:t>。</w:t>
      </w:r>
      <w:r w:rsidR="00861BFE">
        <w:rPr>
          <w:rFonts w:eastAsia="Times New Roman"/>
          <w:sz w:val="26"/>
          <w:szCs w:val="26"/>
          <w:lang w:val="en-US" w:eastAsia="zh-CN" w:bidi="ar-SA"/>
        </w:rPr>
        <w:br/>
      </w:r>
      <w:hyperlink r:id="rId89" w:history="1">
        <w:r w:rsidR="00861BFE">
          <w:rPr>
            <w:rFonts w:eastAsia="Times New Roman"/>
            <w:color w:val="218FC4"/>
            <w:sz w:val="26"/>
            <w:szCs w:val="26"/>
            <w:u w:val="single" w:color="218FC4"/>
            <w:lang w:val="en-US" w:eastAsia="zh-CN" w:bidi="ar-SA"/>
          </w:rPr>
          <w:t>法宝快讯： 如何快速找到您需要的检索结果？ 法宝 V6 有何新特色？</w:t>
        </w:r>
      </w:hyperlink>
    </w:p>
    <w:p w:rsidR="00861BFE" w:rsidRDefault="00861BFE">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90" o:title=""/>
          </v:shape>
        </w:pict>
      </w:r>
    </w:p>
    <w:p w:rsidR="00861BFE" w:rsidRDefault="00861BFE">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861BFE" w:rsidRDefault="00861BFE">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91" w:history="1">
        <w:r>
          <w:rPr>
            <w:rFonts w:eastAsia="Times New Roman"/>
            <w:color w:val="000000"/>
            <w:sz w:val="26"/>
            <w:szCs w:val="26"/>
            <w:u w:val="single" w:color="000000"/>
            <w:lang w:val="en-US" w:eastAsia="zh-CN" w:bidi="ar-SA"/>
          </w:rPr>
          <w:t xml:space="preserve">https://www.pkulaw.com/pfnl/c05aeed05a57db0a24fc1ba49ed95c81f582802faf8263e8bdfb.html </w:t>
        </w:r>
      </w:hyperlink>
    </w:p>
    <w:p w:rsidR="00A77B3E" w:rsidRDefault="00A77B3E"/>
    <w:sectPr w:rsidR="00A77B3E">
      <w:headerReference w:type="default" r:id="rId92"/>
      <w:footerReference w:type="default" r:id="rId93"/>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1BFE" w:rsidRDefault="00861BFE">
      <w:r>
        <w:separator/>
      </w:r>
    </w:p>
  </w:endnote>
  <w:endnote w:type="continuationSeparator" w:id="0">
    <w:p w:rsidR="00861BFE" w:rsidRDefault="00861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861BFE" w:rsidRDefault="00861BFE">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8E1804">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8E1804">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861BFE" w:rsidRDefault="00861BFE">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861BFE" w:rsidRDefault="00861B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1BFE" w:rsidRDefault="00861BFE">
      <w:r>
        <w:separator/>
      </w:r>
    </w:p>
  </w:footnote>
  <w:footnote w:type="continuationSeparator" w:id="0">
    <w:p w:rsidR="00861BFE" w:rsidRDefault="00861B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861BFE" w:rsidRDefault="00861BFE">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861BFE" w:rsidRDefault="00861BFE">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CLI.C.316097312</w:t>
          </w:r>
        </w:p>
      </w:tc>
    </w:tr>
  </w:tbl>
  <w:p w:rsidR="00861BFE" w:rsidRDefault="00861B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861BFE"/>
    <w:rsid w:val="008E1804"/>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225D057-207D-4A4B-A9E1-29BE825BE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annotation">
    <w:name w:val="fulltext-wrap_fields_ul_li_annotation"/>
    <w:basedOn w:val="a0"/>
    <w:rPr>
      <w:color w:val="FFFFFF"/>
      <w:sz w:val="18"/>
      <w:szCs w:val="18"/>
      <w:shd w:val="clear" w:color="auto" w:fill="65BEEA"/>
    </w:rPr>
  </w:style>
  <w:style w:type="character" w:customStyle="1" w:styleId="fulltext-wrapfieldsulliorganization">
    <w:name w:val="fulltext-wrap_fields_ul_li_organization"/>
    <w:basedOn w:val="a0"/>
    <w:rPr>
      <w:color w:val="FFFFFF"/>
      <w:shd w:val="clear" w:color="auto" w:fill="218FC4"/>
    </w:rPr>
  </w:style>
  <w:style w:type="character" w:customStyle="1" w:styleId="fulltext-wrapfieldsulli">
    <w:name w:val="fulltext-wrap_fields_ul_li"/>
    <w:basedOn w:val="a0"/>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8E1804"/>
    <w:pPr>
      <w:tabs>
        <w:tab w:val="center" w:pos="4153"/>
        <w:tab w:val="right" w:pos="8306"/>
      </w:tabs>
      <w:snapToGrid w:val="0"/>
      <w:jc w:val="center"/>
    </w:pPr>
    <w:rPr>
      <w:sz w:val="18"/>
      <w:szCs w:val="18"/>
    </w:rPr>
  </w:style>
  <w:style w:type="character" w:customStyle="1" w:styleId="a5">
    <w:name w:val="页眉 字符"/>
    <w:basedOn w:val="a0"/>
    <w:link w:val="a4"/>
    <w:rsid w:val="008E1804"/>
    <w:rPr>
      <w:sz w:val="18"/>
      <w:szCs w:val="18"/>
    </w:rPr>
  </w:style>
  <w:style w:type="paragraph" w:styleId="a6">
    <w:name w:val="footer"/>
    <w:basedOn w:val="a"/>
    <w:link w:val="a7"/>
    <w:rsid w:val="008E1804"/>
    <w:pPr>
      <w:tabs>
        <w:tab w:val="center" w:pos="4153"/>
        <w:tab w:val="right" w:pos="8306"/>
      </w:tabs>
      <w:snapToGrid w:val="0"/>
    </w:pPr>
    <w:rPr>
      <w:sz w:val="18"/>
      <w:szCs w:val="18"/>
    </w:rPr>
  </w:style>
  <w:style w:type="character" w:customStyle="1" w:styleId="a7">
    <w:name w:val="页脚 字符"/>
    <w:basedOn w:val="a0"/>
    <w:link w:val="a6"/>
    <w:rsid w:val="008E180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javascript:CompanySearch('&#30331;&#23553;&#30005;&#21378;&#38598;&#22242;&#26377;&#38480;&#20844;&#21496;')" TargetMode="External"/><Relationship Id="rId21" Type="http://schemas.openxmlformats.org/officeDocument/2006/relationships/hyperlink" Target="https://www.pkulaw.com/?ExtCondition.CriminalPunish=01020406&amp;way=textBasic" TargetMode="External"/><Relationship Id="rId42" Type="http://schemas.openxmlformats.org/officeDocument/2006/relationships/hyperlink" Target="https://www.pkulaw.com/chl/f7d8c03f172bf13fbdfb.html?way=textSlc" TargetMode="External"/><Relationship Id="rId47" Type="http://schemas.openxmlformats.org/officeDocument/2006/relationships/hyperlink" Target="https://www.pkulaw.com/chl/0fd22e1551c171e3bdfb.html?way=textSlc" TargetMode="External"/><Relationship Id="rId63" Type="http://schemas.openxmlformats.org/officeDocument/2006/relationships/hyperlink" Target="https://www.pkulaw.com/chl/d33df017c784876fbdfb.html?way=textRightFblx" TargetMode="External"/><Relationship Id="rId68" Type="http://schemas.openxmlformats.org/officeDocument/2006/relationships/hyperlink" Target="https://www.pkulaw.com/AssociationMore/pfnl/c05aeed05a57db0a24fc1ba49ed95c81f582802faf8263e8bdfb/19_0.html?way=textRightFblx" TargetMode="External"/><Relationship Id="rId84" Type="http://schemas.openxmlformats.org/officeDocument/2006/relationships/hyperlink" Target="https://www.pkulaw.com/pfnl/c7ed112b8012f8167768d093f7de2d3cd2b276a00aba90b2bdfb.html?way=textRightFblx" TargetMode="External"/><Relationship Id="rId89" Type="http://schemas.openxmlformats.org/officeDocument/2006/relationships/hyperlink" Target="http://www.pkulaw.com/helps/69.html" TargetMode="External"/><Relationship Id="rId16" Type="http://schemas.openxmlformats.org/officeDocument/2006/relationships/hyperlink" Target="https://www.pkulaw.com/?Aggs.TrialStep=003&amp;way=textBasic" TargetMode="External"/><Relationship Id="rId11" Type="http://schemas.openxmlformats.org/officeDocument/2006/relationships/hyperlink" Target="https://www.pkulaw.com/?Aggs.CategoryIntegration=002004001004&amp;way=textBasic" TargetMode="External"/><Relationship Id="rId32" Type="http://schemas.openxmlformats.org/officeDocument/2006/relationships/hyperlink" Target="https://www.pkulaw.com/chl/e980015ceeb14cf2bdfb.html?way=textSlc" TargetMode="External"/><Relationship Id="rId37" Type="http://schemas.openxmlformats.org/officeDocument/2006/relationships/hyperlink" Target="https://www.pkulaw.com/chl/624e746c667e67b3bdfb.html?way=textSlc" TargetMode="External"/><Relationship Id="rId53" Type="http://schemas.openxmlformats.org/officeDocument/2006/relationships/hyperlink" Target="https://www.pkulaw.com/chl/d33df017c784876fbdfb.html?way=textSlc" TargetMode="External"/><Relationship Id="rId58" Type="http://schemas.openxmlformats.org/officeDocument/2006/relationships/hyperlink" Target="https://www.pkulaw.com/chl/12e67f26d4b80606bdfb.html?way=textSlc" TargetMode="External"/><Relationship Id="rId74" Type="http://schemas.openxmlformats.org/officeDocument/2006/relationships/hyperlink" Target="https://www.pkulaw.com/pfnl/a25051f3312b07f35c2562b7986e27806a611af80fd3876ebdfb.html?way=textRightFblx" TargetMode="External"/><Relationship Id="rId79" Type="http://schemas.openxmlformats.org/officeDocument/2006/relationships/hyperlink" Target="https://www.pkulaw.com/pfnl/c7ed112b8012f8161681a2be57ecf4d3ee9a5260f1cdea0cbdfb.html?way=textRightFblx" TargetMode="External"/><Relationship Id="rId5" Type="http://schemas.openxmlformats.org/officeDocument/2006/relationships/footnotes" Target="footnotes.xml"/><Relationship Id="rId90" Type="http://schemas.openxmlformats.org/officeDocument/2006/relationships/image" Target="media/image1.png"/><Relationship Id="rId95" Type="http://schemas.openxmlformats.org/officeDocument/2006/relationships/theme" Target="theme/theme1.xml"/><Relationship Id="rId22" Type="http://schemas.openxmlformats.org/officeDocument/2006/relationships/hyperlink" Target="https://www.pkulaw.com/?ExtCondition.CriminalPunish=0102050315&amp;way=textBasic" TargetMode="External"/><Relationship Id="rId27" Type="http://schemas.openxmlformats.org/officeDocument/2006/relationships/hyperlink" Target="javascript:CompanySearch('&#37073;&#24030;&#20465;&#36827;&#28909;&#30005;&#33021;&#28304;&#26377;&#38480;&#20844;&#21496;')" TargetMode="External"/><Relationship Id="rId43" Type="http://schemas.openxmlformats.org/officeDocument/2006/relationships/hyperlink" Target="https://www.pkulaw.com/chl/f7d8c03f172bf13fbdfb.html?way=textSlc" TargetMode="External"/><Relationship Id="rId48" Type="http://schemas.openxmlformats.org/officeDocument/2006/relationships/hyperlink" Target="https://www.pkulaw.com/chl/0fd22e1551c171e3bdfb.html?way=textSlc" TargetMode="External"/><Relationship Id="rId64" Type="http://schemas.openxmlformats.org/officeDocument/2006/relationships/hyperlink" Target="https://www.pkulaw.com/chl/d33df017c784876fbdfb.html?way=textRightFblx" TargetMode="External"/><Relationship Id="rId69" Type="http://schemas.openxmlformats.org/officeDocument/2006/relationships/hyperlink" Target="https://www.pkulaw.com/pfnl/c7ed112b8012f8164bc13a44cf4e1a94ebf5c92e6bd7e8febdfb.html?way=textRightFblx" TargetMode="External"/><Relationship Id="rId8" Type="http://schemas.openxmlformats.org/officeDocument/2006/relationships/hyperlink" Target="https://www.pkulaw.com/?Aggs.CategoryIntegration=002004&amp;way=textBasic" TargetMode="External"/><Relationship Id="rId51" Type="http://schemas.openxmlformats.org/officeDocument/2006/relationships/hyperlink" Target="https://www.pkulaw.com/chl/d33df017c784876fbdfb.html?way=textSlc" TargetMode="External"/><Relationship Id="rId72" Type="http://schemas.openxmlformats.org/officeDocument/2006/relationships/hyperlink" Target="https://www.pkulaw.com/pfnl/a25051f3312b07f3212cb8ab9e222e9d38d40fbfc798b790bdfb.html?way=textRightFblx" TargetMode="External"/><Relationship Id="rId80" Type="http://schemas.openxmlformats.org/officeDocument/2006/relationships/hyperlink" Target="https://www.pkulaw.com/pfnl/c7ed112b8012f816546b0dcfab99f7033eb10ef895969f5bbdfb.html?way=textRightFblx" TargetMode="External"/><Relationship Id="rId85" Type="http://schemas.openxmlformats.org/officeDocument/2006/relationships/hyperlink" Target="https://www.pkulaw.com/pfnl/c7ed112b8012f816ca7adb168ff7ca73f3fa3985d64c8042bdfb.html?way=textRightFblx" TargetMode="External"/><Relationship Id="rId93"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javascript:void(0)" TargetMode="External"/><Relationship Id="rId17" Type="http://schemas.openxmlformats.org/officeDocument/2006/relationships/hyperlink" Target="javascript:LawFirmSearch('&#19978;&#28023;&#24066;&#24314;&#32428;&#65288;&#37073;&#24030;&#65289;&#24459;&#24072;&#20107;&#21153;&#25152;')" TargetMode="External"/><Relationship Id="rId25" Type="http://schemas.openxmlformats.org/officeDocument/2006/relationships/hyperlink" Target="https://www.pkulaw.com/?ExtCondition.CriminalPunish=01020818&amp;way=textBasic" TargetMode="External"/><Relationship Id="rId33" Type="http://schemas.openxmlformats.org/officeDocument/2006/relationships/hyperlink" Target="https://www.pkulaw.com/chl/e980015ceeb14cf2bdfb.html?way=textSlc" TargetMode="External"/><Relationship Id="rId38" Type="http://schemas.openxmlformats.org/officeDocument/2006/relationships/hyperlink" Target="https://www.pkulaw.com/chl/624e746c667e67b3bdfb.html?way=textSlc" TargetMode="External"/><Relationship Id="rId46" Type="http://schemas.openxmlformats.org/officeDocument/2006/relationships/hyperlink" Target="https://www.pkulaw.com/chl/6a88714068b3724dbdfb.html?way=textSlc" TargetMode="External"/><Relationship Id="rId59" Type="http://schemas.openxmlformats.org/officeDocument/2006/relationships/hyperlink" Target="https://www.pkulaw.com/chl/12e67f26d4b80606bdfb.html?way=textSlc" TargetMode="External"/><Relationship Id="rId67" Type="http://schemas.openxmlformats.org/officeDocument/2006/relationships/hyperlink" Target="https://www.pkulaw.com/chl/6a88714068b3724dbdfb.html?way=textRightFblx" TargetMode="External"/><Relationship Id="rId20" Type="http://schemas.openxmlformats.org/officeDocument/2006/relationships/hyperlink" Target="https://www.pkulaw.com/?ExtCondition.CriminalPunish=01010501&amp;way=textBasic" TargetMode="External"/><Relationship Id="rId41" Type="http://schemas.openxmlformats.org/officeDocument/2006/relationships/hyperlink" Target="https://www.pkulaw.com/chl/d33df017c784876fbdfb.html?way=textSlc" TargetMode="External"/><Relationship Id="rId54" Type="http://schemas.openxmlformats.org/officeDocument/2006/relationships/hyperlink" Target="https://www.pkulaw.com/chl/d33df017c784876fbdfb.html?way=textSlc" TargetMode="External"/><Relationship Id="rId62" Type="http://schemas.openxmlformats.org/officeDocument/2006/relationships/hyperlink" Target="https://www.pkulaw.com/chl/d33df017c784876fbdfb.html?way=textRightFblx" TargetMode="External"/><Relationship Id="rId70" Type="http://schemas.openxmlformats.org/officeDocument/2006/relationships/hyperlink" Target="https://www.pkulaw.com/pfnl/08df102e7c10f206e730189e6ebe3a0c79590b25cf55012ebdfb.html?way=textRightFblx" TargetMode="External"/><Relationship Id="rId75" Type="http://schemas.openxmlformats.org/officeDocument/2006/relationships/hyperlink" Target="https://www.pkulaw.com/pfnl/a25051f3312b07f3d220e2643805ee00056a4bb36a5044f6bdfb.html?way=textRightFblx" TargetMode="External"/><Relationship Id="rId83" Type="http://schemas.openxmlformats.org/officeDocument/2006/relationships/hyperlink" Target="https://www.pkulaw.com/pfnl/c7ed112b8012f816b030b548d57aa23235f6b4603f62d293bdfb.html?way=textRightFblx" TargetMode="External"/><Relationship Id="rId88" Type="http://schemas.openxmlformats.org/officeDocument/2006/relationships/hyperlink" Target="http://www.pkulaw.net/" TargetMode="External"/><Relationship Id="rId91" Type="http://schemas.openxmlformats.org/officeDocument/2006/relationships/hyperlink" Target="https://www.pkulaw.com/pfnl/c05aeed05a57db0a24fc1ba49ed95c81f582802faf8263e8bdfb.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kulaw.com/?Aggs.CaseClass=003003002&amp;way=textBasic" TargetMode="External"/><Relationship Id="rId23" Type="http://schemas.openxmlformats.org/officeDocument/2006/relationships/hyperlink" Target="https://www.pkulaw.com/?ExtCondition.CriminalPunish=01020732&amp;way=textBasic" TargetMode="External"/><Relationship Id="rId28" Type="http://schemas.openxmlformats.org/officeDocument/2006/relationships/hyperlink" Target="javascript:CompanySearch('&#37073;&#24030;&#20465;&#36827;&#28909;&#30005;&#33021;&#28304;&#26377;&#38480;&#20844;&#21496;')" TargetMode="External"/><Relationship Id="rId36" Type="http://schemas.openxmlformats.org/officeDocument/2006/relationships/hyperlink" Target="https://www.pkulaw.com/chl/38960c9e9bee0dedbdfb.html?way=textSlc" TargetMode="External"/><Relationship Id="rId49" Type="http://schemas.openxmlformats.org/officeDocument/2006/relationships/hyperlink" Target="https://www.pkulaw.com/chl/6a88714068b3724dbdfb.html?way=textSlc" TargetMode="External"/><Relationship Id="rId57" Type="http://schemas.openxmlformats.org/officeDocument/2006/relationships/hyperlink" Target="https://www.pkulaw.com/chl/12e67f26d4b80606bdfb.html?way=textSlc" TargetMode="External"/><Relationship Id="rId10" Type="http://schemas.openxmlformats.org/officeDocument/2006/relationships/hyperlink" Target="https://www.pkulaw.com/?Aggs.CategoryIntegration=002004001&amp;way=textBasic" TargetMode="External"/><Relationship Id="rId31" Type="http://schemas.openxmlformats.org/officeDocument/2006/relationships/hyperlink" Target="https://www.pkulaw.com/chl/e980015ceeb14cf2bdfb.html?way=textSlc" TargetMode="External"/><Relationship Id="rId44" Type="http://schemas.openxmlformats.org/officeDocument/2006/relationships/hyperlink" Target="https://www.pkulaw.com/chl/6a88714068b3724dbdfb.html?way=textSlc" TargetMode="External"/><Relationship Id="rId52" Type="http://schemas.openxmlformats.org/officeDocument/2006/relationships/hyperlink" Target="https://www.pkulaw.com/chl/d33df017c784876fbdfb.html?way=textSlc" TargetMode="External"/><Relationship Id="rId60" Type="http://schemas.openxmlformats.org/officeDocument/2006/relationships/hyperlink" Target="https://www.pkulaw.com/chl/38960c9e9bee0dedbdfb.html" TargetMode="External"/><Relationship Id="rId65" Type="http://schemas.openxmlformats.org/officeDocument/2006/relationships/hyperlink" Target="https://www.pkulaw.com/chl/d33df017c784876fbdfb.html?way=textRightFblx" TargetMode="External"/><Relationship Id="rId73" Type="http://schemas.openxmlformats.org/officeDocument/2006/relationships/hyperlink" Target="https://www.pkulaw.com/pfnl/a25051f3312b07f376e16b4653ea39d37585bff477e39079bdfb.html?way=textRightFblx" TargetMode="External"/><Relationship Id="rId78" Type="http://schemas.openxmlformats.org/officeDocument/2006/relationships/hyperlink" Target="https://www.pkulaw.com/pfnl/c7ed112b8012f81670e9e03e93667fedce918a70b7f3ade2bdfb.html?way=textRightFblx" TargetMode="External"/><Relationship Id="rId81" Type="http://schemas.openxmlformats.org/officeDocument/2006/relationships/hyperlink" Target="https://www.pkulaw.com/pfnl/c7ed112b8012f8160203ac48427effea3b311f0523fe5771bdfb.html?way=textRightFblx" TargetMode="External"/><Relationship Id="rId86" Type="http://schemas.openxmlformats.org/officeDocument/2006/relationships/hyperlink" Target="https://www.pkulaw.com/case/pfnl?Aggs.CategoryIntegration=&amp;Aggs.LastInstanceCourt=&amp;way=textRightFblx"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javascript:void(0)" TargetMode="External"/><Relationship Id="rId13" Type="http://schemas.openxmlformats.org/officeDocument/2006/relationships/hyperlink" Target="https://www.pkulaw.com/?Aggs.DocumentAttr=002&amp;way=textBasic" TargetMode="External"/><Relationship Id="rId18" Type="http://schemas.openxmlformats.org/officeDocument/2006/relationships/hyperlink" Target="javascript:LawFirmSearch('&#19978;&#28023;&#24066;&#24314;&#32428;&#65288;&#37073;&#24030;&#65289;&#24459;&#24072;&#20107;&#21153;&#25152;')" TargetMode="External"/><Relationship Id="rId39" Type="http://schemas.openxmlformats.org/officeDocument/2006/relationships/hyperlink" Target="https://www.pkulaw.com/chl/bc26e6a84c218197bdfb.html?way=textSlc" TargetMode="External"/><Relationship Id="rId34" Type="http://schemas.openxmlformats.org/officeDocument/2006/relationships/hyperlink" Target="https://www.pkulaw.com/chl/e980015ceeb14cf2bdfb.html?way=textSlc" TargetMode="External"/><Relationship Id="rId50" Type="http://schemas.openxmlformats.org/officeDocument/2006/relationships/hyperlink" Target="https://www.pkulaw.com/chl/d33df017c784876fbdfb.html?way=textSlc" TargetMode="External"/><Relationship Id="rId55" Type="http://schemas.openxmlformats.org/officeDocument/2006/relationships/hyperlink" Target="https://www.pkulaw.com/chl/d33df017c784876fbdfb.html?way=textSlc" TargetMode="External"/><Relationship Id="rId76" Type="http://schemas.openxmlformats.org/officeDocument/2006/relationships/hyperlink" Target="https://www.pkulaw.com/pfnl/a25051f3312b07f3e169c919a46db3cf8e047c21f872f6d0bdfb.html?way=textRightFblx" TargetMode="External"/><Relationship Id="rId7" Type="http://schemas.openxmlformats.org/officeDocument/2006/relationships/hyperlink" Target="https://www.pkulaw.com/?Aggs.CategoryIntegration=002&amp;way=textBasic" TargetMode="External"/><Relationship Id="rId71" Type="http://schemas.openxmlformats.org/officeDocument/2006/relationships/hyperlink" Target="https://www.pkulaw.com/pfnl/a25051f3312b07f3be8e55cd84ce60f19842babde9d05debbdfb.html?way=textRightFblx" TargetMode="External"/><Relationship Id="rId92" Type="http://schemas.openxmlformats.org/officeDocument/2006/relationships/header" Target="header1.xml"/><Relationship Id="rId2" Type="http://schemas.openxmlformats.org/officeDocument/2006/relationships/styles" Target="styles.xml"/><Relationship Id="rId29" Type="http://schemas.openxmlformats.org/officeDocument/2006/relationships/hyperlink" Target="javascript:CompanySearch('&#30331;&#23553;&#30005;&#21378;&#38598;&#22242;&#26377;&#38480;&#20844;&#21496;')" TargetMode="External"/><Relationship Id="rId24" Type="http://schemas.openxmlformats.org/officeDocument/2006/relationships/hyperlink" Target="https://www.pkulaw.com/?ExtCondition.CriminalPunish=01020734&amp;way=textBasic" TargetMode="External"/><Relationship Id="rId40" Type="http://schemas.openxmlformats.org/officeDocument/2006/relationships/hyperlink" Target="https://www.pkulaw.com/chl/d33df017c784876fbdfb.html?way=textSlc" TargetMode="External"/><Relationship Id="rId45" Type="http://schemas.openxmlformats.org/officeDocument/2006/relationships/hyperlink" Target="https://www.pkulaw.com/chl/6a88714068b3724dbdfb.html?way=textSlc" TargetMode="External"/><Relationship Id="rId66" Type="http://schemas.openxmlformats.org/officeDocument/2006/relationships/hyperlink" Target="https://www.pkulaw.com/chl/624e746c667e67b3bdfb.html?way=textRightFblx" TargetMode="External"/><Relationship Id="rId87" Type="http://schemas.openxmlformats.org/officeDocument/2006/relationships/hyperlink" Target="https://www.pkulaw.com" TargetMode="External"/><Relationship Id="rId61" Type="http://schemas.openxmlformats.org/officeDocument/2006/relationships/hyperlink" Target="https://www.pkulaw.com/chl/bc26e6a84c218197bdfb.html" TargetMode="External"/><Relationship Id="rId82" Type="http://schemas.openxmlformats.org/officeDocument/2006/relationships/hyperlink" Target="https://www.pkulaw.com/pfnl/c7ed112b8012f816a5af926efc881bc378f96f6dcadd63d6bdfb.html?way=textRightFblx" TargetMode="External"/><Relationship Id="rId19" Type="http://schemas.openxmlformats.org/officeDocument/2006/relationships/hyperlink" Target="https://www.pkulaw.com/?ExtCondition.CriminalPunish=01010212&amp;way=textBasic" TargetMode="External"/><Relationship Id="rId14" Type="http://schemas.openxmlformats.org/officeDocument/2006/relationships/hyperlink" Target="https://www.pkulaw.com/?Aggs.LastInstanceCourt=1801&amp;way=textBasic" TargetMode="External"/><Relationship Id="rId30" Type="http://schemas.openxmlformats.org/officeDocument/2006/relationships/hyperlink" Target="https://www.pkulaw.com/chl/bc26e6a84c218197bdfb.html?way=textSlc" TargetMode="External"/><Relationship Id="rId35" Type="http://schemas.openxmlformats.org/officeDocument/2006/relationships/hyperlink" Target="https://www.pkulaw.com/chl/e980015ceeb14cf2bdfb.html?way=textSlc" TargetMode="External"/><Relationship Id="rId56" Type="http://schemas.openxmlformats.org/officeDocument/2006/relationships/hyperlink" Target="https://www.pkulaw.com/chl/d33df017c784876fbdfb.html?way=textSlc" TargetMode="External"/><Relationship Id="rId77" Type="http://schemas.openxmlformats.org/officeDocument/2006/relationships/hyperlink" Target="https://www.pkulaw.com/case/pfnl?Aggs.CategoryIntegration=&amp;way=textRightFbl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5752</Words>
  <Characters>6233</Characters>
  <Application>Microsoft Office Word</Application>
  <DocSecurity>0</DocSecurity>
  <Lines>219</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2026-04-04T17:08:00Z</dcterms:created>
  <dcterms:modified xsi:type="dcterms:W3CDTF">2026-04-04T17:08:00Z</dcterms:modified>
</cp:coreProperties>
</file>