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25A4" w:rsidRDefault="001C25A4">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原告罗田安与被告南京克莉丝汀食品有限公司决议效力确认纠纷一案的民事判决书</w:t>
      </w:r>
    </w:p>
    <w:p w:rsidR="001C25A4" w:rsidRDefault="001C25A4">
      <w:pPr>
        <w:ind w:left="375" w:right="375"/>
        <w:rPr>
          <w:rFonts w:ascii="Arial" w:eastAsia="Arial" w:hAnsi="Arial" w:cs="Arial"/>
          <w:lang w:val="en-US" w:eastAsia="zh-CN" w:bidi="ar-SA"/>
        </w:rPr>
      </w:pPr>
      <w:r>
        <w:rPr>
          <w:rFonts w:ascii="Arial" w:eastAsia="Arial" w:hAnsi="Arial" w:cs="Arial"/>
          <w:lang w:val="en-US" w:eastAsia="zh-CN" w:bidi="ar-SA"/>
        </w:rPr>
        <w:br/>
      </w:r>
    </w:p>
    <w:p w:rsidR="001C25A4" w:rsidRDefault="001C25A4">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与公司、证券、保险、票据等有关的民事纠纷</w:t>
        </w:r>
      </w:hyperlink>
      <w:r>
        <w:rPr>
          <w:rStyle w:val="fulltext-wrapfieldsulrow"/>
          <w:rFonts w:ascii="宋体" w:eastAsia="宋体" w:hAnsi="宋体" w:cs="宋体"/>
          <w:color w:val="999999"/>
          <w:sz w:val="23"/>
          <w:szCs w:val="23"/>
          <w:lang w:val="en-US" w:eastAsia="zh-CN" w:bidi="ar-SA"/>
        </w:rPr>
        <w:t xml:space="preserve">&gt; </w:t>
      </w:r>
      <w:hyperlink r:id="rId9" w:tgtFrame="_blank" w:history="1">
        <w:r>
          <w:rPr>
            <w:rStyle w:val="fulltext-wrapfieldsullia"/>
            <w:rFonts w:ascii="宋体" w:eastAsia="宋体" w:hAnsi="宋体" w:cs="宋体"/>
            <w:sz w:val="23"/>
            <w:szCs w:val="23"/>
            <w:lang w:val="en-US" w:eastAsia="zh-CN" w:bidi="ar-SA"/>
          </w:rPr>
          <w:t>与公司有关的纠纷</w:t>
        </w:r>
      </w:hyperlink>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公司决议纠纷</w:t>
        </w:r>
      </w:hyperlink>
      <w:hyperlink r:id="rId11" w:history="1">
        <w:bookmarkStart w:id="1" w:name="category"/>
        <w:r>
          <w:rPr>
            <w:rStyle w:val="fulltext-wrapfieldsulliorganization"/>
            <w:rFonts w:ascii="宋体" w:eastAsia="宋体" w:hAnsi="宋体" w:cs="宋体"/>
            <w:sz w:val="23"/>
            <w:szCs w:val="23"/>
            <w:lang w:val="en-US" w:eastAsia="zh-CN" w:bidi="ar-SA"/>
          </w:rPr>
          <w:t>案由释义</w:t>
        </w:r>
      </w:hyperlink>
      <w:bookmarkEnd w:id="1"/>
      <w:r>
        <w:rPr>
          <w:rStyle w:val="fulltext-wrapfieldsulrow"/>
          <w:rFonts w:ascii="宋体" w:eastAsia="宋体" w:hAnsi="宋体" w:cs="宋体"/>
          <w:color w:val="999999"/>
          <w:sz w:val="23"/>
          <w:szCs w:val="23"/>
          <w:lang w:val="en-US" w:eastAsia="zh-CN" w:bidi="ar-SA"/>
        </w:rPr>
        <w:t xml:space="preserve">&gt; </w:t>
      </w:r>
      <w:hyperlink r:id="rId12" w:tgtFrame="_blank" w:history="1">
        <w:r>
          <w:rPr>
            <w:rStyle w:val="fulltext-wrapfieldsullia"/>
            <w:rFonts w:ascii="宋体" w:eastAsia="宋体" w:hAnsi="宋体" w:cs="宋体"/>
            <w:sz w:val="23"/>
            <w:szCs w:val="23"/>
            <w:lang w:val="en-US" w:eastAsia="zh-CN" w:bidi="ar-SA"/>
          </w:rPr>
          <w:t>公司决议效力确认纠纷</w:t>
        </w:r>
      </w:hyperlink>
    </w:p>
    <w:p w:rsidR="001C25A4" w:rsidRDefault="001C25A4">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(2020)</w:t>
      </w:r>
      <w:r>
        <w:rPr>
          <w:rStyle w:val="fulltext-wrapfieldsulrow"/>
          <w:rFonts w:ascii="宋体" w:eastAsia="宋体" w:hAnsi="宋体" w:cs="宋体"/>
          <w:color w:val="999999"/>
          <w:sz w:val="23"/>
          <w:szCs w:val="23"/>
          <w:lang w:val="en-US" w:eastAsia="zh-CN" w:bidi="ar-SA"/>
        </w:rPr>
        <w:t>苏</w:t>
      </w:r>
      <w:r>
        <w:rPr>
          <w:rStyle w:val="fulltext-wrapfieldsulrow"/>
          <w:rFonts w:ascii="宋体" w:eastAsia="宋体" w:hAnsi="宋体" w:cs="宋体"/>
          <w:color w:val="999999"/>
          <w:sz w:val="23"/>
          <w:szCs w:val="23"/>
          <w:lang w:val="en-US" w:eastAsia="zh-CN" w:bidi="ar-SA"/>
        </w:rPr>
        <w:t>01</w:t>
      </w:r>
      <w:r>
        <w:rPr>
          <w:rStyle w:val="fulltext-wrapfieldsulrow"/>
          <w:rFonts w:ascii="宋体" w:eastAsia="宋体" w:hAnsi="宋体" w:cs="宋体"/>
          <w:color w:val="999999"/>
          <w:sz w:val="23"/>
          <w:szCs w:val="23"/>
          <w:lang w:val="en-US" w:eastAsia="zh-CN" w:bidi="ar-SA"/>
        </w:rPr>
        <w:t>民初</w:t>
      </w:r>
      <w:r>
        <w:rPr>
          <w:rStyle w:val="fulltext-wrapfieldsulrow"/>
          <w:rFonts w:ascii="宋体" w:eastAsia="宋体" w:hAnsi="宋体" w:cs="宋体"/>
          <w:color w:val="999999"/>
          <w:sz w:val="23"/>
          <w:szCs w:val="23"/>
          <w:lang w:val="en-US" w:eastAsia="zh-CN" w:bidi="ar-SA"/>
        </w:rPr>
        <w:t>3025</w:t>
      </w:r>
      <w:r>
        <w:rPr>
          <w:rStyle w:val="fulltext-wrapfieldsulrow"/>
          <w:rFonts w:ascii="宋体" w:eastAsia="宋体" w:hAnsi="宋体" w:cs="宋体"/>
          <w:color w:val="999999"/>
          <w:sz w:val="23"/>
          <w:szCs w:val="23"/>
          <w:lang w:val="en-US" w:eastAsia="zh-CN" w:bidi="ar-SA"/>
        </w:rPr>
        <w:t>号</w:t>
      </w:r>
    </w:p>
    <w:p w:rsidR="001C25A4" w:rsidRDefault="001C25A4">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姜欣</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蔡晓文</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吴勇</w:t>
      </w:r>
    </w:p>
    <w:p w:rsidR="001C25A4" w:rsidRDefault="001C25A4">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判决书</w:t>
        </w:r>
      </w:hyperlink>
    </w:p>
    <w:p w:rsidR="001C25A4" w:rsidRDefault="001C25A4">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1C25A4" w:rsidRDefault="001C25A4">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江苏省南京市中级人民法院</w:t>
        </w:r>
      </w:hyperlink>
    </w:p>
    <w:p w:rsidR="001C25A4" w:rsidRDefault="001C25A4">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2021.02.24</w:t>
      </w:r>
    </w:p>
    <w:p w:rsidR="001C25A4" w:rsidRDefault="001C25A4">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民事一审</w:t>
        </w:r>
      </w:hyperlink>
    </w:p>
    <w:p w:rsidR="001C25A4" w:rsidRDefault="001C25A4">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一审</w:t>
        </w:r>
      </w:hyperlink>
    </w:p>
    <w:p w:rsidR="001C25A4" w:rsidRDefault="001C25A4">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代理律师</w:t>
      </w:r>
      <w:r>
        <w:rPr>
          <w:rStyle w:val="fulltext-wrapfieldsulliboxstrong"/>
          <w:rFonts w:ascii="宋体" w:eastAsia="宋体" w:hAnsi="宋体" w:cs="宋体"/>
          <w:sz w:val="23"/>
          <w:szCs w:val="23"/>
          <w:lang w:val="en-US" w:eastAsia="zh-CN" w:bidi="ar-SA"/>
        </w:rPr>
        <w:t>/</w:t>
      </w:r>
      <w:r>
        <w:rPr>
          <w:rStyle w:val="fulltext-wrapfieldsulliboxstrong"/>
          <w:rFonts w:ascii="宋体" w:eastAsia="宋体" w:hAnsi="宋体" w:cs="宋体"/>
          <w:sz w:val="23"/>
          <w:szCs w:val="23"/>
          <w:lang w:val="en-US" w:eastAsia="zh-CN" w:bidi="ar-SA"/>
        </w:rPr>
        <w:t>律所：</w:t>
      </w:r>
      <w:r>
        <w:rPr>
          <w:rStyle w:val="fulltext-wrapfieldsullia"/>
          <w:rFonts w:ascii="宋体" w:eastAsia="宋体" w:hAnsi="宋体" w:cs="宋体"/>
          <w:sz w:val="23"/>
          <w:szCs w:val="23"/>
          <w:lang w:val="en-US" w:eastAsia="zh-CN" w:bidi="ar-SA"/>
        </w:rPr>
        <w:t>丁少曦</w:t>
      </w:r>
      <w:r>
        <w:rPr>
          <w:rStyle w:val="fulltext-wrapfieldsulrow"/>
          <w:rFonts w:ascii="宋体" w:eastAsia="宋体" w:hAnsi="宋体" w:cs="宋体"/>
          <w:color w:val="999999"/>
          <w:sz w:val="23"/>
          <w:szCs w:val="23"/>
          <w:lang w:val="en-US" w:eastAsia="zh-CN" w:bidi="ar-SA"/>
        </w:rPr>
        <w:t>,</w:t>
      </w:r>
      <w:hyperlink r:id="rId17" w:history="1">
        <w:r>
          <w:rPr>
            <w:rStyle w:val="fulltext-wrapfieldsullia"/>
            <w:rFonts w:ascii="宋体" w:eastAsia="宋体" w:hAnsi="宋体" w:cs="宋体"/>
            <w:sz w:val="23"/>
            <w:szCs w:val="23"/>
            <w:lang w:val="en-US" w:eastAsia="zh-CN" w:bidi="ar-SA"/>
          </w:rPr>
          <w:t>北京市高朋（南京）律师事务所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魏梦</w:t>
      </w:r>
      <w:r>
        <w:rPr>
          <w:rStyle w:val="fulltext-wrapfieldsulrow"/>
          <w:rFonts w:ascii="宋体" w:eastAsia="宋体" w:hAnsi="宋体" w:cs="宋体"/>
          <w:color w:val="999999"/>
          <w:sz w:val="23"/>
          <w:szCs w:val="23"/>
          <w:lang w:val="en-US" w:eastAsia="zh-CN" w:bidi="ar-SA"/>
        </w:rPr>
        <w:t>,</w:t>
      </w:r>
      <w:hyperlink r:id="rId18" w:history="1">
        <w:r>
          <w:rPr>
            <w:rStyle w:val="fulltext-wrapfieldsullia"/>
            <w:rFonts w:ascii="宋体" w:eastAsia="宋体" w:hAnsi="宋体" w:cs="宋体"/>
            <w:sz w:val="23"/>
            <w:szCs w:val="23"/>
            <w:lang w:val="en-US" w:eastAsia="zh-CN" w:bidi="ar-SA"/>
          </w:rPr>
          <w:t>北京市高朋（南京）律师事务所</w:t>
        </w:r>
      </w:hyperlink>
      <w:r>
        <w:rPr>
          <w:rStyle w:val="fulltext-wrapfieldsulrow"/>
          <w:rFonts w:ascii="宋体" w:eastAsia="宋体" w:hAnsi="宋体" w:cs="宋体"/>
          <w:color w:val="999999"/>
          <w:sz w:val="23"/>
          <w:szCs w:val="23"/>
          <w:lang w:val="en-US" w:eastAsia="zh-CN" w:bidi="ar-SA"/>
        </w:rPr>
        <w:t>;</w:t>
      </w:r>
    </w:p>
    <w:p w:rsidR="001C25A4" w:rsidRDefault="001C25A4">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19" w:tgtFrame="_blank" w:history="1">
        <w:r>
          <w:rPr>
            <w:rStyle w:val="fulltext-wrapfieldsullia"/>
            <w:rFonts w:ascii="宋体" w:eastAsia="宋体" w:hAnsi="宋体" w:cs="宋体"/>
            <w:sz w:val="23"/>
            <w:szCs w:val="23"/>
            <w:lang w:val="en-US" w:eastAsia="zh-CN" w:bidi="ar-SA"/>
          </w:rPr>
          <w:t>民事行为能力</w:t>
        </w:r>
      </w:hyperlink>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无效</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撤销</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委托代理</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民事权利</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管辖</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证明力</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关联性</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质证</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诉讼请求</w:t>
        </w:r>
      </w:hyperlink>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执行</w:t>
        </w:r>
      </w:hyperlink>
    </w:p>
    <w:p w:rsidR="001C25A4" w:rsidRDefault="001C25A4">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案件要素：</w:t>
      </w:r>
      <w:r>
        <w:rPr>
          <w:rStyle w:val="fulltext-wrapfieldsulrow"/>
          <w:rFonts w:ascii="宋体" w:eastAsia="宋体" w:hAnsi="宋体" w:cs="宋体"/>
          <w:color w:val="999999"/>
          <w:sz w:val="23"/>
          <w:szCs w:val="23"/>
          <w:lang w:val="en-US" w:eastAsia="zh-CN" w:bidi="ar-SA"/>
        </w:rPr>
        <w:t xml:space="preserve"> </w:t>
      </w:r>
      <w:hyperlink r:id="rId30" w:tgtFrame="_blank" w:history="1">
        <w:r>
          <w:rPr>
            <w:rStyle w:val="fulltext-wrapfieldsullia"/>
            <w:rFonts w:ascii="宋体" w:eastAsia="宋体" w:hAnsi="宋体" w:cs="宋体"/>
            <w:sz w:val="23"/>
            <w:szCs w:val="23"/>
            <w:lang w:val="en-US" w:eastAsia="zh-CN" w:bidi="ar-SA"/>
          </w:rPr>
          <w:t>企业相关</w:t>
        </w:r>
      </w:hyperlink>
      <w:r>
        <w:rPr>
          <w:rStyle w:val="fulltext-wrapfieldsulrow"/>
          <w:rFonts w:ascii="宋体" w:eastAsia="宋体" w:hAnsi="宋体" w:cs="宋体"/>
          <w:color w:val="999999"/>
          <w:sz w:val="23"/>
          <w:szCs w:val="23"/>
          <w:lang w:val="en-US" w:eastAsia="zh-CN" w:bidi="ar-SA"/>
        </w:rPr>
        <w:t xml:space="preserve"> </w:t>
      </w:r>
      <w:hyperlink r:id="rId31" w:tgtFrame="_blank" w:history="1">
        <w:r>
          <w:rPr>
            <w:rStyle w:val="fulltext-wrapfieldsullia"/>
            <w:rFonts w:ascii="宋体" w:eastAsia="宋体" w:hAnsi="宋体" w:cs="宋体"/>
            <w:sz w:val="23"/>
            <w:szCs w:val="23"/>
            <w:lang w:val="en-US" w:eastAsia="zh-CN" w:bidi="ar-SA"/>
          </w:rPr>
          <w:t>公司设立和组织机构</w:t>
        </w:r>
      </w:hyperlink>
      <w:r>
        <w:rPr>
          <w:rStyle w:val="fulltext-wrapfieldsulrow"/>
          <w:rFonts w:ascii="宋体" w:eastAsia="宋体" w:hAnsi="宋体" w:cs="宋体"/>
          <w:color w:val="999999"/>
          <w:sz w:val="23"/>
          <w:szCs w:val="23"/>
          <w:lang w:val="en-US" w:eastAsia="zh-CN" w:bidi="ar-SA"/>
        </w:rPr>
        <w:t xml:space="preserve"> </w:t>
      </w:r>
      <w:hyperlink r:id="rId32" w:tgtFrame="_blank" w:history="1">
        <w:r>
          <w:rPr>
            <w:rStyle w:val="fulltext-wrapfieldsullia"/>
            <w:rFonts w:ascii="宋体" w:eastAsia="宋体" w:hAnsi="宋体" w:cs="宋体"/>
            <w:sz w:val="23"/>
            <w:szCs w:val="23"/>
            <w:lang w:val="en-US" w:eastAsia="zh-CN" w:bidi="ar-SA"/>
          </w:rPr>
          <w:t>决议不成立</w:t>
        </w:r>
      </w:hyperlink>
      <w:r>
        <w:rPr>
          <w:rStyle w:val="fulltext-wrapfieldsulrow"/>
          <w:rFonts w:ascii="宋体" w:eastAsia="宋体" w:hAnsi="宋体" w:cs="宋体"/>
          <w:color w:val="999999"/>
          <w:sz w:val="23"/>
          <w:szCs w:val="23"/>
          <w:lang w:val="en-US" w:eastAsia="zh-CN" w:bidi="ar-SA"/>
        </w:rPr>
        <w:t xml:space="preserve"> </w:t>
      </w:r>
      <w:hyperlink r:id="rId33" w:tgtFrame="_blank" w:history="1">
        <w:r>
          <w:rPr>
            <w:rStyle w:val="fulltext-wrapfieldsullia"/>
            <w:rFonts w:ascii="宋体" w:eastAsia="宋体" w:hAnsi="宋体" w:cs="宋体"/>
            <w:sz w:val="23"/>
            <w:szCs w:val="23"/>
            <w:lang w:val="en-US" w:eastAsia="zh-CN" w:bidi="ar-SA"/>
          </w:rPr>
          <w:t>股东的权利和义务</w:t>
        </w:r>
      </w:hyperlink>
      <w:r>
        <w:rPr>
          <w:rStyle w:val="fulltext-wrapfieldsulrow"/>
          <w:rFonts w:ascii="宋体" w:eastAsia="宋体" w:hAnsi="宋体" w:cs="宋体"/>
          <w:color w:val="999999"/>
          <w:sz w:val="23"/>
          <w:szCs w:val="23"/>
          <w:lang w:val="en-US" w:eastAsia="zh-CN" w:bidi="ar-SA"/>
        </w:rPr>
        <w:t xml:space="preserve"> </w:t>
      </w:r>
      <w:hyperlink r:id="rId34" w:tgtFrame="_blank" w:history="1">
        <w:r>
          <w:rPr>
            <w:rStyle w:val="fulltext-wrapfieldsullia"/>
            <w:rFonts w:ascii="宋体" w:eastAsia="宋体" w:hAnsi="宋体" w:cs="宋体"/>
            <w:sz w:val="23"/>
            <w:szCs w:val="23"/>
            <w:lang w:val="en-US" w:eastAsia="zh-CN" w:bidi="ar-SA"/>
          </w:rPr>
          <w:t>涉外民事关系</w:t>
        </w:r>
      </w:hyperlink>
      <w:r>
        <w:rPr>
          <w:rStyle w:val="fulltext-wrapfieldsulrow"/>
          <w:rFonts w:ascii="宋体" w:eastAsia="宋体" w:hAnsi="宋体" w:cs="宋体"/>
          <w:color w:val="999999"/>
          <w:sz w:val="23"/>
          <w:szCs w:val="23"/>
          <w:lang w:val="en-US" w:eastAsia="zh-CN" w:bidi="ar-SA"/>
        </w:rPr>
        <w:t xml:space="preserve"> </w:t>
      </w:r>
      <w:hyperlink r:id="rId35" w:tgtFrame="_blank" w:history="1">
        <w:r>
          <w:rPr>
            <w:rStyle w:val="fulltext-wrapfieldsullia"/>
            <w:rFonts w:ascii="宋体" w:eastAsia="宋体" w:hAnsi="宋体" w:cs="宋体"/>
            <w:sz w:val="23"/>
            <w:szCs w:val="23"/>
            <w:lang w:val="en-US" w:eastAsia="zh-CN" w:bidi="ar-SA"/>
          </w:rPr>
          <w:t>股东会决议效力认定</w:t>
        </w:r>
      </w:hyperlink>
      <w:r>
        <w:rPr>
          <w:rStyle w:val="fulltext-wrapfieldsulrow"/>
          <w:rFonts w:ascii="宋体" w:eastAsia="宋体" w:hAnsi="宋体" w:cs="宋体"/>
          <w:color w:val="999999"/>
          <w:sz w:val="23"/>
          <w:szCs w:val="23"/>
          <w:lang w:val="en-US" w:eastAsia="zh-CN" w:bidi="ar-SA"/>
        </w:rPr>
        <w:t xml:space="preserve"> </w:t>
      </w:r>
      <w:hyperlink r:id="rId36" w:tgtFrame="_blank" w:history="1">
        <w:r>
          <w:rPr>
            <w:rStyle w:val="fulltext-wrapfieldsullia"/>
            <w:rFonts w:ascii="宋体" w:eastAsia="宋体" w:hAnsi="宋体" w:cs="宋体"/>
            <w:sz w:val="23"/>
            <w:szCs w:val="23"/>
            <w:lang w:val="en-US" w:eastAsia="zh-CN" w:bidi="ar-SA"/>
          </w:rPr>
          <w:t>法律责任</w:t>
        </w:r>
      </w:hyperlink>
      <w:r>
        <w:rPr>
          <w:rStyle w:val="fulltext-wrapfieldsulrow"/>
          <w:rFonts w:ascii="宋体" w:eastAsia="宋体" w:hAnsi="宋体" w:cs="宋体"/>
          <w:color w:val="999999"/>
          <w:sz w:val="23"/>
          <w:szCs w:val="23"/>
          <w:lang w:val="en-US" w:eastAsia="zh-CN" w:bidi="ar-SA"/>
        </w:rPr>
        <w:t xml:space="preserve"> </w:t>
      </w:r>
      <w:hyperlink r:id="rId37" w:tgtFrame="_blank" w:history="1">
        <w:r>
          <w:rPr>
            <w:rStyle w:val="fulltext-wrapfieldsullia"/>
            <w:rFonts w:ascii="宋体" w:eastAsia="宋体" w:hAnsi="宋体" w:cs="宋体"/>
            <w:sz w:val="23"/>
            <w:szCs w:val="23"/>
            <w:lang w:val="en-US" w:eastAsia="zh-CN" w:bidi="ar-SA"/>
          </w:rPr>
          <w:t>法律责任承担</w:t>
        </w:r>
      </w:hyperlink>
      <w:r>
        <w:rPr>
          <w:rStyle w:val="fulltext-wrapfieldsulrow"/>
          <w:rFonts w:ascii="宋体" w:eastAsia="宋体" w:hAnsi="宋体" w:cs="宋体"/>
          <w:color w:val="999999"/>
          <w:sz w:val="23"/>
          <w:szCs w:val="23"/>
          <w:lang w:val="en-US" w:eastAsia="zh-CN" w:bidi="ar-SA"/>
        </w:rPr>
        <w:t xml:space="preserve"> </w:t>
      </w:r>
      <w:hyperlink r:id="rId38" w:tgtFrame="_blank" w:history="1">
        <w:r>
          <w:rPr>
            <w:rStyle w:val="fulltext-wrapfieldsullia"/>
            <w:rFonts w:ascii="宋体" w:eastAsia="宋体" w:hAnsi="宋体" w:cs="宋体"/>
            <w:sz w:val="23"/>
            <w:szCs w:val="23"/>
            <w:lang w:val="en-US" w:eastAsia="zh-CN" w:bidi="ar-SA"/>
          </w:rPr>
          <w:t>诉讼主体资格</w:t>
        </w:r>
      </w:hyperlink>
    </w:p>
    <w:p w:rsidR="001C25A4" w:rsidRDefault="001C25A4">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1C25A4" w:rsidRDefault="001C25A4">
      <w:pPr>
        <w:ind w:left="375" w:right="375"/>
        <w:rPr>
          <w:rFonts w:ascii="Arial" w:eastAsia="Arial" w:hAnsi="Arial" w:cs="Arial"/>
          <w:lang w:val="en-US" w:eastAsia="zh-CN" w:bidi="ar-SA"/>
        </w:rPr>
      </w:pPr>
      <w:r>
        <w:rPr>
          <w:rFonts w:ascii="Arial" w:eastAsia="Arial" w:hAnsi="Arial" w:cs="Arial"/>
          <w:lang w:val="en-US" w:eastAsia="zh-CN" w:bidi="ar-SA"/>
        </w:rPr>
        <w:br/>
      </w:r>
    </w:p>
    <w:p w:rsidR="001C25A4" w:rsidRDefault="001C25A4">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原告罗田安与被告南京克莉丝汀食品有限公司决议效力确认纠纷一案的民事判决书</w:t>
      </w:r>
    </w:p>
    <w:p w:rsidR="001C25A4" w:rsidRDefault="001C25A4">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江苏省南京市中级人民法院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民事判决书</w:t>
      </w:r>
    </w:p>
    <w:p w:rsidR="001C25A4" w:rsidRDefault="001C25A4">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lastRenderedPageBreak/>
        <w:t>(2020)</w:t>
      </w:r>
      <w:r>
        <w:rPr>
          <w:rStyle w:val="span"/>
          <w:rFonts w:ascii="宋体" w:eastAsia="宋体" w:hAnsi="宋体" w:cs="宋体"/>
          <w:color w:val="000000"/>
          <w:sz w:val="27"/>
          <w:szCs w:val="27"/>
          <w:lang w:val="en-US" w:eastAsia="zh-CN" w:bidi="ar-SA"/>
        </w:rPr>
        <w:t>苏</w:t>
      </w:r>
      <w:r>
        <w:rPr>
          <w:rStyle w:val="span"/>
          <w:rFonts w:ascii="宋体" w:eastAsia="宋体" w:hAnsi="宋体" w:cs="宋体"/>
          <w:color w:val="000000"/>
          <w:sz w:val="27"/>
          <w:szCs w:val="27"/>
          <w:lang w:val="en-US" w:eastAsia="zh-CN" w:bidi="ar-SA"/>
        </w:rPr>
        <w:t>01</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3025</w:t>
      </w:r>
      <w:r>
        <w:rPr>
          <w:rStyle w:val="span"/>
          <w:rFonts w:ascii="宋体" w:eastAsia="宋体" w:hAnsi="宋体" w:cs="宋体"/>
          <w:color w:val="000000"/>
          <w:sz w:val="27"/>
          <w:szCs w:val="27"/>
          <w:lang w:val="en-US" w:eastAsia="zh-CN" w:bidi="ar-SA"/>
        </w:rPr>
        <w:t>号</w:t>
      </w:r>
    </w:p>
    <w:p w:rsidR="001C25A4" w:rsidRDefault="001C25A4">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2" w:name="anchor-0"/>
      <w:bookmarkEnd w:id="2"/>
      <w:r>
        <w:rPr>
          <w:rFonts w:ascii="宋体" w:eastAsia="宋体" w:hAnsi="宋体" w:cs="宋体"/>
          <w:color w:val="000000"/>
          <w:sz w:val="27"/>
          <w:szCs w:val="27"/>
          <w:lang w:val="en-US" w:eastAsia="zh-CN" w:bidi="ar-SA"/>
        </w:rPr>
        <w:t xml:space="preserve">　　原告：罗田安。</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委托诉讼代理人：丁少曦，北京市高朋</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南京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委托诉讼代理人：魏梦，北京市高朋</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南京</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被告：南京克莉丝汀食品有限公司，住所地江苏省南京市江宁区清水亭西路</w:t>
      </w:r>
      <w:r>
        <w:rPr>
          <w:rFonts w:ascii="宋体" w:eastAsia="宋体" w:hAnsi="宋体" w:cs="宋体"/>
          <w:color w:val="000000"/>
          <w:sz w:val="27"/>
          <w:szCs w:val="27"/>
          <w:lang w:val="en-US" w:eastAsia="zh-CN" w:bidi="ar-SA"/>
        </w:rPr>
        <w:t>189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法定代表人：赵骁骁，该公司执行董事。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委托诉讼代理人：孙金清，</w:t>
      </w:r>
      <w:hyperlink r:id="rId39" w:history="1">
        <w:r>
          <w:rPr>
            <w:rStyle w:val="fulltext-wrapfulltexta"/>
            <w:rFonts w:ascii="宋体" w:eastAsia="宋体" w:hAnsi="宋体" w:cs="宋体"/>
            <w:sz w:val="27"/>
            <w:szCs w:val="27"/>
            <w:lang w:val="en-US" w:eastAsia="zh-CN" w:bidi="ar-SA"/>
          </w:rPr>
          <w:t>江苏共盈律师事务所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委托诉讼代理人：朱士达，</w:t>
      </w:r>
      <w:hyperlink r:id="rId40" w:history="1">
        <w:r>
          <w:rPr>
            <w:rStyle w:val="fulltext-wrapfulltexta"/>
            <w:rFonts w:ascii="宋体" w:eastAsia="宋体" w:hAnsi="宋体" w:cs="宋体"/>
            <w:sz w:val="27"/>
            <w:szCs w:val="27"/>
            <w:lang w:val="en-US" w:eastAsia="zh-CN" w:bidi="ar-SA"/>
          </w:rPr>
          <w:t>江苏共盈律师事务所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3" w:name="anchor-1"/>
      <w:bookmarkEnd w:id="3"/>
      <w:r>
        <w:rPr>
          <w:rFonts w:ascii="宋体" w:eastAsia="宋体" w:hAnsi="宋体" w:cs="宋体"/>
          <w:color w:val="000000"/>
          <w:sz w:val="27"/>
          <w:szCs w:val="27"/>
          <w:lang w:val="en-US" w:eastAsia="zh-CN" w:bidi="ar-SA"/>
        </w:rPr>
        <w:t xml:space="preserve">　　原告罗田安因与被告南京克莉丝汀食品有限公司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以下简称南京克莉丝汀公司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公司决议效力确认纠纷一案，江苏省江宁经济技术开发区人民法院于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日立案受理后，以该案系涉外民商事案件，该院无管辖权为由，将该案移送至本院审理。本院于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日立案后，依法适用普通程序，公开开庭进行了审理。原告罗田安委托诉讼代理人丁少曦、魏梦，被告南京克莉丝汀公司的委托诉讼代理人孙金清、朱士达到庭参加诉讼。本案现已审理终结。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原告诉称</w:t>
      </w:r>
      <w:bookmarkStart w:id="4" w:name="anchor-3"/>
      <w:bookmarkEnd w:id="4"/>
      <w:r>
        <w:rPr>
          <w:rFonts w:ascii="宋体" w:eastAsia="宋体" w:hAnsi="宋体" w:cs="宋体"/>
          <w:color w:val="000000"/>
          <w:sz w:val="27"/>
          <w:szCs w:val="27"/>
          <w:lang w:val="en-US" w:eastAsia="zh-CN" w:bidi="ar-SA"/>
        </w:rPr>
        <w:t xml:space="preserve">　　罗田安向本院提出诉讼请求：</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确认南京克莉丝汀公司于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日作出的关于免除蒋玉萍，重新选取葛恩情为监事，罢免江若娴、洪敦清董事，委派吴晓秋、张治东为董事以及罢免罗田安董事长，委派徐纯彬为董事长的的股东会决议不成立；</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判令南京克莉丝汀公司立即向登记机关申请撤销依据</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日的股东会相关决议所做的变更登记，将公司法定代表人及董事长恢复为罗田安，董事恢复为罗田安、江若娴、洪敦清，监事恢复为蒋玉萍；</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南京克莉丝汀公司负担本案诉讼费用。事实和理由：</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日，多名不明人</w:t>
      </w:r>
      <w:r>
        <w:rPr>
          <w:rFonts w:ascii="宋体" w:eastAsia="宋体" w:hAnsi="宋体" w:cs="宋体"/>
          <w:color w:val="000000"/>
          <w:sz w:val="27"/>
          <w:szCs w:val="27"/>
          <w:lang w:val="en-US" w:eastAsia="zh-CN" w:bidi="ar-SA"/>
        </w:rPr>
        <w:lastRenderedPageBreak/>
        <w:t>士闯入南京克莉丝汀公司，强行拿走了公司的全套工商登记资料</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含公司营业执照正副本等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公章、财务章等。当日，南京克莉丝汀公司原法定代表人及董事长罗田安在上海接到员工告知后，立即奔赴南京查看公司情况，在确认公司的营业执照、公章及财务章等均丢失后，立即向当地派出所进行报案，当地派出所也进行了登记。</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月上旬，罗田安发现南京克莉丝汀公司于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日向南京市江宁区市场监督管理局申请变更了公司的法定代表人，将原法定代表人罗田安变更为徐纯彬，同时变更了公司董事长、两位董事及公司监事。经罗田安确认，南京克莉丝汀公司所有变更材料中罗田安的签字均系伪造，罗田安本人也从未参加过相关的股东会。故上述南京克莉丝汀公司关于更换、选举相关董事、监事据以作出的股东会决议实际上并未召开，决议内容违反了法律规定及公司章程。根据《</w:t>
      </w:r>
      <w:hyperlink r:id="rId41"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》第</w:t>
      </w:r>
      <w:hyperlink r:id="rId42" w:anchor="tiao_22" w:history="1">
        <w:r>
          <w:rPr>
            <w:rStyle w:val="fulltext-wrapfulltexta"/>
            <w:rFonts w:ascii="宋体" w:eastAsia="宋体" w:hAnsi="宋体" w:cs="宋体"/>
            <w:sz w:val="27"/>
            <w:szCs w:val="27"/>
            <w:lang w:val="en-US" w:eastAsia="zh-CN" w:bidi="ar-SA"/>
          </w:rPr>
          <w:t>二十二条</w:t>
        </w:r>
      </w:hyperlink>
      <w:r>
        <w:rPr>
          <w:rFonts w:ascii="宋体" w:eastAsia="宋体" w:hAnsi="宋体" w:cs="宋体"/>
          <w:color w:val="000000"/>
          <w:sz w:val="27"/>
          <w:szCs w:val="27"/>
          <w:lang w:val="en-US" w:eastAsia="zh-CN" w:bidi="ar-SA"/>
        </w:rPr>
        <w:t>及《最高人民法院适用</w:t>
      </w:r>
      <w:hyperlink r:id="rId43" w:history="1">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中华人民共和国公司法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若干问题的规定</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四</w:t>
        </w:r>
        <w:r>
          <w:rPr>
            <w:rStyle w:val="fulltext-wrapfulltexta"/>
            <w:rFonts w:ascii="宋体" w:eastAsia="宋体" w:hAnsi="宋体" w:cs="宋体"/>
            <w:sz w:val="27"/>
            <w:szCs w:val="27"/>
            <w:lang w:val="en-US" w:eastAsia="zh-CN" w:bidi="ar-SA"/>
          </w:rPr>
          <w:t>)</w:t>
        </w:r>
      </w:hyperlink>
      <w:r>
        <w:rPr>
          <w:rFonts w:ascii="宋体" w:eastAsia="宋体" w:hAnsi="宋体" w:cs="宋体"/>
          <w:color w:val="000000"/>
          <w:sz w:val="27"/>
          <w:szCs w:val="27"/>
          <w:lang w:val="en-US" w:eastAsia="zh-CN" w:bidi="ar-SA"/>
        </w:rPr>
        <w:t>》第</w:t>
      </w:r>
      <w:hyperlink r:id="rId44" w:anchor="tiao_1" w:history="1">
        <w:r>
          <w:rPr>
            <w:rStyle w:val="fulltext-wrapfulltexta"/>
            <w:rFonts w:ascii="宋体" w:eastAsia="宋体" w:hAnsi="宋体" w:cs="宋体"/>
            <w:sz w:val="27"/>
            <w:szCs w:val="27"/>
            <w:lang w:val="en-US" w:eastAsia="zh-CN" w:bidi="ar-SA"/>
          </w:rPr>
          <w:t>一条</w:t>
        </w:r>
      </w:hyperlink>
      <w:r>
        <w:rPr>
          <w:rFonts w:ascii="宋体" w:eastAsia="宋体" w:hAnsi="宋体" w:cs="宋体"/>
          <w:color w:val="000000"/>
          <w:sz w:val="27"/>
          <w:szCs w:val="27"/>
          <w:lang w:val="en-US" w:eastAsia="zh-CN" w:bidi="ar-SA"/>
        </w:rPr>
        <w:t>、第</w:t>
      </w:r>
      <w:hyperlink r:id="rId45" w:anchor="tiao_5" w:history="1">
        <w:r>
          <w:rPr>
            <w:rStyle w:val="fulltext-wrapfulltexta"/>
            <w:rFonts w:ascii="宋体" w:eastAsia="宋体" w:hAnsi="宋体" w:cs="宋体"/>
            <w:sz w:val="27"/>
            <w:szCs w:val="27"/>
            <w:lang w:val="en-US" w:eastAsia="zh-CN" w:bidi="ar-SA"/>
          </w:rPr>
          <w:t>五条</w:t>
        </w:r>
      </w:hyperlink>
      <w:r>
        <w:rPr>
          <w:rFonts w:ascii="宋体" w:eastAsia="宋体" w:hAnsi="宋体" w:cs="宋体"/>
          <w:color w:val="000000"/>
          <w:sz w:val="27"/>
          <w:szCs w:val="27"/>
          <w:lang w:val="en-US" w:eastAsia="zh-CN" w:bidi="ar-SA"/>
        </w:rPr>
        <w:t>第</w:t>
      </w:r>
      <w:hyperlink r:id="rId46" w:anchor="tiao_5_kuan_1_xiang_1" w:history="1">
        <w:r>
          <w:rPr>
            <w:rStyle w:val="fulltext-wrapfulltexta"/>
            <w:rFonts w:ascii="宋体" w:eastAsia="宋体" w:hAnsi="宋体" w:cs="宋体"/>
            <w:sz w:val="27"/>
            <w:szCs w:val="27"/>
            <w:lang w:val="en-US" w:eastAsia="zh-CN" w:bidi="ar-SA"/>
          </w:rPr>
          <w:t>一项</w:t>
        </w:r>
      </w:hyperlink>
      <w:r>
        <w:rPr>
          <w:rFonts w:ascii="宋体" w:eastAsia="宋体" w:hAnsi="宋体" w:cs="宋体"/>
          <w:color w:val="000000"/>
          <w:sz w:val="27"/>
          <w:szCs w:val="27"/>
          <w:lang w:val="en-US" w:eastAsia="zh-CN" w:bidi="ar-SA"/>
        </w:rPr>
        <w:t>、第</w:t>
      </w:r>
      <w:hyperlink r:id="rId47" w:anchor="tiao_5_kuan_1_xiang_2" w:history="1">
        <w:r>
          <w:rPr>
            <w:rStyle w:val="fulltext-wrapfulltexta"/>
            <w:rFonts w:ascii="宋体" w:eastAsia="宋体" w:hAnsi="宋体" w:cs="宋体"/>
            <w:sz w:val="27"/>
            <w:szCs w:val="27"/>
            <w:lang w:val="en-US" w:eastAsia="zh-CN" w:bidi="ar-SA"/>
          </w:rPr>
          <w:t>二项</w:t>
        </w:r>
      </w:hyperlink>
      <w:r>
        <w:rPr>
          <w:rFonts w:ascii="宋体" w:eastAsia="宋体" w:hAnsi="宋体" w:cs="宋体"/>
          <w:color w:val="000000"/>
          <w:sz w:val="27"/>
          <w:szCs w:val="27"/>
          <w:lang w:val="en-US" w:eastAsia="zh-CN" w:bidi="ar-SA"/>
        </w:rPr>
        <w:t>的规定，罗田安系南京克莉丝汀公司的原法定代表人及董事，其是直接的利益相关人，且上海克莉丝汀食品有限公司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以下简称上海克莉丝汀公司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以及泰昇国际集团有限公司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以下简称泰昇公司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出具的委派书并非该两公司的真实意思表示。故其有权请求确认案涉股东会决议不成立，并要求南京克莉丝汀公司立即向登记机关申请撤销相关变更登记。</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被告辩称</w:t>
      </w:r>
      <w:bookmarkStart w:id="5" w:name="anchor-4"/>
      <w:bookmarkEnd w:id="5"/>
      <w:r>
        <w:rPr>
          <w:rFonts w:ascii="宋体" w:eastAsia="宋体" w:hAnsi="宋体" w:cs="宋体"/>
          <w:color w:val="000000"/>
          <w:sz w:val="27"/>
          <w:szCs w:val="27"/>
          <w:lang w:val="en-US" w:eastAsia="zh-CN" w:bidi="ar-SA"/>
        </w:rPr>
        <w:t xml:space="preserve">　　南京克莉丝汀公司辩称：</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南京克莉丝汀公司的股东为上海克莉丝汀公司及泰昇公司，罗田安并非公司的股东，故其不符合原告资格，不能依据《</w:t>
      </w:r>
      <w:hyperlink r:id="rId48"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》第</w:t>
      </w:r>
      <w:hyperlink r:id="rId49" w:anchor="tiao_22" w:history="1">
        <w:r>
          <w:rPr>
            <w:rStyle w:val="fulltext-wrapfulltexta"/>
            <w:rFonts w:ascii="宋体" w:eastAsia="宋体" w:hAnsi="宋体" w:cs="宋体"/>
            <w:sz w:val="27"/>
            <w:szCs w:val="27"/>
            <w:lang w:val="en-US" w:eastAsia="zh-CN" w:bidi="ar-SA"/>
          </w:rPr>
          <w:t>二十二条</w:t>
        </w:r>
      </w:hyperlink>
      <w:r>
        <w:rPr>
          <w:rFonts w:ascii="宋体" w:eastAsia="宋体" w:hAnsi="宋体" w:cs="宋体"/>
          <w:color w:val="000000"/>
          <w:sz w:val="27"/>
          <w:szCs w:val="27"/>
          <w:lang w:val="en-US" w:eastAsia="zh-CN" w:bidi="ar-SA"/>
        </w:rPr>
        <w:t>的规定行使股东的权利。</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罗田安系南京克莉丝汀公司的原法定代表人和董事效的《</w:t>
      </w:r>
      <w:hyperlink r:id="rId50"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》，要求对外资企业按照</w:t>
      </w:r>
      <w:hyperlink r:id="rId51"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进行规范，</w:t>
      </w:r>
      <w:hyperlink r:id="rId52"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规定的公司的权力机构就是股东会，董事会只是执行机构。南京克莉丝汀公司召开的股东会，并据此作出的决议超越董</w:t>
      </w:r>
      <w:r>
        <w:rPr>
          <w:rFonts w:ascii="宋体" w:eastAsia="宋体" w:hAnsi="宋体" w:cs="宋体"/>
          <w:color w:val="000000"/>
          <w:sz w:val="27"/>
          <w:szCs w:val="27"/>
          <w:lang w:val="en-US" w:eastAsia="zh-CN" w:bidi="ar-SA"/>
        </w:rPr>
        <w:lastRenderedPageBreak/>
        <w:t>事会的职权。根据</w:t>
      </w:r>
      <w:hyperlink r:id="rId53"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第</w:t>
      </w:r>
      <w:hyperlink r:id="rId54" w:anchor="tiao_37" w:history="1">
        <w:r>
          <w:rPr>
            <w:rStyle w:val="fulltext-wrapfulltexta"/>
            <w:rFonts w:ascii="宋体" w:eastAsia="宋体" w:hAnsi="宋体" w:cs="宋体"/>
            <w:sz w:val="27"/>
            <w:szCs w:val="27"/>
            <w:lang w:val="en-US" w:eastAsia="zh-CN" w:bidi="ar-SA"/>
          </w:rPr>
          <w:t>三十七条</w:t>
        </w:r>
      </w:hyperlink>
      <w:r>
        <w:rPr>
          <w:rFonts w:ascii="宋体" w:eastAsia="宋体" w:hAnsi="宋体" w:cs="宋体"/>
          <w:color w:val="000000"/>
          <w:sz w:val="27"/>
          <w:szCs w:val="27"/>
          <w:lang w:val="en-US" w:eastAsia="zh-CN" w:bidi="ar-SA"/>
        </w:rPr>
        <w:t>的规定，股东应当行使相应的的权利，罗田安系上海克莉丝汀公司委派的董事和董事长。</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日，上海克莉丝汀公司作为股东行使股东职权罢免了罗田安的董事及董事长职务，更换为徐纯彬，故罗田安无权对此决定提出异议。</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依据</w:t>
      </w:r>
      <w:hyperlink r:id="rId55"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第</w:t>
      </w:r>
      <w:hyperlink r:id="rId56" w:anchor="tiao_13" w:history="1">
        <w:r>
          <w:rPr>
            <w:rStyle w:val="fulltext-wrapfulltexta"/>
            <w:rFonts w:ascii="宋体" w:eastAsia="宋体" w:hAnsi="宋体" w:cs="宋体"/>
            <w:sz w:val="27"/>
            <w:szCs w:val="27"/>
            <w:lang w:val="en-US" w:eastAsia="zh-CN" w:bidi="ar-SA"/>
          </w:rPr>
          <w:t>十三条</w:t>
        </w:r>
      </w:hyperlink>
      <w:r>
        <w:rPr>
          <w:rFonts w:ascii="宋体" w:eastAsia="宋体" w:hAnsi="宋体" w:cs="宋体"/>
          <w:color w:val="000000"/>
          <w:sz w:val="27"/>
          <w:szCs w:val="27"/>
          <w:lang w:val="en-US" w:eastAsia="zh-CN" w:bidi="ar-SA"/>
        </w:rPr>
        <w:t>的规定，公司法定代表人可以由董事、董事长、副董事长或者总经理等其他人员担任，故更换公司法定代表人也是股东会的一项职权。罗田安主张公司决议不成立的主要理由为未召开股东会，认为其未到会，也未签字。召开会议的形式多样，法律也未规定召开会议必须要求股东在一个空间里进行，也未规定通过网络、文件形式开会无效。</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日召开的股东会也不需要罗田安到场，因罗田安存在侵害公司利益的情形，公司决议事项就是罢免罗田安。故罗田安依据《最高人民法院适用</w:t>
      </w:r>
      <w:hyperlink r:id="rId57" w:history="1">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中华人民共和国公司法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若干问题的规定</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四</w:t>
        </w:r>
        <w:r>
          <w:rPr>
            <w:rStyle w:val="fulltext-wrapfulltexta"/>
            <w:rFonts w:ascii="宋体" w:eastAsia="宋体" w:hAnsi="宋体" w:cs="宋体"/>
            <w:sz w:val="27"/>
            <w:szCs w:val="27"/>
            <w:lang w:val="en-US" w:eastAsia="zh-CN" w:bidi="ar-SA"/>
          </w:rPr>
          <w:t>)</w:t>
        </w:r>
      </w:hyperlink>
      <w:r>
        <w:rPr>
          <w:rFonts w:ascii="宋体" w:eastAsia="宋体" w:hAnsi="宋体" w:cs="宋体"/>
          <w:color w:val="000000"/>
          <w:sz w:val="27"/>
          <w:szCs w:val="27"/>
          <w:lang w:val="en-US" w:eastAsia="zh-CN" w:bidi="ar-SA"/>
        </w:rPr>
        <w:t>》第</w:t>
      </w:r>
      <w:hyperlink r:id="rId58" w:anchor="tiao_5" w:history="1">
        <w:r>
          <w:rPr>
            <w:rStyle w:val="fulltext-wrapfulltexta"/>
            <w:rFonts w:ascii="宋体" w:eastAsia="宋体" w:hAnsi="宋体" w:cs="宋体"/>
            <w:sz w:val="27"/>
            <w:szCs w:val="27"/>
            <w:lang w:val="en-US" w:eastAsia="zh-CN" w:bidi="ar-SA"/>
          </w:rPr>
          <w:t>五条</w:t>
        </w:r>
      </w:hyperlink>
      <w:r>
        <w:rPr>
          <w:rFonts w:ascii="宋体" w:eastAsia="宋体" w:hAnsi="宋体" w:cs="宋体"/>
          <w:color w:val="000000"/>
          <w:sz w:val="27"/>
          <w:szCs w:val="27"/>
          <w:lang w:val="en-US" w:eastAsia="zh-CN" w:bidi="ar-SA"/>
        </w:rPr>
        <w:t>的规定的理由不成立，罗田安仅系公司的董事，不具有股东身份，故应当依法驳回罗田安的起诉或诉讼请求。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bookmarkStart w:id="6" w:name="anchor-7"/>
      <w:bookmarkEnd w:id="6"/>
      <w:r>
        <w:rPr>
          <w:rFonts w:ascii="宋体" w:eastAsia="宋体" w:hAnsi="宋体" w:cs="宋体"/>
          <w:color w:val="000000"/>
          <w:sz w:val="27"/>
          <w:szCs w:val="27"/>
          <w:lang w:val="en-US" w:eastAsia="zh-CN" w:bidi="ar-SA"/>
        </w:rPr>
        <w:t>审理中，罗田安提交以下证据：</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证据</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日及</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日，上海往返南京高速公路收费票据手机拍照打印件；南京市公安局江宁分局九龙湖派出所</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日接处警工作登记表。拟证明罗田安于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日到达南京并确认公司营业执照及公章丢失后，立即去公司所在地派出所进行报警，罗田安未参加南京克莉丝汀公司</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日召开的股东会。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证据</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、南京克莉丝汀公司章程。拟证明罗田安在公司章程的签字与南京克莉丝汀公司</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日股东会决议签字明显不同；依据公司章程董事及监事自任命后，任期为</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证据</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、南京克莉丝汀公司于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日变更公司登记的申请材料</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包含南京克莉丝汀公司股东会决议、上海克莉丝汀公司及泰昇公司委派书等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。拟证明</w:t>
      </w:r>
      <w:r>
        <w:rPr>
          <w:rFonts w:ascii="宋体" w:eastAsia="宋体" w:hAnsi="宋体" w:cs="宋体"/>
          <w:color w:val="000000"/>
          <w:sz w:val="27"/>
          <w:szCs w:val="27"/>
          <w:lang w:val="en-US" w:eastAsia="zh-CN" w:bidi="ar-SA"/>
        </w:rPr>
        <w:lastRenderedPageBreak/>
        <w:t>南京克莉丝汀公司向南京市江宁区市场监督管理局提交的相关材料中罗田安的签字均系伪造，非其本人签名。委派书亦系伪造，泰昇公司并未作出罢免江若娴、洪敦清董事职务，也未委派吴晓秋、张治东为新任董事。股东会决议载明的到会人员至少有</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名董事均未参加股东会会议，</w:t>
      </w:r>
      <w:r>
        <w:rPr>
          <w:rFonts w:ascii="宋体" w:eastAsia="宋体" w:hAnsi="宋体" w:cs="宋体"/>
          <w:color w:val="000000"/>
          <w:sz w:val="27"/>
          <w:szCs w:val="27"/>
          <w:lang w:val="en-US" w:eastAsia="zh-CN" w:bidi="ar-SA"/>
        </w:rPr>
        <w:t>股东会会议系伪造，实际未召开。</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南京克莉丝汀公司质证认为，对证据</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中高速公路收费票据的真实性由法院审查，对证据</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中接处警工作登记表真实性予以认可，但证据</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与本案没有关联性；对证据</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的真实性予以认可，证据</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中罗田安的签名是否系其本人所签，不影响公司决议效力。</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本院认为，因南京克莉丝汀公司对罗田安提交的证据</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中的高速公路收费票据的真实性并未明确否认，对其他证据的真实性予以认可，故本院对罗田安提交的上述所有证据的真实性予以确认，至于上述证据的证明力及关联性，本院将结合案件事实依法予以认定。</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本院查明</w:t>
      </w:r>
      <w:bookmarkStart w:id="7" w:name="anchor-5"/>
      <w:bookmarkEnd w:id="7"/>
      <w:r>
        <w:rPr>
          <w:rFonts w:ascii="宋体" w:eastAsia="宋体" w:hAnsi="宋体" w:cs="宋体"/>
          <w:color w:val="000000"/>
          <w:sz w:val="27"/>
          <w:szCs w:val="27"/>
          <w:lang w:val="en-US" w:eastAsia="zh-CN" w:bidi="ar-SA"/>
        </w:rPr>
        <w:t xml:space="preserve">　　经审理查明，南京克莉丝汀公司系于</w:t>
      </w:r>
      <w:r>
        <w:rPr>
          <w:rFonts w:ascii="宋体" w:eastAsia="宋体" w:hAnsi="宋体" w:cs="宋体"/>
          <w:color w:val="000000"/>
          <w:sz w:val="27"/>
          <w:szCs w:val="27"/>
          <w:lang w:val="en-US" w:eastAsia="zh-CN" w:bidi="ar-SA"/>
        </w:rPr>
        <w:t>2002</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日成立的中外合资企业，股东为上海克莉丝汀公司、泰昇公司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香港企业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。南京克莉丝汀公司投资额为</w:t>
      </w:r>
      <w:r>
        <w:rPr>
          <w:rFonts w:ascii="宋体" w:eastAsia="宋体" w:hAnsi="宋体" w:cs="宋体"/>
          <w:color w:val="000000"/>
          <w:sz w:val="27"/>
          <w:szCs w:val="27"/>
          <w:lang w:val="en-US" w:eastAsia="zh-CN" w:bidi="ar-SA"/>
        </w:rPr>
        <w:t>5480</w:t>
      </w:r>
      <w:r>
        <w:rPr>
          <w:rFonts w:ascii="宋体" w:eastAsia="宋体" w:hAnsi="宋体" w:cs="宋体"/>
          <w:color w:val="000000"/>
          <w:sz w:val="27"/>
          <w:szCs w:val="27"/>
          <w:lang w:val="en-US" w:eastAsia="zh-CN" w:bidi="ar-SA"/>
        </w:rPr>
        <w:t>万美元，其中上海克莉丝汀公司出资</w:t>
      </w:r>
      <w:r>
        <w:rPr>
          <w:rFonts w:ascii="宋体" w:eastAsia="宋体" w:hAnsi="宋体" w:cs="宋体"/>
          <w:color w:val="000000"/>
          <w:sz w:val="27"/>
          <w:szCs w:val="27"/>
          <w:lang w:val="en-US" w:eastAsia="zh-CN" w:bidi="ar-SA"/>
        </w:rPr>
        <w:t>3597.50</w:t>
      </w:r>
      <w:r>
        <w:rPr>
          <w:rFonts w:ascii="宋体" w:eastAsia="宋体" w:hAnsi="宋体" w:cs="宋体"/>
          <w:color w:val="000000"/>
          <w:sz w:val="27"/>
          <w:szCs w:val="27"/>
          <w:lang w:val="en-US" w:eastAsia="zh-CN" w:bidi="ar-SA"/>
        </w:rPr>
        <w:t>万美元，占</w:t>
      </w:r>
      <w:r>
        <w:rPr>
          <w:rFonts w:ascii="宋体" w:eastAsia="宋体" w:hAnsi="宋体" w:cs="宋体"/>
          <w:color w:val="000000"/>
          <w:sz w:val="27"/>
          <w:szCs w:val="27"/>
          <w:lang w:val="en-US" w:eastAsia="zh-CN" w:bidi="ar-SA"/>
        </w:rPr>
        <w:t>65.65%</w:t>
      </w:r>
      <w:r>
        <w:rPr>
          <w:rFonts w:ascii="宋体" w:eastAsia="宋体" w:hAnsi="宋体" w:cs="宋体"/>
          <w:color w:val="000000"/>
          <w:sz w:val="27"/>
          <w:szCs w:val="27"/>
          <w:lang w:val="en-US" w:eastAsia="zh-CN" w:bidi="ar-SA"/>
        </w:rPr>
        <w:t>，泰昇公司出资</w:t>
      </w:r>
      <w:r>
        <w:rPr>
          <w:rFonts w:ascii="宋体" w:eastAsia="宋体" w:hAnsi="宋体" w:cs="宋体"/>
          <w:color w:val="000000"/>
          <w:sz w:val="27"/>
          <w:szCs w:val="27"/>
          <w:lang w:val="en-US" w:eastAsia="zh-CN" w:bidi="ar-SA"/>
        </w:rPr>
        <w:t>1882.50</w:t>
      </w:r>
      <w:r>
        <w:rPr>
          <w:rFonts w:ascii="宋体" w:eastAsia="宋体" w:hAnsi="宋体" w:cs="宋体"/>
          <w:color w:val="000000"/>
          <w:sz w:val="27"/>
          <w:szCs w:val="27"/>
          <w:lang w:val="en-US" w:eastAsia="zh-CN" w:bidi="ar-SA"/>
        </w:rPr>
        <w:t>万美元，占</w:t>
      </w:r>
      <w:r>
        <w:rPr>
          <w:rFonts w:ascii="宋体" w:eastAsia="宋体" w:hAnsi="宋体" w:cs="宋体"/>
          <w:color w:val="000000"/>
          <w:sz w:val="27"/>
          <w:szCs w:val="27"/>
          <w:lang w:val="en-US" w:eastAsia="zh-CN" w:bidi="ar-SA"/>
        </w:rPr>
        <w:t>34.35%</w:t>
      </w:r>
      <w:r>
        <w:rPr>
          <w:rFonts w:ascii="宋体" w:eastAsia="宋体" w:hAnsi="宋体" w:cs="宋体"/>
          <w:color w:val="000000"/>
          <w:sz w:val="27"/>
          <w:szCs w:val="27"/>
          <w:lang w:val="en-US" w:eastAsia="zh-CN" w:bidi="ar-SA"/>
        </w:rPr>
        <w:t>。当时上海克莉丝汀公司、泰昇公司的法定代表人或代表人均为罗田安。</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日，经上海克莉丝汀公司、泰昇公司签署的南京克莉丝汀公司章程载明主要内容为：</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公司设董事会，是公司的权力机构，对投资者负责，决定公司一切重大事项。</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董事</w:t>
      </w:r>
      <w:r>
        <w:rPr>
          <w:rFonts w:ascii="宋体" w:eastAsia="宋体" w:hAnsi="宋体" w:cs="宋体"/>
          <w:color w:val="000000"/>
          <w:sz w:val="27"/>
          <w:szCs w:val="27"/>
          <w:lang w:val="en-US" w:eastAsia="zh-CN" w:bidi="ar-SA"/>
        </w:rPr>
        <w:t>会由</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名董事组成，由投资公司委派，董事任期为</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年，可以连任。其中上海克莉丝汀公司委派</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名，泰昇公司委派</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名，董事长</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名由上海克莉丝汀公司指任，副董事长</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名，由泰昇公司指任。</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董事会会议每年至少召开</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次，经</w:t>
      </w:r>
      <w:r>
        <w:rPr>
          <w:rFonts w:ascii="宋体" w:eastAsia="宋体" w:hAnsi="宋体" w:cs="宋体"/>
          <w:color w:val="000000"/>
          <w:sz w:val="27"/>
          <w:szCs w:val="27"/>
          <w:lang w:val="en-US" w:eastAsia="zh-CN" w:bidi="ar-SA"/>
        </w:rPr>
        <w:t>1/3</w:t>
      </w:r>
      <w:r>
        <w:rPr>
          <w:rFonts w:ascii="宋体" w:eastAsia="宋体" w:hAnsi="宋体" w:cs="宋体"/>
          <w:color w:val="000000"/>
          <w:sz w:val="27"/>
          <w:szCs w:val="27"/>
          <w:lang w:val="en-US" w:eastAsia="zh-CN" w:bidi="ar-SA"/>
        </w:rPr>
        <w:t>以上的董事提议，可以召开董事会临时会议。</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董事会</w:t>
      </w:r>
      <w:r>
        <w:rPr>
          <w:rFonts w:ascii="宋体" w:eastAsia="宋体" w:hAnsi="宋体" w:cs="宋体"/>
          <w:color w:val="000000"/>
          <w:sz w:val="27"/>
          <w:szCs w:val="27"/>
          <w:lang w:val="en-US" w:eastAsia="zh-CN" w:bidi="ar-SA"/>
        </w:rPr>
        <w:lastRenderedPageBreak/>
        <w:t>会议由董事长召集并主持，董事长因事无法出席时由其指派</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名董事负责召集主持。</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董事因故不能出席董事会会议，可以书面委托代理人出席。如届时未出席也未委托他人出席，则作为弃权。出席董事会会议的最低法定人数为全体董事的</w:t>
      </w:r>
      <w:r>
        <w:rPr>
          <w:rFonts w:ascii="宋体" w:eastAsia="宋体" w:hAnsi="宋体" w:cs="宋体"/>
          <w:color w:val="000000"/>
          <w:sz w:val="27"/>
          <w:szCs w:val="27"/>
          <w:lang w:val="en-US" w:eastAsia="zh-CN" w:bidi="ar-SA"/>
        </w:rPr>
        <w:t>1/3</w:t>
      </w:r>
      <w:r>
        <w:rPr>
          <w:rFonts w:ascii="宋体" w:eastAsia="宋体" w:hAnsi="宋体" w:cs="宋体"/>
          <w:color w:val="000000"/>
          <w:sz w:val="27"/>
          <w:szCs w:val="27"/>
          <w:lang w:val="en-US" w:eastAsia="zh-CN" w:bidi="ar-SA"/>
        </w:rPr>
        <w:t>，如不足</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，其通过的决议无效。董事会每次会议须做详细的书面记录，并由全体出席董事签字，代理人出席时，由代理人签字，记录文字使用中文记录由公司存档。</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董事长为公司的法定代表人。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两份高速公路收费票据分别显示，上海江桥站至南京南主线站收费</w:t>
      </w:r>
      <w:r>
        <w:rPr>
          <w:rFonts w:ascii="宋体" w:eastAsia="宋体" w:hAnsi="宋体" w:cs="宋体"/>
          <w:color w:val="000000"/>
          <w:sz w:val="27"/>
          <w:szCs w:val="27"/>
          <w:lang w:val="en-US" w:eastAsia="zh-CN" w:bidi="ar-SA"/>
        </w:rPr>
        <w:t>120</w:t>
      </w:r>
      <w:r>
        <w:rPr>
          <w:rFonts w:ascii="宋体" w:eastAsia="宋体" w:hAnsi="宋体" w:cs="宋体"/>
          <w:color w:val="000000"/>
          <w:sz w:val="27"/>
          <w:szCs w:val="27"/>
          <w:lang w:val="en-US" w:eastAsia="zh-CN" w:bidi="ar-SA"/>
        </w:rPr>
        <w:t>元，南京至新桥收费</w:t>
      </w:r>
      <w:r>
        <w:rPr>
          <w:rFonts w:ascii="宋体" w:eastAsia="宋体" w:hAnsi="宋体" w:cs="宋体"/>
          <w:color w:val="000000"/>
          <w:sz w:val="27"/>
          <w:szCs w:val="27"/>
          <w:lang w:val="en-US" w:eastAsia="zh-CN" w:bidi="ar-SA"/>
        </w:rPr>
        <w:t>130</w:t>
      </w:r>
      <w:r>
        <w:rPr>
          <w:rFonts w:ascii="宋体" w:eastAsia="宋体" w:hAnsi="宋体" w:cs="宋体"/>
          <w:color w:val="000000"/>
          <w:sz w:val="27"/>
          <w:szCs w:val="27"/>
          <w:lang w:val="en-US" w:eastAsia="zh-CN" w:bidi="ar-SA"/>
        </w:rPr>
        <w:t>元。南京市公安局江宁分局九龙湖派出所</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日的接处警工作登记表载明，罗田安以单位营业执照、公章被人拿走报警。</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南京克莉丝汀公司向南京市江宁区市场监督管理局提交的相应材料载明：</w:t>
      </w:r>
      <w:r>
        <w:rPr>
          <w:rFonts w:ascii="宋体" w:eastAsia="宋体" w:hAnsi="宋体" w:cs="宋体"/>
          <w:color w:val="000000"/>
          <w:sz w:val="27"/>
          <w:szCs w:val="27"/>
          <w:lang w:val="en-US" w:eastAsia="zh-CN" w:bidi="ar-SA"/>
        </w:rPr>
        <w:t>1.2020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日，在上海市普陀区金沙江路</w:t>
      </w:r>
      <w:r>
        <w:rPr>
          <w:rFonts w:ascii="宋体" w:eastAsia="宋体" w:hAnsi="宋体" w:cs="宋体"/>
          <w:color w:val="000000"/>
          <w:sz w:val="27"/>
          <w:szCs w:val="27"/>
          <w:lang w:val="en-US" w:eastAsia="zh-CN" w:bidi="ar-SA"/>
        </w:rPr>
        <w:t>33</w:t>
      </w:r>
      <w:r>
        <w:rPr>
          <w:rFonts w:ascii="宋体" w:eastAsia="宋体" w:hAnsi="宋体" w:cs="宋体"/>
          <w:color w:val="000000"/>
          <w:sz w:val="27"/>
          <w:szCs w:val="27"/>
          <w:lang w:val="en-US" w:eastAsia="zh-CN" w:bidi="ar-SA"/>
        </w:rPr>
        <w:t>号，召集人为徐纯彬，主持人为葛恩</w:t>
      </w:r>
      <w:r>
        <w:rPr>
          <w:rFonts w:ascii="宋体" w:eastAsia="宋体" w:hAnsi="宋体" w:cs="宋体"/>
          <w:color w:val="000000"/>
          <w:sz w:val="27"/>
          <w:szCs w:val="27"/>
          <w:lang w:val="en-US" w:eastAsia="zh-CN" w:bidi="ar-SA"/>
        </w:rPr>
        <w:t>情，参会人员为罗天安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应为罗田安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、徐纯彬等</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人，召开议题为协商表决本公司更换监事事宜的股东会，经与会股东协商，一致通过关于同意免去蒋玉萍监事职务，重新选举葛恩情为监事的决议。</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加盖泰昇公司长条章及有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罗田安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签名，落款时间为</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日委派书决定罢免江若娴、洪敦清在南京克莉丝汀公司的董事职务，委派吴晓秋、张治东为南京克莉丝汀公司的董事职务。</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加盖上海克莉丝汀公司印章，落款时间为</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日委派书决定罢免罗田安在南京克莉丝汀公司的董事长及董事职务，委派徐纯彬为南京克莉丝汀公司的董事长及董事职务。</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变更事项将法定代表人、董事长罗田安变更为徐纯彬，将董事江若娴、洪敦清变更为张治东、吴晓秋，将监事蒋玉萍变更为葛恩情，对董事、监事等进行了备案。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日，南京市江宁区市场监督管理局依据南京克莉丝汀公司提交的公司登记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备案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申请及相应材料，准予南京克莉丝汀公司相应变更。将南京克</w:t>
      </w:r>
      <w:r>
        <w:rPr>
          <w:rFonts w:ascii="宋体" w:eastAsia="宋体" w:hAnsi="宋体" w:cs="宋体"/>
          <w:color w:val="000000"/>
          <w:sz w:val="27"/>
          <w:szCs w:val="27"/>
          <w:lang w:val="en-US" w:eastAsia="zh-CN" w:bidi="ar-SA"/>
        </w:rPr>
        <w:lastRenderedPageBreak/>
        <w:t>莉丝汀公司的法定代表人由罗田安变更为徐纯彬，同时将董事、监事、经理等事项备案。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日，南京克莉丝汀公司的法定代表人由徐纯彬变更为赵骁骁。现南京克莉丝汀公司的董事长为赵骁骁，董事为徐纯彬、葛恩情</w:t>
      </w:r>
      <w:r>
        <w:rPr>
          <w:rFonts w:ascii="宋体" w:eastAsia="宋体" w:hAnsi="宋体" w:cs="宋体"/>
          <w:color w:val="000000"/>
          <w:sz w:val="27"/>
          <w:szCs w:val="27"/>
          <w:lang w:val="en-US" w:eastAsia="zh-CN" w:bidi="ar-SA"/>
        </w:rPr>
        <w:t>，监事为张治东。</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审理中，南京克莉丝汀公司在本院指定的期限内未提交</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日股东会决议列明的罗田安等</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人是否实际参会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含该</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人的身份</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、股东会决议召开的通知、会议记录等证据，也未提交股东会决议及泰昇公司委派书中</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罗田安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签字是否系罗田安本人签字的证据。南京克莉丝汀公司亦明确，该公司于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日重新制订了新的公司章程，新章程和旧章程最大的区别仅是把罗田安的名字去掉，其他的没有变化。</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审理中，罗田安明确其系上海克莉丝汀公司原法定代表人，该公司于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日将法定代表人变更为朱永宁。罗田安原系泰昇公司最大的股东，占股</w:t>
      </w:r>
      <w:r>
        <w:rPr>
          <w:rFonts w:ascii="宋体" w:eastAsia="宋体" w:hAnsi="宋体" w:cs="宋体"/>
          <w:color w:val="000000"/>
          <w:sz w:val="27"/>
          <w:szCs w:val="27"/>
          <w:lang w:val="en-US" w:eastAsia="zh-CN" w:bidi="ar-SA"/>
        </w:rPr>
        <w:t>40%</w:t>
      </w:r>
      <w:r>
        <w:rPr>
          <w:rFonts w:ascii="宋体" w:eastAsia="宋体" w:hAnsi="宋体" w:cs="宋体"/>
          <w:color w:val="000000"/>
          <w:sz w:val="27"/>
          <w:szCs w:val="27"/>
          <w:lang w:val="en-US" w:eastAsia="zh-CN" w:bidi="ar-SA"/>
        </w:rPr>
        <w:t>，担任泰昇公司的执行董事，于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日后被罢免执行董事职务。</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8" w:name="anchor-6"/>
      <w:bookmarkEnd w:id="8"/>
      <w:r>
        <w:rPr>
          <w:rFonts w:ascii="宋体" w:eastAsia="宋体" w:hAnsi="宋体" w:cs="宋体"/>
          <w:color w:val="000000"/>
          <w:sz w:val="27"/>
          <w:szCs w:val="27"/>
          <w:lang w:val="en-US" w:eastAsia="zh-CN" w:bidi="ar-SA"/>
        </w:rPr>
        <w:t xml:space="preserve">　　本院认为，本案原告罗田安系台湾地区居民，其与被告南京克莉丝汀公司之间的纠纷系涉台民商事纠纷，应当按照涉外案件处理，涉及准据法的确认。</w:t>
      </w:r>
      <w:bookmarkStart w:id="9" w:name="anchor-10"/>
      <w:bookmarkEnd w:id="9"/>
      <w:r>
        <w:rPr>
          <w:rFonts w:ascii="宋体" w:eastAsia="宋体" w:hAnsi="宋体" w:cs="宋体"/>
          <w:color w:val="000000"/>
          <w:sz w:val="27"/>
          <w:szCs w:val="27"/>
          <w:lang w:val="en-US" w:eastAsia="zh-CN" w:bidi="ar-SA"/>
        </w:rPr>
        <w:t>《</w:t>
      </w:r>
      <w:hyperlink r:id="rId59"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60" w:anchor="tiao_14" w:history="1">
        <w:r>
          <w:rPr>
            <w:rStyle w:val="fulltext-wrapfulltexta"/>
            <w:rFonts w:ascii="宋体" w:eastAsia="宋体" w:hAnsi="宋体" w:cs="宋体"/>
            <w:sz w:val="27"/>
            <w:szCs w:val="27"/>
            <w:lang w:val="en-US" w:eastAsia="zh-CN" w:bidi="ar-SA"/>
          </w:rPr>
          <w:t>十四条</w:t>
        </w:r>
      </w:hyperlink>
      <w:r>
        <w:rPr>
          <w:rFonts w:ascii="宋体" w:eastAsia="宋体" w:hAnsi="宋体" w:cs="宋体"/>
          <w:color w:val="000000"/>
          <w:sz w:val="27"/>
          <w:szCs w:val="27"/>
          <w:lang w:val="en-US" w:eastAsia="zh-CN" w:bidi="ar-SA"/>
        </w:rPr>
        <w:t>第</w:t>
      </w:r>
      <w:hyperlink r:id="rId61" w:anchor="tiao_1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规定，法人及其分支机构的民事权利能力、民事行为能力、组织机构、股东权利义务等事项，适用登记地法律。本案中，罗田安认为泰昇公司系香港公司，泰昇公司的签章行为应当适用香港法律，其他所涉法律应当适用内地法律。南京克莉丝汀公司认为本案所有的法律应适用内地法律。因泰昇公司登记地为香港，故对涉及泰昇公司签章的法律效力，应适用香港法律。南京克莉丝汀公司登记地为内地，故本院确定涉及南京克莉丝汀公司相应法律关系应适用内地法律。鉴于泰昇公司签章行为</w:t>
      </w:r>
      <w:r>
        <w:rPr>
          <w:rFonts w:ascii="宋体" w:eastAsia="宋体" w:hAnsi="宋体" w:cs="宋体"/>
          <w:color w:val="000000"/>
          <w:sz w:val="27"/>
          <w:szCs w:val="27"/>
          <w:lang w:val="en-US" w:eastAsia="zh-CN" w:bidi="ar-SA"/>
        </w:rPr>
        <w:lastRenderedPageBreak/>
        <w:t>的法律效力非本案审查内容，故本院就相关香港法律规定不再进一步查明。</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经双方当事人确认，本案的</w:t>
      </w:r>
      <w:bookmarkStart w:id="10" w:name="anchor-8"/>
      <w:bookmarkEnd w:id="10"/>
      <w:r>
        <w:rPr>
          <w:rFonts w:ascii="宋体" w:eastAsia="宋体" w:hAnsi="宋体" w:cs="宋体"/>
          <w:color w:val="000000"/>
          <w:sz w:val="27"/>
          <w:szCs w:val="27"/>
          <w:lang w:val="en-US" w:eastAsia="zh-CN" w:bidi="ar-SA"/>
        </w:rPr>
        <w:t>争议焦点为：</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罗田安是否有权提起本案诉讼；</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案涉股东会决议是否成立。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关于第一项争议焦点。</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年新修订的《</w:t>
      </w:r>
      <w:hyperlink r:id="rId62" w:history="1">
        <w:r>
          <w:rPr>
            <w:rStyle w:val="fulltext-wrapfulltexta"/>
            <w:rFonts w:ascii="宋体" w:eastAsia="宋体" w:hAnsi="宋体" w:cs="宋体"/>
            <w:sz w:val="27"/>
            <w:szCs w:val="27"/>
            <w:lang w:val="en-US" w:eastAsia="zh-CN" w:bidi="ar-SA"/>
          </w:rPr>
          <w:t>最高人民法院关于适用《中华人民共和国公司法》若干问题的规定</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四</w:t>
        </w:r>
        <w:r>
          <w:rPr>
            <w:rStyle w:val="fulltext-wrapfulltexta"/>
            <w:rFonts w:ascii="宋体" w:eastAsia="宋体" w:hAnsi="宋体" w:cs="宋体"/>
            <w:sz w:val="27"/>
            <w:szCs w:val="27"/>
            <w:lang w:val="en-US" w:eastAsia="zh-CN" w:bidi="ar-SA"/>
          </w:rPr>
          <w:t>)</w:t>
        </w:r>
      </w:hyperlink>
      <w:r>
        <w:rPr>
          <w:rFonts w:ascii="宋体" w:eastAsia="宋体" w:hAnsi="宋体" w:cs="宋体"/>
          <w:color w:val="000000"/>
          <w:sz w:val="27"/>
          <w:szCs w:val="27"/>
          <w:lang w:val="en-US" w:eastAsia="zh-CN" w:bidi="ar-SA"/>
        </w:rPr>
        <w:t>》第</w:t>
      </w:r>
      <w:hyperlink r:id="rId63" w:anchor="tiao_1" w:history="1">
        <w:r>
          <w:rPr>
            <w:rStyle w:val="fulltext-wrapfulltexta"/>
            <w:rFonts w:ascii="宋体" w:eastAsia="宋体" w:hAnsi="宋体" w:cs="宋体"/>
            <w:sz w:val="27"/>
            <w:szCs w:val="27"/>
            <w:lang w:val="en-US" w:eastAsia="zh-CN" w:bidi="ar-SA"/>
          </w:rPr>
          <w:t>一条</w:t>
        </w:r>
      </w:hyperlink>
      <w:r>
        <w:rPr>
          <w:rFonts w:ascii="宋体" w:eastAsia="宋体" w:hAnsi="宋体" w:cs="宋体"/>
          <w:color w:val="000000"/>
          <w:sz w:val="27"/>
          <w:szCs w:val="27"/>
          <w:lang w:val="en-US" w:eastAsia="zh-CN" w:bidi="ar-SA"/>
        </w:rPr>
        <w:t>规定，公司股东、董事、监事等请求确认股东会或者股东大会、董事会决议无效或者不成立的，人民法院应当依法予以受理。上述规定除公司股东、董事、监事有权请求确认股东会或者股东大会、董事会决议无效或者不成立外，同时还明确了有权请求确认决议效力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的主体，该主体应当包括与股东会或者股东大会、董事会决议内容有直接利害关系的其他人。另，该条款亦强调要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依法予以受理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的规定，也就是说除了审查上述主体外，还要依据《</w:t>
      </w:r>
      <w:hyperlink r:id="rId64"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65" w:anchor="tiao_119" w:history="1">
        <w:r>
          <w:rPr>
            <w:rStyle w:val="fulltext-wrapfulltexta"/>
            <w:rFonts w:ascii="宋体" w:eastAsia="宋体" w:hAnsi="宋体" w:cs="宋体"/>
            <w:sz w:val="27"/>
            <w:szCs w:val="27"/>
            <w:lang w:val="en-US" w:eastAsia="zh-CN" w:bidi="ar-SA"/>
          </w:rPr>
          <w:t>一百一十九条</w:t>
        </w:r>
      </w:hyperlink>
      <w:r>
        <w:rPr>
          <w:rFonts w:ascii="宋体" w:eastAsia="宋体" w:hAnsi="宋体" w:cs="宋体"/>
          <w:color w:val="000000"/>
          <w:sz w:val="27"/>
          <w:szCs w:val="27"/>
          <w:lang w:val="en-US" w:eastAsia="zh-CN" w:bidi="ar-SA"/>
        </w:rPr>
        <w:t>关于起诉条件的规定，即起诉必须符合下列条件：</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原告是与本案有直接利害关系的公民、法人和其他组织；</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有明确的被告；</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有具体的诉讼请求和事实、理由；</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属于人民法院受理民事诉讼的范围和受诉人民法院管辖。本案中，罗田安系南京克莉丝汀公司原法定代表人、董事，因股东会决议内容及法定代表人的变更与其有直接的利害关系，且其提出的诉讼请求具体明确，亦有明确的被告，案涉争议也属于人民法院受理民事诉讼的范围，故本院确认罗田安有权提起本案诉讼，属于适格的原告。对南京克莉丝汀公司关于罗田安非公司的股东，不符合原告资格的辩称意见不予采纳。</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关于第二项争议焦点。</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年新修订的《</w:t>
      </w:r>
      <w:hyperlink r:id="rId66" w:history="1">
        <w:r>
          <w:rPr>
            <w:rStyle w:val="fulltext-wrapfulltexta"/>
            <w:rFonts w:ascii="宋体" w:eastAsia="宋体" w:hAnsi="宋体" w:cs="宋体"/>
            <w:sz w:val="27"/>
            <w:szCs w:val="27"/>
            <w:lang w:val="en-US" w:eastAsia="zh-CN" w:bidi="ar-SA"/>
          </w:rPr>
          <w:t>最高人民法院关于适用《中华人民共和国公司法》若干问题的规定</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四</w:t>
        </w:r>
        <w:r>
          <w:rPr>
            <w:rStyle w:val="fulltext-wrapfulltexta"/>
            <w:rFonts w:ascii="宋体" w:eastAsia="宋体" w:hAnsi="宋体" w:cs="宋体"/>
            <w:sz w:val="27"/>
            <w:szCs w:val="27"/>
            <w:lang w:val="en-US" w:eastAsia="zh-CN" w:bidi="ar-SA"/>
          </w:rPr>
          <w:t>)</w:t>
        </w:r>
      </w:hyperlink>
      <w:r>
        <w:rPr>
          <w:rFonts w:ascii="宋体" w:eastAsia="宋体" w:hAnsi="宋体" w:cs="宋体"/>
          <w:color w:val="000000"/>
          <w:sz w:val="27"/>
          <w:szCs w:val="27"/>
          <w:lang w:val="en-US" w:eastAsia="zh-CN" w:bidi="ar-SA"/>
        </w:rPr>
        <w:t>》第</w:t>
      </w:r>
      <w:hyperlink r:id="rId67" w:anchor="tiao_5" w:history="1">
        <w:r>
          <w:rPr>
            <w:rStyle w:val="fulltext-wrapfulltexta"/>
            <w:rFonts w:ascii="宋体" w:eastAsia="宋体" w:hAnsi="宋体" w:cs="宋体"/>
            <w:sz w:val="27"/>
            <w:szCs w:val="27"/>
            <w:lang w:val="en-US" w:eastAsia="zh-CN" w:bidi="ar-SA"/>
          </w:rPr>
          <w:t>五条</w:t>
        </w:r>
      </w:hyperlink>
      <w:r>
        <w:rPr>
          <w:rFonts w:ascii="宋体" w:eastAsia="宋体" w:hAnsi="宋体" w:cs="宋体"/>
          <w:color w:val="000000"/>
          <w:sz w:val="27"/>
          <w:szCs w:val="27"/>
          <w:lang w:val="en-US" w:eastAsia="zh-CN" w:bidi="ar-SA"/>
        </w:rPr>
        <w:t>第</w:t>
      </w:r>
      <w:hyperlink r:id="rId68" w:anchor="tiao_5_kuan_1_xiang_1" w:history="1">
        <w:r>
          <w:rPr>
            <w:rStyle w:val="fulltext-wrapfulltexta"/>
            <w:rFonts w:ascii="宋体" w:eastAsia="宋体" w:hAnsi="宋体" w:cs="宋体"/>
            <w:sz w:val="27"/>
            <w:szCs w:val="27"/>
            <w:lang w:val="en-US" w:eastAsia="zh-CN" w:bidi="ar-SA"/>
          </w:rPr>
          <w:t>一项</w:t>
        </w:r>
      </w:hyperlink>
      <w:r>
        <w:rPr>
          <w:rFonts w:ascii="宋体" w:eastAsia="宋体" w:hAnsi="宋体" w:cs="宋体"/>
          <w:color w:val="000000"/>
          <w:sz w:val="27"/>
          <w:szCs w:val="27"/>
          <w:lang w:val="en-US" w:eastAsia="zh-CN" w:bidi="ar-SA"/>
        </w:rPr>
        <w:t>、第</w:t>
      </w:r>
      <w:hyperlink r:id="rId69" w:anchor="tiao_5_kuan_1_xiang_2" w:history="1">
        <w:r>
          <w:rPr>
            <w:rStyle w:val="fulltext-wrapfulltexta"/>
            <w:rFonts w:ascii="宋体" w:eastAsia="宋体" w:hAnsi="宋体" w:cs="宋体"/>
            <w:sz w:val="27"/>
            <w:szCs w:val="27"/>
            <w:lang w:val="en-US" w:eastAsia="zh-CN" w:bidi="ar-SA"/>
          </w:rPr>
          <w:t>二项</w:t>
        </w:r>
      </w:hyperlink>
      <w:r>
        <w:rPr>
          <w:rFonts w:ascii="宋体" w:eastAsia="宋体" w:hAnsi="宋体" w:cs="宋体"/>
          <w:color w:val="000000"/>
          <w:sz w:val="27"/>
          <w:szCs w:val="27"/>
          <w:lang w:val="en-US" w:eastAsia="zh-CN" w:bidi="ar-SA"/>
        </w:rPr>
        <w:t>规定，股东会或者股东大会、董事会决议存在公司未召开会议，但依据</w:t>
      </w:r>
      <w:hyperlink r:id="rId70"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第</w:t>
      </w:r>
      <w:hyperlink r:id="rId71" w:anchor="tiao_37" w:history="1">
        <w:r>
          <w:rPr>
            <w:rStyle w:val="fulltext-wrapfulltexta"/>
            <w:rFonts w:ascii="宋体" w:eastAsia="宋体" w:hAnsi="宋体" w:cs="宋体"/>
            <w:sz w:val="27"/>
            <w:szCs w:val="27"/>
            <w:lang w:val="en-US" w:eastAsia="zh-CN" w:bidi="ar-SA"/>
          </w:rPr>
          <w:t>三十七条</w:t>
        </w:r>
      </w:hyperlink>
      <w:r>
        <w:rPr>
          <w:rFonts w:ascii="宋体" w:eastAsia="宋体" w:hAnsi="宋体" w:cs="宋体"/>
          <w:color w:val="000000"/>
          <w:sz w:val="27"/>
          <w:szCs w:val="27"/>
          <w:lang w:val="en-US" w:eastAsia="zh-CN" w:bidi="ar-SA"/>
        </w:rPr>
        <w:t>第</w:t>
      </w:r>
      <w:hyperlink r:id="rId72" w:anchor="tiao_37_kuan_2" w:history="1">
        <w:r>
          <w:rPr>
            <w:rStyle w:val="fulltext-wrapfulltexta"/>
            <w:rFonts w:ascii="宋体" w:eastAsia="宋体" w:hAnsi="宋体" w:cs="宋体"/>
            <w:sz w:val="27"/>
            <w:szCs w:val="27"/>
            <w:lang w:val="en-US" w:eastAsia="zh-CN" w:bidi="ar-SA"/>
          </w:rPr>
          <w:t>二款</w:t>
        </w:r>
      </w:hyperlink>
      <w:r>
        <w:rPr>
          <w:rFonts w:ascii="宋体" w:eastAsia="宋体" w:hAnsi="宋体" w:cs="宋体"/>
          <w:color w:val="000000"/>
          <w:sz w:val="27"/>
          <w:szCs w:val="27"/>
          <w:lang w:val="en-US" w:eastAsia="zh-CN" w:bidi="ar-SA"/>
        </w:rPr>
        <w:t>或者公司章程规定可以不召开股东会或者股东大会而直接作出决定，并由全体股东</w:t>
      </w:r>
      <w:r>
        <w:rPr>
          <w:rFonts w:ascii="宋体" w:eastAsia="宋体" w:hAnsi="宋体" w:cs="宋体"/>
          <w:color w:val="000000"/>
          <w:sz w:val="27"/>
          <w:szCs w:val="27"/>
          <w:lang w:val="en-US" w:eastAsia="zh-CN" w:bidi="ar-SA"/>
        </w:rPr>
        <w:lastRenderedPageBreak/>
        <w:t>在决定文件上签名、盖章的除外；会议未对决议事项进行表决的，当事人主张决议不成立的，人民法院应当予以支持。本案中，南京克莉丝汀公司在本院指定的期限内未提交公司召开股东会或董事会及股东以书面形式一致表示同意表决的相应证据，且南京克莉丝汀公司章程也未规定可以不召开股东会或董事会而直接作出决定。另，罗田安本人亦对</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日的股东会决议中</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罗田安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签名的真实性不予确认，南京克莉丝汀公司亦未提交证据证明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罗田安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签名系罗田安本人所签，加盖的泰昇公司印章确实系泰昇公司真实的印章。同时，南京克莉丝汀公司章程仅设立董事会，并未设立股东会，而南京克莉丝汀公司</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日召开的关于更换监事的股东会决议，南京克莉丝汀公司并未提交证据证明该股东会决议是否系由股东经决议作出，即使是股东会决议，也没有证据证明该股东会是按照《</w:t>
      </w:r>
      <w:hyperlink r:id="rId73"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》第</w:t>
      </w:r>
      <w:hyperlink r:id="rId74" w:anchor="tiao_41" w:history="1">
        <w:r>
          <w:rPr>
            <w:rStyle w:val="fulltext-wrapfulltexta"/>
            <w:rFonts w:ascii="宋体" w:eastAsia="宋体" w:hAnsi="宋体" w:cs="宋体"/>
            <w:sz w:val="27"/>
            <w:szCs w:val="27"/>
            <w:lang w:val="en-US" w:eastAsia="zh-CN" w:bidi="ar-SA"/>
          </w:rPr>
          <w:t>四十一条</w:t>
        </w:r>
      </w:hyperlink>
      <w:r>
        <w:rPr>
          <w:rFonts w:ascii="宋体" w:eastAsia="宋体" w:hAnsi="宋体" w:cs="宋体"/>
          <w:color w:val="000000"/>
          <w:sz w:val="27"/>
          <w:szCs w:val="27"/>
          <w:lang w:val="en-US" w:eastAsia="zh-CN" w:bidi="ar-SA"/>
        </w:rPr>
        <w:t>的规定，履行了在会议召开十五日前通知全体股东的程序。故应当认定</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日关于更换监事的股东会决议不成立。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关于加盖泰昇公司、上海克莉丝汀公司印章的两份委派书是否属于股东会决议内容的问题。从罗田安的诉讼请求可以看出，其认为该两份委派书属于股东会决议内容，故其据此主张该两份委派书不成立。本院认为，股东会决议是由股东经开会后作出的决定，股东单方出具的决定或意见不能作为股东会决议，故对罗田安关于两份委派书系公司决议的主张，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关于罗田安依据</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日的股东会决议，请求将公司法定代表人及董事长恢复为罗田安，董事恢复为罗田安、江若娴、洪敦清，监事恢复为蒋玉萍的问题。如前所述，因本案系公司决议效力确认民事案件，</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日更换监事的股东会决议仅涉及免去蒋玉萍监事职务，重新选举葛恩情为监事事宜，并不涉及罗田安、江若娴、洪敦清及相应职务问题。公司变更登记仅对法定代表人等</w:t>
      </w:r>
      <w:r>
        <w:rPr>
          <w:rFonts w:ascii="宋体" w:eastAsia="宋体" w:hAnsi="宋体" w:cs="宋体"/>
          <w:color w:val="000000"/>
          <w:sz w:val="27"/>
          <w:szCs w:val="27"/>
          <w:lang w:val="en-US" w:eastAsia="zh-CN" w:bidi="ar-SA"/>
        </w:rPr>
        <w:lastRenderedPageBreak/>
        <w:t>法定事项进行登记，对其他诸如董事、监事等为备案事项，且现南京克莉丝汀公司法定代表人已经由徐纯彬变更为赵骁骁，故本院对罗田安该项主张，不予支持。如罗田安认为南京克莉丝汀公司向登记机关提供的材料系虚假，致使其合法权益</w:t>
      </w:r>
      <w:r>
        <w:rPr>
          <w:rFonts w:ascii="宋体" w:eastAsia="宋体" w:hAnsi="宋体" w:cs="宋体"/>
          <w:color w:val="000000"/>
          <w:sz w:val="27"/>
          <w:szCs w:val="27"/>
          <w:lang w:val="en-US" w:eastAsia="zh-CN" w:bidi="ar-SA"/>
        </w:rPr>
        <w:t>受到侵害，可另行主张。</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综上，依照《</w:t>
      </w:r>
      <w:hyperlink r:id="rId75"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》第</w:t>
      </w:r>
      <w:hyperlink r:id="rId76" w:anchor="tiao_41" w:history="1">
        <w:r>
          <w:rPr>
            <w:rStyle w:val="fulltext-wrapfulltexta"/>
            <w:rFonts w:ascii="宋体" w:eastAsia="宋体" w:hAnsi="宋体" w:cs="宋体"/>
            <w:sz w:val="27"/>
            <w:szCs w:val="27"/>
            <w:lang w:val="en-US" w:eastAsia="zh-CN" w:bidi="ar-SA"/>
          </w:rPr>
          <w:t>四十一条</w:t>
        </w:r>
      </w:hyperlink>
      <w:r>
        <w:rPr>
          <w:rFonts w:ascii="宋体" w:eastAsia="宋体" w:hAnsi="宋体" w:cs="宋体"/>
          <w:color w:val="000000"/>
          <w:sz w:val="27"/>
          <w:szCs w:val="27"/>
          <w:lang w:val="en-US" w:eastAsia="zh-CN" w:bidi="ar-SA"/>
        </w:rPr>
        <w:t>，《</w:t>
      </w:r>
      <w:hyperlink r:id="rId77" w:history="1">
        <w:r>
          <w:rPr>
            <w:rStyle w:val="fulltext-wrapfulltexta"/>
            <w:rFonts w:ascii="宋体" w:eastAsia="宋体" w:hAnsi="宋体" w:cs="宋体"/>
            <w:sz w:val="27"/>
            <w:szCs w:val="27"/>
            <w:lang w:val="en-US" w:eastAsia="zh-CN" w:bidi="ar-SA"/>
          </w:rPr>
          <w:t>最高人民法院关于适用《中华人民共和国公司法》若干问题的规定</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四</w:t>
        </w:r>
        <w:r>
          <w:rPr>
            <w:rStyle w:val="fulltext-wrapfulltexta"/>
            <w:rFonts w:ascii="宋体" w:eastAsia="宋体" w:hAnsi="宋体" w:cs="宋体"/>
            <w:sz w:val="27"/>
            <w:szCs w:val="27"/>
            <w:lang w:val="en-US" w:eastAsia="zh-CN" w:bidi="ar-SA"/>
          </w:rPr>
          <w:t>)</w:t>
        </w:r>
      </w:hyperlink>
      <w:r>
        <w:rPr>
          <w:rFonts w:ascii="宋体" w:eastAsia="宋体" w:hAnsi="宋体" w:cs="宋体"/>
          <w:color w:val="000000"/>
          <w:sz w:val="27"/>
          <w:szCs w:val="27"/>
          <w:lang w:val="en-US" w:eastAsia="zh-CN" w:bidi="ar-SA"/>
        </w:rPr>
        <w:t>》第</w:t>
      </w:r>
      <w:hyperlink r:id="rId78" w:anchor="tiao_5" w:history="1">
        <w:r>
          <w:rPr>
            <w:rStyle w:val="fulltext-wrapfulltexta"/>
            <w:rFonts w:ascii="宋体" w:eastAsia="宋体" w:hAnsi="宋体" w:cs="宋体"/>
            <w:sz w:val="27"/>
            <w:szCs w:val="27"/>
            <w:lang w:val="en-US" w:eastAsia="zh-CN" w:bidi="ar-SA"/>
          </w:rPr>
          <w:t>五条</w:t>
        </w:r>
      </w:hyperlink>
      <w:r>
        <w:rPr>
          <w:rFonts w:ascii="宋体" w:eastAsia="宋体" w:hAnsi="宋体" w:cs="宋体"/>
          <w:color w:val="000000"/>
          <w:sz w:val="27"/>
          <w:szCs w:val="27"/>
          <w:lang w:val="en-US" w:eastAsia="zh-CN" w:bidi="ar-SA"/>
        </w:rPr>
        <w:t>第</w:t>
      </w:r>
      <w:hyperlink r:id="rId79" w:anchor="tiao_5_kuan_1_xiang_1" w:history="1">
        <w:r>
          <w:rPr>
            <w:rStyle w:val="fulltext-wrapfulltexta"/>
            <w:rFonts w:ascii="宋体" w:eastAsia="宋体" w:hAnsi="宋体" w:cs="宋体"/>
            <w:sz w:val="27"/>
            <w:szCs w:val="27"/>
            <w:lang w:val="en-US" w:eastAsia="zh-CN" w:bidi="ar-SA"/>
          </w:rPr>
          <w:t>一项</w:t>
        </w:r>
      </w:hyperlink>
      <w:r>
        <w:rPr>
          <w:rFonts w:ascii="宋体" w:eastAsia="宋体" w:hAnsi="宋体" w:cs="宋体"/>
          <w:color w:val="000000"/>
          <w:sz w:val="27"/>
          <w:szCs w:val="27"/>
          <w:lang w:val="en-US" w:eastAsia="zh-CN" w:bidi="ar-SA"/>
        </w:rPr>
        <w:t>、第</w:t>
      </w:r>
      <w:hyperlink r:id="rId80" w:anchor="tiao_5_kuan_1_xiang_2" w:history="1">
        <w:r>
          <w:rPr>
            <w:rStyle w:val="fulltext-wrapfulltexta"/>
            <w:rFonts w:ascii="宋体" w:eastAsia="宋体" w:hAnsi="宋体" w:cs="宋体"/>
            <w:sz w:val="27"/>
            <w:szCs w:val="27"/>
            <w:lang w:val="en-US" w:eastAsia="zh-CN" w:bidi="ar-SA"/>
          </w:rPr>
          <w:t>二项</w:t>
        </w:r>
      </w:hyperlink>
      <w:r>
        <w:rPr>
          <w:rFonts w:ascii="宋体" w:eastAsia="宋体" w:hAnsi="宋体" w:cs="宋体"/>
          <w:color w:val="000000"/>
          <w:sz w:val="27"/>
          <w:szCs w:val="27"/>
          <w:lang w:val="en-US" w:eastAsia="zh-CN" w:bidi="ar-SA"/>
        </w:rPr>
        <w:t>，《</w:t>
      </w:r>
      <w:hyperlink r:id="rId81"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82" w:anchor="tiao_14" w:history="1">
        <w:r>
          <w:rPr>
            <w:rStyle w:val="fulltext-wrapfulltexta"/>
            <w:rFonts w:ascii="宋体" w:eastAsia="宋体" w:hAnsi="宋体" w:cs="宋体"/>
            <w:sz w:val="27"/>
            <w:szCs w:val="27"/>
            <w:lang w:val="en-US" w:eastAsia="zh-CN" w:bidi="ar-SA"/>
          </w:rPr>
          <w:t>十四条</w:t>
        </w:r>
      </w:hyperlink>
      <w:r>
        <w:rPr>
          <w:rFonts w:ascii="宋体" w:eastAsia="宋体" w:hAnsi="宋体" w:cs="宋体"/>
          <w:color w:val="000000"/>
          <w:sz w:val="27"/>
          <w:szCs w:val="27"/>
          <w:lang w:val="en-US" w:eastAsia="zh-CN" w:bidi="ar-SA"/>
        </w:rPr>
        <w:t>第</w:t>
      </w:r>
      <w:hyperlink r:id="rId83" w:anchor="tiao_1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w:t>
      </w:r>
      <w:hyperlink r:id="rId84" w:history="1">
        <w:r>
          <w:rPr>
            <w:rStyle w:val="fulltext-wrapfulltexta"/>
            <w:rFonts w:ascii="宋体" w:eastAsia="宋体" w:hAnsi="宋体" w:cs="宋体"/>
            <w:sz w:val="27"/>
            <w:szCs w:val="27"/>
            <w:lang w:val="en-US" w:eastAsia="zh-CN" w:bidi="ar-SA"/>
          </w:rPr>
          <w:t>最高人民法院关于适用中华人民共和国民事诉讼法的解释</w:t>
        </w:r>
      </w:hyperlink>
      <w:r>
        <w:rPr>
          <w:rFonts w:ascii="宋体" w:eastAsia="宋体" w:hAnsi="宋体" w:cs="宋体"/>
          <w:color w:val="000000"/>
          <w:sz w:val="27"/>
          <w:szCs w:val="27"/>
          <w:lang w:val="en-US" w:eastAsia="zh-CN" w:bidi="ar-SA"/>
        </w:rPr>
        <w:t>》第</w:t>
      </w:r>
      <w:hyperlink r:id="rId85" w:anchor="tiao_90" w:history="1">
        <w:r>
          <w:rPr>
            <w:rStyle w:val="fulltext-wrapfulltexta"/>
            <w:rFonts w:ascii="宋体" w:eastAsia="宋体" w:hAnsi="宋体" w:cs="宋体"/>
            <w:sz w:val="27"/>
            <w:szCs w:val="27"/>
            <w:lang w:val="en-US" w:eastAsia="zh-CN" w:bidi="ar-SA"/>
          </w:rPr>
          <w:t>九十条</w:t>
        </w:r>
      </w:hyperlink>
      <w:r>
        <w:rPr>
          <w:rFonts w:ascii="宋体" w:eastAsia="宋体" w:hAnsi="宋体" w:cs="宋体"/>
          <w:color w:val="000000"/>
          <w:sz w:val="27"/>
          <w:szCs w:val="27"/>
          <w:lang w:val="en-US" w:eastAsia="zh-CN" w:bidi="ar-SA"/>
        </w:rPr>
        <w:t>的规定，判决如下：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11" w:name="anchor-2"/>
      <w:bookmarkEnd w:id="11"/>
      <w:r>
        <w:rPr>
          <w:rFonts w:ascii="宋体" w:eastAsia="宋体" w:hAnsi="宋体" w:cs="宋体"/>
          <w:color w:val="000000"/>
          <w:sz w:val="27"/>
          <w:szCs w:val="27"/>
          <w:lang w:val="en-US" w:eastAsia="zh-CN" w:bidi="ar-SA"/>
        </w:rPr>
        <w:t xml:space="preserve">　　一、确认南京克莉丝汀食品有限公司于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日召开的股东会决议不成立；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二、驳回罗田安的其他诉讼请求。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案件受理费</w:t>
      </w:r>
      <w:r>
        <w:rPr>
          <w:rFonts w:ascii="宋体" w:eastAsia="宋体" w:hAnsi="宋体" w:cs="宋体"/>
          <w:color w:val="000000"/>
          <w:sz w:val="27"/>
          <w:szCs w:val="27"/>
          <w:lang w:val="en-US" w:eastAsia="zh-CN" w:bidi="ar-SA"/>
        </w:rPr>
        <w:t>80</w:t>
      </w:r>
      <w:r>
        <w:rPr>
          <w:rFonts w:ascii="宋体" w:eastAsia="宋体" w:hAnsi="宋体" w:cs="宋体"/>
          <w:color w:val="000000"/>
          <w:sz w:val="27"/>
          <w:szCs w:val="27"/>
          <w:lang w:val="en-US" w:eastAsia="zh-CN" w:bidi="ar-SA"/>
        </w:rPr>
        <w:t>元，由罗田安负担</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元，由南京克莉丝汀食品有限公司</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如不服本判决，罗田安可在判决书送达之日起三十日内，南京克莉丝汀食品有限公司可在判决书送达之日起十五日内向本院递交上诉状，并按照对方当事人的人数提出副本，上诉于江苏省高级人民法院，同时根据《</w:t>
      </w:r>
      <w:hyperlink r:id="rId86" w:history="1">
        <w:r>
          <w:rPr>
            <w:rStyle w:val="fulltext-wrapfulltexta"/>
            <w:rFonts w:ascii="宋体" w:eastAsia="宋体" w:hAnsi="宋体" w:cs="宋体"/>
            <w:sz w:val="27"/>
            <w:szCs w:val="27"/>
            <w:lang w:val="en-US" w:eastAsia="zh-CN" w:bidi="ar-SA"/>
          </w:rPr>
          <w:t>诉讼费用交纳办法</w:t>
        </w:r>
      </w:hyperlink>
      <w:r>
        <w:rPr>
          <w:rFonts w:ascii="宋体" w:eastAsia="宋体" w:hAnsi="宋体" w:cs="宋体"/>
          <w:color w:val="000000"/>
          <w:sz w:val="27"/>
          <w:szCs w:val="27"/>
          <w:lang w:val="en-US" w:eastAsia="zh-CN" w:bidi="ar-SA"/>
        </w:rPr>
        <w:t>》的有关规定，预交上诉案件受理费。</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2" w:name="anchor-9"/>
      <w:bookmarkEnd w:id="12"/>
    </w:p>
    <w:p w:rsidR="001C25A4" w:rsidRDefault="001C25A4">
      <w:pPr>
        <w:pStyle w:val="div"/>
        <w:spacing w:after="300"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判</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长</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姜　欣</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判</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蔡</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晓</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文</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判</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吴　勇</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二〇二一年二月二十四日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法官助理</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孙传涛</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记</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杨</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文</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艳</w:t>
      </w:r>
    </w:p>
    <w:p w:rsidR="001C25A4" w:rsidRDefault="001C25A4">
      <w:pPr>
        <w:ind w:left="375" w:right="375"/>
        <w:rPr>
          <w:rFonts w:ascii="Arial" w:eastAsia="Arial" w:hAnsi="Arial" w:cs="Arial"/>
          <w:lang w:val="en-US" w:eastAsia="zh-CN" w:bidi="ar-SA"/>
        </w:rPr>
      </w:pPr>
      <w:r>
        <w:rPr>
          <w:rFonts w:ascii="Arial" w:eastAsia="Arial" w:hAnsi="Arial" w:cs="Arial"/>
          <w:lang w:val="en-US" w:eastAsia="zh-CN" w:bidi="ar-SA"/>
        </w:rPr>
        <w:br/>
      </w:r>
    </w:p>
    <w:p w:rsidR="001C25A4" w:rsidRDefault="001C25A4">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1C25A4" w:rsidRDefault="001C25A4">
      <w:pPr>
        <w:pStyle w:val="lenovodivulli"/>
        <w:tabs>
          <w:tab w:val="left" w:pos="825"/>
        </w:tabs>
        <w:ind w:left="375" w:right="375"/>
        <w:textAlignment w:val="baseline"/>
        <w:rPr>
          <w:lang w:val="en-US" w:eastAsia="zh-CN" w:bidi="ar-SA"/>
        </w:rPr>
      </w:pPr>
      <w:hyperlink r:id="rId87" w:anchor="tiao_14_kuan_1" w:tgtFrame="_blank" w:history="1">
        <w:r>
          <w:rPr>
            <w:rStyle w:val="lenovodivullia"/>
            <w:lang w:val="en-US" w:eastAsia="zh-CN" w:bidi="ar-SA"/>
          </w:rPr>
          <w:t>中华人民共和国涉外民事关系法律适用法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14</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88" w:anchor="tiao_119"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119</w:t>
        </w:r>
        <w:r>
          <w:rPr>
            <w:rStyle w:val="lenovodivullia"/>
            <w:lang w:val="en-US" w:eastAsia="zh-CN" w:bidi="ar-SA"/>
          </w:rPr>
          <w:t>条</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89" w:anchor="tiao_1" w:tgtFrame="_blank" w:history="1">
        <w:r>
          <w:rPr>
            <w:rStyle w:val="lenovodivullia"/>
            <w:lang w:val="en-US" w:eastAsia="zh-CN" w:bidi="ar-SA"/>
          </w:rPr>
          <w:t>最高人民法院关于适用《中华人民共和国公司法》若干问题的规定</w:t>
        </w:r>
        <w:r>
          <w:rPr>
            <w:rStyle w:val="lenovodivullia"/>
            <w:lang w:val="en-US" w:eastAsia="zh-CN" w:bidi="ar-SA"/>
          </w:rPr>
          <w:t>(</w:t>
        </w:r>
        <w:r>
          <w:rPr>
            <w:rStyle w:val="lenovodivullia"/>
            <w:lang w:val="en-US" w:eastAsia="zh-CN" w:bidi="ar-SA"/>
          </w:rPr>
          <w:t>四</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w:t>
        </w:r>
        <w:r>
          <w:rPr>
            <w:rStyle w:val="lenovodivullia"/>
            <w:lang w:val="en-US" w:eastAsia="zh-CN" w:bidi="ar-SA"/>
          </w:rPr>
          <w:t>条</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90" w:anchor="tiao_5_kuan_1_xiang_1" w:tgtFrame="_blank" w:history="1">
        <w:r>
          <w:rPr>
            <w:rStyle w:val="lenovodivullia"/>
            <w:lang w:val="en-US" w:eastAsia="zh-CN" w:bidi="ar-SA"/>
          </w:rPr>
          <w:t>最高人民法院关于适用《中华人民共和国公司法》若干问题的规定</w:t>
        </w:r>
        <w:r>
          <w:rPr>
            <w:rStyle w:val="lenovodivullia"/>
            <w:lang w:val="en-US" w:eastAsia="zh-CN" w:bidi="ar-SA"/>
          </w:rPr>
          <w:t>(</w:t>
        </w:r>
        <w:r>
          <w:rPr>
            <w:rStyle w:val="lenovodivullia"/>
            <w:lang w:val="en-US" w:eastAsia="zh-CN" w:bidi="ar-SA"/>
          </w:rPr>
          <w:t>四</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5</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1</w:t>
        </w:r>
        <w:r>
          <w:rPr>
            <w:rStyle w:val="lenovodivullia"/>
            <w:lang w:val="en-US" w:eastAsia="zh-CN" w:bidi="ar-SA"/>
          </w:rPr>
          <w:t>项</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91" w:anchor="tiao_5_kuan_1_xiang_2" w:tgtFrame="_blank" w:history="1">
        <w:r>
          <w:rPr>
            <w:rStyle w:val="lenovodivullia"/>
            <w:lang w:val="en-US" w:eastAsia="zh-CN" w:bidi="ar-SA"/>
          </w:rPr>
          <w:t>最高人民法院关于适用《中华人民共和国公司法》若干问题的规定</w:t>
        </w:r>
        <w:r>
          <w:rPr>
            <w:rStyle w:val="lenovodivullia"/>
            <w:lang w:val="en-US" w:eastAsia="zh-CN" w:bidi="ar-SA"/>
          </w:rPr>
          <w:t>(</w:t>
        </w:r>
        <w:r>
          <w:rPr>
            <w:rStyle w:val="lenovodivullia"/>
            <w:lang w:val="en-US" w:eastAsia="zh-CN" w:bidi="ar-SA"/>
          </w:rPr>
          <w:t>四</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5</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2</w:t>
        </w:r>
        <w:r>
          <w:rPr>
            <w:rStyle w:val="lenovodivullia"/>
            <w:lang w:val="en-US" w:eastAsia="zh-CN" w:bidi="ar-SA"/>
          </w:rPr>
          <w:t>项</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92" w:anchor="tiao_13" w:tgtFrame="_blank" w:history="1">
        <w:r>
          <w:rPr>
            <w:rStyle w:val="lenovodivullia"/>
            <w:lang w:val="en-US" w:eastAsia="zh-CN" w:bidi="ar-SA"/>
          </w:rPr>
          <w:t>中华人民共和国公司法</w:t>
        </w:r>
        <w:r>
          <w:rPr>
            <w:rStyle w:val="lenovodivullia"/>
            <w:lang w:val="en-US" w:eastAsia="zh-CN" w:bidi="ar-SA"/>
          </w:rPr>
          <w:t>(2018</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13</w:t>
        </w:r>
        <w:r>
          <w:rPr>
            <w:rStyle w:val="lenovodivullia"/>
            <w:lang w:val="en-US" w:eastAsia="zh-CN" w:bidi="ar-SA"/>
          </w:rPr>
          <w:t>条</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93" w:anchor="tiao_22" w:tgtFrame="_blank" w:history="1">
        <w:r>
          <w:rPr>
            <w:rStyle w:val="lenovodivullia"/>
            <w:lang w:val="en-US" w:eastAsia="zh-CN" w:bidi="ar-SA"/>
          </w:rPr>
          <w:t>中华人民共和国公司法</w:t>
        </w:r>
        <w:r>
          <w:rPr>
            <w:rStyle w:val="lenovodivullia"/>
            <w:lang w:val="en-US" w:eastAsia="zh-CN" w:bidi="ar-SA"/>
          </w:rPr>
          <w:t>(2018</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22</w:t>
        </w:r>
        <w:r>
          <w:rPr>
            <w:rStyle w:val="lenovodivullia"/>
            <w:lang w:val="en-US" w:eastAsia="zh-CN" w:bidi="ar-SA"/>
          </w:rPr>
          <w:t>条</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94" w:anchor="tiao_37_kuan_2" w:tgtFrame="_blank" w:history="1">
        <w:r>
          <w:rPr>
            <w:rStyle w:val="lenovodivullia"/>
            <w:lang w:val="en-US" w:eastAsia="zh-CN" w:bidi="ar-SA"/>
          </w:rPr>
          <w:t>中华人民共和国公司法</w:t>
        </w:r>
        <w:r>
          <w:rPr>
            <w:rStyle w:val="lenovodivullia"/>
            <w:lang w:val="en-US" w:eastAsia="zh-CN" w:bidi="ar-SA"/>
          </w:rPr>
          <w:t>(2018</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37</w:t>
        </w:r>
        <w:r>
          <w:rPr>
            <w:rStyle w:val="lenovodivullia"/>
            <w:lang w:val="en-US" w:eastAsia="zh-CN" w:bidi="ar-SA"/>
          </w:rPr>
          <w:t>条</w:t>
        </w:r>
        <w:r>
          <w:rPr>
            <w:rStyle w:val="lenovodivullia"/>
            <w:lang w:val="en-US" w:eastAsia="zh-CN" w:bidi="ar-SA"/>
          </w:rPr>
          <w:t>2</w:t>
        </w:r>
        <w:r>
          <w:rPr>
            <w:rStyle w:val="lenovodivullia"/>
            <w:lang w:val="en-US" w:eastAsia="zh-CN" w:bidi="ar-SA"/>
          </w:rPr>
          <w:t>款</w:t>
        </w:r>
        <w:r>
          <w:rPr>
            <w:rStyle w:val="lenovodivullia"/>
            <w:lang w:val="en-US" w:eastAsia="zh-CN" w:bidi="ar-SA"/>
          </w:rPr>
          <w:t xml:space="preserve"> </w:t>
        </w:r>
      </w:hyperlink>
    </w:p>
    <w:p w:rsidR="001C25A4" w:rsidRDefault="001C25A4">
      <w:pPr>
        <w:pStyle w:val="div"/>
        <w:ind w:left="375" w:right="375" w:firstLine="225"/>
        <w:rPr>
          <w:rFonts w:ascii="宋体" w:eastAsia="宋体" w:hAnsi="宋体" w:cs="宋体"/>
          <w:sz w:val="23"/>
          <w:szCs w:val="23"/>
          <w:lang w:val="en-US" w:eastAsia="zh-CN" w:bidi="ar-SA"/>
        </w:rPr>
      </w:pPr>
      <w:hyperlink r:id="rId95" w:tgtFrame="_blank" w:history="1">
        <w:r>
          <w:rPr>
            <w:rStyle w:val="a3"/>
            <w:rFonts w:ascii="宋体" w:eastAsia="宋体" w:hAnsi="宋体" w:cs="宋体"/>
            <w:sz w:val="23"/>
            <w:szCs w:val="23"/>
            <w:lang w:val="en-US" w:eastAsia="zh-CN" w:bidi="ar-SA"/>
          </w:rPr>
          <w:t>更多</w:t>
        </w:r>
      </w:hyperlink>
    </w:p>
    <w:p w:rsidR="001C25A4" w:rsidRDefault="001C25A4">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1C25A4" w:rsidRDefault="001C25A4">
      <w:pPr>
        <w:pStyle w:val="lenovodivulli"/>
        <w:tabs>
          <w:tab w:val="left" w:pos="825"/>
        </w:tabs>
        <w:ind w:left="375" w:right="375"/>
        <w:textAlignment w:val="baseline"/>
        <w:rPr>
          <w:lang w:val="en-US" w:eastAsia="zh-CN" w:bidi="ar-SA"/>
        </w:rPr>
      </w:pPr>
      <w:hyperlink r:id="rId96" w:tgtFrame="_blank" w:history="1">
        <w:r>
          <w:rPr>
            <w:rStyle w:val="lenovodivullia"/>
            <w:lang w:val="en-US" w:eastAsia="zh-CN" w:bidi="ar-SA"/>
          </w:rPr>
          <w:t>单某琴与江阴富邦环保建材科技有限公司公司决议效力确认纠纷上诉案</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97" w:tgtFrame="_blank" w:history="1">
        <w:r>
          <w:rPr>
            <w:rStyle w:val="lenovodivullia"/>
            <w:lang w:val="en-US" w:eastAsia="zh-CN" w:bidi="ar-SA"/>
          </w:rPr>
          <w:t>刘美芳诉常州凯瑞化学科技有限公司等公司决议效力确认纠纷案</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98" w:tgtFrame="_blank" w:history="1">
        <w:r>
          <w:rPr>
            <w:rStyle w:val="lenovodivullia"/>
            <w:lang w:val="en-US" w:eastAsia="zh-CN" w:bidi="ar-SA"/>
          </w:rPr>
          <w:t>刘美芳诉常州凯瑞化学科技有限公司等公司决议效力确认纠纷案</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99" w:tgtFrame="_blank" w:history="1">
        <w:r>
          <w:rPr>
            <w:rStyle w:val="lenovodivullia"/>
            <w:lang w:val="en-US" w:eastAsia="zh-CN" w:bidi="ar-SA"/>
          </w:rPr>
          <w:t>福州法院</w:t>
        </w:r>
        <w:r>
          <w:rPr>
            <w:rStyle w:val="lenovodivullia"/>
            <w:lang w:val="en-US" w:eastAsia="zh-CN" w:bidi="ar-SA"/>
          </w:rPr>
          <w:t>2018</w:t>
        </w:r>
        <w:r>
          <w:rPr>
            <w:rStyle w:val="lenovodivullia"/>
            <w:lang w:val="en-US" w:eastAsia="zh-CN" w:bidi="ar-SA"/>
          </w:rPr>
          <w:t>年度商事审判十大案例之八：南安市电力工程有限责任公司、南安市成功水利电力工程勘察设计有限公司诉永泰大樟溪界竹口水电有限公司公司决议效力确认纠纷案</w:t>
        </w:r>
        <w:r>
          <w:rPr>
            <w:rStyle w:val="lenovodivullia"/>
            <w:lang w:val="en-US" w:eastAsia="zh-CN" w:bidi="ar-SA"/>
          </w:rPr>
          <w:t>——</w:t>
        </w:r>
        <w:r>
          <w:rPr>
            <w:rStyle w:val="lenovodivullia"/>
            <w:lang w:val="en-US" w:eastAsia="zh-CN" w:bidi="ar-SA"/>
          </w:rPr>
          <w:t>公司章程规定系公司内部治理合法性的主要依据</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100" w:tgtFrame="_blank" w:history="1">
        <w:r>
          <w:rPr>
            <w:rStyle w:val="lenovodivullia"/>
            <w:lang w:val="en-US" w:eastAsia="zh-CN" w:bidi="ar-SA"/>
          </w:rPr>
          <w:t>许明宏诉泉州南明置业有限公司、林树哲与公司有关的纠纷案</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101" w:tgtFrame="_blank" w:history="1">
        <w:r>
          <w:rPr>
            <w:rStyle w:val="lenovodivullia"/>
            <w:lang w:val="en-US" w:eastAsia="zh-CN" w:bidi="ar-SA"/>
          </w:rPr>
          <w:t>上海保翔冷藏有限公司诉上海长翔冷藏物流有限公司公司决议效力确认纠纷案</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102" w:tgtFrame="_blank" w:history="1">
        <w:r>
          <w:rPr>
            <w:rStyle w:val="lenovodivullia"/>
            <w:lang w:val="en-US" w:eastAsia="zh-CN" w:bidi="ar-SA"/>
          </w:rPr>
          <w:t>江苏高院裁定包美红等诉斯材佳公司股东会决议效力确认纠纷案</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103" w:tgtFrame="_blank" w:history="1">
        <w:r>
          <w:rPr>
            <w:rStyle w:val="lenovodivullia"/>
            <w:lang w:val="en-US" w:eastAsia="zh-CN" w:bidi="ar-SA"/>
          </w:rPr>
          <w:t>谢安、刘家祥诉安徽兴达化工有限责任公司公司决议效力确认纠纷案</w:t>
        </w:r>
        <w:r>
          <w:rPr>
            <w:rStyle w:val="lenovodivullia"/>
            <w:lang w:val="en-US" w:eastAsia="zh-CN" w:bidi="ar-SA"/>
          </w:rPr>
          <w:t xml:space="preserve"> </w:t>
        </w:r>
      </w:hyperlink>
    </w:p>
    <w:p w:rsidR="001C25A4" w:rsidRDefault="001C25A4">
      <w:pPr>
        <w:pStyle w:val="div"/>
        <w:ind w:left="375" w:right="375" w:firstLine="225"/>
        <w:rPr>
          <w:rFonts w:ascii="宋体" w:eastAsia="宋体" w:hAnsi="宋体" w:cs="宋体"/>
          <w:sz w:val="23"/>
          <w:szCs w:val="23"/>
          <w:lang w:val="en-US" w:eastAsia="zh-CN" w:bidi="ar-SA"/>
        </w:rPr>
      </w:pPr>
      <w:hyperlink r:id="rId104" w:tgtFrame="_blank" w:history="1">
        <w:r>
          <w:rPr>
            <w:rStyle w:val="a3"/>
            <w:rFonts w:ascii="宋体" w:eastAsia="宋体" w:hAnsi="宋体" w:cs="宋体"/>
            <w:sz w:val="23"/>
            <w:szCs w:val="23"/>
            <w:lang w:val="en-US" w:eastAsia="zh-CN" w:bidi="ar-SA"/>
          </w:rPr>
          <w:t>更多</w:t>
        </w:r>
      </w:hyperlink>
    </w:p>
    <w:p w:rsidR="001C25A4" w:rsidRDefault="001C25A4">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1C25A4" w:rsidRDefault="001C25A4">
      <w:pPr>
        <w:pStyle w:val="lenovodivulli"/>
        <w:tabs>
          <w:tab w:val="left" w:pos="825"/>
        </w:tabs>
        <w:ind w:left="375" w:right="375"/>
        <w:textAlignment w:val="baseline"/>
        <w:rPr>
          <w:lang w:val="en-US" w:eastAsia="zh-CN" w:bidi="ar-SA"/>
        </w:rPr>
      </w:pPr>
      <w:hyperlink r:id="rId105" w:tgtFrame="_blank" w:history="1">
        <w:r>
          <w:rPr>
            <w:rStyle w:val="lenovodivullia"/>
            <w:lang w:val="en-US" w:eastAsia="zh-CN" w:bidi="ar-SA"/>
          </w:rPr>
          <w:t>田潞斌与南京哈德润滑机械有限公司民事裁定书</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106" w:tgtFrame="_blank" w:history="1">
        <w:r>
          <w:rPr>
            <w:rStyle w:val="lenovodivullia"/>
            <w:lang w:val="en-US" w:eastAsia="zh-CN" w:bidi="ar-SA"/>
          </w:rPr>
          <w:t>南京市江宁区金磊矿贸有限公司与卢顺英、张小琴等公司决议效力确认纠纷二审民事判决书</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107" w:tgtFrame="_blank" w:history="1">
        <w:r>
          <w:rPr>
            <w:rStyle w:val="lenovodivullia"/>
            <w:lang w:val="en-US" w:eastAsia="zh-CN" w:bidi="ar-SA"/>
          </w:rPr>
          <w:t>上诉人江苏润恒物流发展有限公司与被上诉人上海尚尉投资中心（有限合伙）公司决议效力确认纠纷一案的民事判决书</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108" w:tgtFrame="_blank" w:history="1">
        <w:r>
          <w:rPr>
            <w:rStyle w:val="lenovodivullia"/>
            <w:lang w:val="en-US" w:eastAsia="zh-CN" w:bidi="ar-SA"/>
          </w:rPr>
          <w:t>南京二桥船业有限公司与唐正华、王澜公司决议效力确认纠纷二审民事判决书</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109" w:tgtFrame="_blank" w:history="1">
        <w:r>
          <w:rPr>
            <w:rStyle w:val="lenovodivullia"/>
            <w:lang w:val="en-US" w:eastAsia="zh-CN" w:bidi="ar-SA"/>
          </w:rPr>
          <w:t>张强与南京云诺机器人科技有限公司公司决议效力确认纠纷二审民事判决书</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110" w:tgtFrame="_blank" w:history="1">
        <w:r>
          <w:rPr>
            <w:rStyle w:val="lenovodivullia"/>
            <w:lang w:val="en-US" w:eastAsia="zh-CN" w:bidi="ar-SA"/>
          </w:rPr>
          <w:t>南京科津新材料研究院有限公司与李峰公司决议效力确认纠纷二审民事判决书</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111" w:tgtFrame="_blank" w:history="1">
        <w:r>
          <w:rPr>
            <w:rStyle w:val="lenovodivullia"/>
            <w:lang w:val="en-US" w:eastAsia="zh-CN" w:bidi="ar-SA"/>
          </w:rPr>
          <w:t>南京集思益金融信息服务有限公司与李娜、朱磊公司决议效力确认纠纷二审民事判决书</w:t>
        </w:r>
        <w:r>
          <w:rPr>
            <w:rStyle w:val="lenovodivullia"/>
            <w:lang w:val="en-US" w:eastAsia="zh-CN" w:bidi="ar-SA"/>
          </w:rPr>
          <w:t xml:space="preserve"> </w:t>
        </w:r>
      </w:hyperlink>
    </w:p>
    <w:p w:rsidR="001C25A4" w:rsidRDefault="001C25A4">
      <w:pPr>
        <w:pStyle w:val="lenovodivulli"/>
        <w:tabs>
          <w:tab w:val="left" w:pos="825"/>
        </w:tabs>
        <w:ind w:left="375" w:right="375"/>
        <w:textAlignment w:val="baseline"/>
        <w:rPr>
          <w:lang w:val="en-US" w:eastAsia="zh-CN" w:bidi="ar-SA"/>
        </w:rPr>
      </w:pPr>
      <w:hyperlink r:id="rId112" w:tgtFrame="_blank" w:history="1">
        <w:r>
          <w:rPr>
            <w:rStyle w:val="lenovodivullia"/>
            <w:lang w:val="en-US" w:eastAsia="zh-CN" w:bidi="ar-SA"/>
          </w:rPr>
          <w:t>姚德全与南京红日农产品开发有限公司公司决议效力确认纠纷二审民事判决书</w:t>
        </w:r>
        <w:r>
          <w:rPr>
            <w:rStyle w:val="lenovodivullia"/>
            <w:lang w:val="en-US" w:eastAsia="zh-CN" w:bidi="ar-SA"/>
          </w:rPr>
          <w:t xml:space="preserve"> </w:t>
        </w:r>
      </w:hyperlink>
    </w:p>
    <w:p w:rsidR="001C25A4" w:rsidRDefault="001C25A4">
      <w:pPr>
        <w:pStyle w:val="div"/>
        <w:ind w:left="375" w:right="375" w:firstLine="225"/>
        <w:rPr>
          <w:rFonts w:ascii="宋体" w:eastAsia="宋体" w:hAnsi="宋体" w:cs="宋体"/>
          <w:sz w:val="23"/>
          <w:szCs w:val="23"/>
          <w:lang w:val="en-US" w:eastAsia="zh-CN" w:bidi="ar-SA"/>
        </w:rPr>
      </w:pPr>
      <w:hyperlink r:id="rId113" w:tgtFrame="_blank" w:history="1">
        <w:r>
          <w:rPr>
            <w:rStyle w:val="a3"/>
            <w:rFonts w:ascii="宋体" w:eastAsia="宋体" w:hAnsi="宋体" w:cs="宋体"/>
            <w:sz w:val="23"/>
            <w:szCs w:val="23"/>
            <w:lang w:val="en-US" w:eastAsia="zh-CN" w:bidi="ar-SA"/>
          </w:rPr>
          <w:t>更多</w:t>
        </w:r>
      </w:hyperlink>
    </w:p>
    <w:p w:rsidR="001C25A4" w:rsidRDefault="001C25A4">
      <w:pPr>
        <w:ind w:left="375" w:right="375"/>
        <w:rPr>
          <w:rFonts w:ascii="Arial" w:eastAsia="Arial" w:hAnsi="Arial" w:cs="Arial"/>
          <w:lang w:val="en-US" w:eastAsia="zh-CN" w:bidi="ar-SA"/>
        </w:rPr>
      </w:pPr>
      <w:r>
        <w:rPr>
          <w:rFonts w:ascii="Arial" w:eastAsia="Arial" w:hAnsi="Arial" w:cs="Arial"/>
          <w:lang w:val="en-US" w:eastAsia="zh-CN" w:bidi="ar-SA"/>
        </w:rPr>
        <w:br/>
      </w:r>
    </w:p>
    <w:p w:rsidR="001C25A4" w:rsidRDefault="00A77B3E">
      <w:pPr>
        <w:spacing w:line="630" w:lineRule="atLeast"/>
        <w:rPr>
          <w:rFonts w:eastAsia="Times New Roman"/>
          <w:sz w:val="26"/>
          <w:szCs w:val="26"/>
          <w:lang w:val="en-US" w:eastAsia="zh-CN" w:bidi="ar-SA"/>
        </w:rPr>
      </w:pPr>
      <w:r>
        <w:br w:type="page"/>
      </w:r>
      <w:r w:rsidR="001C25A4">
        <w:rPr>
          <w:rFonts w:eastAsia="Times New Roman"/>
          <w:sz w:val="26"/>
          <w:szCs w:val="26"/>
          <w:lang w:val="en-US" w:eastAsia="zh-CN" w:bidi="ar-SA"/>
        </w:rPr>
        <w:lastRenderedPageBreak/>
        <w:t>©北大法宝：（</w:t>
      </w:r>
      <w:hyperlink r:id="rId114" w:history="1">
        <w:r w:rsidR="001C25A4">
          <w:rPr>
            <w:rFonts w:eastAsia="Times New Roman"/>
            <w:color w:val="218FC4"/>
            <w:sz w:val="26"/>
            <w:szCs w:val="26"/>
            <w:u w:val="single" w:color="218FC4"/>
            <w:lang w:val="en-US" w:eastAsia="zh-CN" w:bidi="ar-SA"/>
          </w:rPr>
          <w:t>www.pkulaw.com</w:t>
        </w:r>
      </w:hyperlink>
      <w:r w:rsidR="001C25A4">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115" w:history="1">
        <w:r w:rsidR="001C25A4">
          <w:rPr>
            <w:rFonts w:eastAsia="Times New Roman"/>
            <w:color w:val="218FC4"/>
            <w:sz w:val="26"/>
            <w:szCs w:val="26"/>
            <w:u w:val="single" w:color="218FC4"/>
            <w:lang w:val="en-US" w:eastAsia="zh-CN" w:bidi="ar-SA"/>
          </w:rPr>
          <w:t>产品和服务</w:t>
        </w:r>
      </w:hyperlink>
      <w:r w:rsidR="001C25A4">
        <w:rPr>
          <w:rFonts w:eastAsia="Times New Roman"/>
          <w:sz w:val="26"/>
          <w:szCs w:val="26"/>
          <w:lang w:val="en-US" w:eastAsia="zh-CN" w:bidi="ar-SA"/>
        </w:rPr>
        <w:t>。</w:t>
      </w:r>
      <w:r w:rsidR="001C25A4">
        <w:rPr>
          <w:rFonts w:eastAsia="Times New Roman"/>
          <w:sz w:val="26"/>
          <w:szCs w:val="26"/>
          <w:lang w:val="en-US" w:eastAsia="zh-CN" w:bidi="ar-SA"/>
        </w:rPr>
        <w:br/>
      </w:r>
      <w:hyperlink r:id="rId116" w:history="1">
        <w:r w:rsidR="001C25A4">
          <w:rPr>
            <w:rFonts w:eastAsia="Times New Roman"/>
            <w:color w:val="218FC4"/>
            <w:sz w:val="26"/>
            <w:szCs w:val="26"/>
            <w:u w:val="single" w:color="218FC4"/>
            <w:lang w:val="en-US" w:eastAsia="zh-CN" w:bidi="ar-SA"/>
          </w:rPr>
          <w:t>法宝快讯： 如何快速找到您需要的检索结果？ 法宝 V6 有何新特色？</w:t>
        </w:r>
      </w:hyperlink>
    </w:p>
    <w:p w:rsidR="001C25A4" w:rsidRDefault="001C25A4">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117" o:title=""/>
          </v:shape>
        </w:pict>
      </w:r>
    </w:p>
    <w:p w:rsidR="001C25A4" w:rsidRDefault="001C25A4">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1C25A4" w:rsidRDefault="001C25A4">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18" w:history="1">
        <w:r>
          <w:rPr>
            <w:rFonts w:eastAsia="Times New Roman"/>
            <w:color w:val="000000"/>
            <w:sz w:val="26"/>
            <w:szCs w:val="26"/>
            <w:u w:val="single" w:color="000000"/>
            <w:lang w:val="en-US" w:eastAsia="zh-CN" w:bidi="ar-SA"/>
          </w:rPr>
          <w:t xml:space="preserve">https://www.pkulaw.com/pfnl/95b2ca8d4055fce1f8490e19a1b54dceb8f63fc9be1e42a4bdfb.html </w:t>
        </w:r>
      </w:hyperlink>
    </w:p>
    <w:p w:rsidR="00A77B3E" w:rsidRDefault="00A77B3E"/>
    <w:sectPr w:rsidR="00A77B3E">
      <w:headerReference w:type="default" r:id="rId119"/>
      <w:footerReference w:type="default" r:id="rId12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25A4" w:rsidRDefault="001C25A4">
      <w:r>
        <w:separator/>
      </w:r>
    </w:p>
  </w:endnote>
  <w:endnote w:type="continuationSeparator" w:id="0">
    <w:p w:rsidR="001C25A4" w:rsidRDefault="001C2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1C25A4" w:rsidRDefault="001C25A4">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585074">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585074">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1C25A4" w:rsidRDefault="001C25A4">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1C25A4" w:rsidRDefault="001C25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25A4" w:rsidRDefault="001C25A4">
      <w:r>
        <w:separator/>
      </w:r>
    </w:p>
  </w:footnote>
  <w:footnote w:type="continuationSeparator" w:id="0">
    <w:p w:rsidR="001C25A4" w:rsidRDefault="001C2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1C25A4" w:rsidRDefault="001C25A4">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1C25A4" w:rsidRDefault="001C25A4">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CLI.C.407451668</w:t>
          </w:r>
        </w:p>
      </w:tc>
    </w:tr>
  </w:tbl>
  <w:p w:rsidR="001C25A4" w:rsidRDefault="001C25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C25A4"/>
    <w:rsid w:val="00585074"/>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886E92D-304B-49CC-86DB-DDE26820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585074"/>
    <w:pPr>
      <w:tabs>
        <w:tab w:val="center" w:pos="4153"/>
        <w:tab w:val="right" w:pos="8306"/>
      </w:tabs>
      <w:snapToGrid w:val="0"/>
      <w:jc w:val="center"/>
    </w:pPr>
    <w:rPr>
      <w:sz w:val="18"/>
      <w:szCs w:val="18"/>
    </w:rPr>
  </w:style>
  <w:style w:type="character" w:customStyle="1" w:styleId="a5">
    <w:name w:val="页眉 字符"/>
    <w:basedOn w:val="a0"/>
    <w:link w:val="a4"/>
    <w:rsid w:val="00585074"/>
    <w:rPr>
      <w:sz w:val="18"/>
      <w:szCs w:val="18"/>
    </w:rPr>
  </w:style>
  <w:style w:type="paragraph" w:styleId="a6">
    <w:name w:val="footer"/>
    <w:basedOn w:val="a"/>
    <w:link w:val="a7"/>
    <w:rsid w:val="00585074"/>
    <w:pPr>
      <w:tabs>
        <w:tab w:val="center" w:pos="4153"/>
        <w:tab w:val="right" w:pos="8306"/>
      </w:tabs>
      <w:snapToGrid w:val="0"/>
    </w:pPr>
    <w:rPr>
      <w:sz w:val="18"/>
      <w:szCs w:val="18"/>
    </w:rPr>
  </w:style>
  <w:style w:type="character" w:customStyle="1" w:styleId="a7">
    <w:name w:val="页脚 字符"/>
    <w:basedOn w:val="a0"/>
    <w:link w:val="a6"/>
    <w:rsid w:val="005850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ExtCondition.CriminalPunish=0102050314&amp;way=textBasic" TargetMode="External"/><Relationship Id="rId117" Type="http://schemas.openxmlformats.org/officeDocument/2006/relationships/image" Target="media/image1.png"/><Relationship Id="rId21" Type="http://schemas.openxmlformats.org/officeDocument/2006/relationships/hyperlink" Target="https://www.pkulaw.com/?ExtCondition.CriminalPunish=01010219&amp;way=textBasic" TargetMode="External"/><Relationship Id="rId42" Type="http://schemas.openxmlformats.org/officeDocument/2006/relationships/hyperlink" Target="https://www.pkulaw.com/chl/aec0c211a78989e9bdfb.html?way=textSlc" TargetMode="External"/><Relationship Id="rId47" Type="http://schemas.openxmlformats.org/officeDocument/2006/relationships/hyperlink" Target="https://www.pkulaw.com/chl/842f49b1d7073563bdfb.html?way=textSlc" TargetMode="External"/><Relationship Id="rId63" Type="http://schemas.openxmlformats.org/officeDocument/2006/relationships/hyperlink" Target="https://www.pkulaw.com/chl/f5383f4d039abb7bbdfb.html?way=textSlc" TargetMode="External"/><Relationship Id="rId68" Type="http://schemas.openxmlformats.org/officeDocument/2006/relationships/hyperlink" Target="https://www.pkulaw.com/chl/f5383f4d039abb7bbdfb.html?way=textSlc" TargetMode="External"/><Relationship Id="rId84" Type="http://schemas.openxmlformats.org/officeDocument/2006/relationships/hyperlink" Target="https://www.pkulaw.com/chl/12e67f26d4b80606bdfb.html?way=textSlc" TargetMode="External"/><Relationship Id="rId89" Type="http://schemas.openxmlformats.org/officeDocument/2006/relationships/hyperlink" Target="https://www.pkulaw.com/chl/f5383f4d039abb7bbdfb.html?way=textRightFblx" TargetMode="External"/><Relationship Id="rId112" Type="http://schemas.openxmlformats.org/officeDocument/2006/relationships/hyperlink" Target="https://www.pkulaw.com/pfnl/a6bdb3332ec0adc4f31481b0e0d88950ee5932783f49f3eebdfb.html?way=textRightFblx" TargetMode="External"/><Relationship Id="rId16" Type="http://schemas.openxmlformats.org/officeDocument/2006/relationships/hyperlink" Target="https://www.pkulaw.com/?Aggs.TrialStep=001&amp;way=textBasic" TargetMode="External"/><Relationship Id="rId107" Type="http://schemas.openxmlformats.org/officeDocument/2006/relationships/hyperlink" Target="https://www.pkulaw.com/pfnl/95b2ca8d4055fce12defb782385b563ba2a5e1930cd7e9efbdfb.html?way=textRightFblx" TargetMode="External"/><Relationship Id="rId11" Type="http://schemas.openxmlformats.org/officeDocument/2006/relationships/hyperlink" Target="javascript:void(0)" TargetMode="External"/><Relationship Id="rId32" Type="http://schemas.openxmlformats.org/officeDocument/2006/relationships/hyperlink" Target="https://www.pkulaw.com/?ExtCondition.CaseElements=A09066008&amp;way=textBasic" TargetMode="External"/><Relationship Id="rId37" Type="http://schemas.openxmlformats.org/officeDocument/2006/relationships/hyperlink" Target="https://www.pkulaw.com/?ExtCondition.CaseElements=A08011&amp;way=textBasic" TargetMode="External"/><Relationship Id="rId53" Type="http://schemas.openxmlformats.org/officeDocument/2006/relationships/hyperlink" Target="https://www.pkulaw.com/chl/aec0c211a78989e9bdfb.html?way=textSlc" TargetMode="External"/><Relationship Id="rId58" Type="http://schemas.openxmlformats.org/officeDocument/2006/relationships/hyperlink" Target="https://www.pkulaw.com/chl/842f49b1d7073563bdfb.html?way=textSlc" TargetMode="External"/><Relationship Id="rId74" Type="http://schemas.openxmlformats.org/officeDocument/2006/relationships/hyperlink" Target="https://www.pkulaw.com/chl/aec0c211a78989e9bdfb.html?way=textSlc" TargetMode="External"/><Relationship Id="rId79" Type="http://schemas.openxmlformats.org/officeDocument/2006/relationships/hyperlink" Target="https://www.pkulaw.com/chl/842f49b1d7073563bdfb.html?way=textSlc" TargetMode="External"/><Relationship Id="rId102" Type="http://schemas.openxmlformats.org/officeDocument/2006/relationships/hyperlink" Target="https://www.pkulaw.com/pfnl/a25051f3312b07f399e62a6c60dc56ebccc826ddce6ee852bdfb.html?way=textRightFblx" TargetMode="External"/><Relationship Id="rId5" Type="http://schemas.openxmlformats.org/officeDocument/2006/relationships/footnotes" Target="footnotes.xml"/><Relationship Id="rId90" Type="http://schemas.openxmlformats.org/officeDocument/2006/relationships/hyperlink" Target="https://www.pkulaw.com/chl/f5383f4d039abb7bbdfb.html?way=textRightFblx" TargetMode="External"/><Relationship Id="rId95" Type="http://schemas.openxmlformats.org/officeDocument/2006/relationships/hyperlink" Target="https://www.pkulaw.com/AssociationMore/pfnl/95b2ca8d4055fce1f8490e19a1b54dceb8f63fc9be1e42a4bdfb/19_0.html?way=textRightFblx" TargetMode="External"/><Relationship Id="rId22" Type="http://schemas.openxmlformats.org/officeDocument/2006/relationships/hyperlink" Target="https://www.pkulaw.com/?ExtCondition.CriminalPunish=01010301&amp;way=textBasic" TargetMode="External"/><Relationship Id="rId27" Type="http://schemas.openxmlformats.org/officeDocument/2006/relationships/hyperlink" Target="https://www.pkulaw.com/?ExtCondition.CriminalPunish=0102050320&amp;way=textBasic" TargetMode="External"/><Relationship Id="rId43" Type="http://schemas.openxmlformats.org/officeDocument/2006/relationships/hyperlink" Target="https://www.pkulaw.com/chl/842f49b1d7073563bdfb.html?way=textSlc" TargetMode="External"/><Relationship Id="rId48" Type="http://schemas.openxmlformats.org/officeDocument/2006/relationships/hyperlink" Target="https://www.pkulaw.com/chl/aec0c211a78989e9bdfb.html?way=textSlc" TargetMode="External"/><Relationship Id="rId64" Type="http://schemas.openxmlformats.org/officeDocument/2006/relationships/hyperlink" Target="https://www.pkulaw.com/chl/d33df017c784876fbdfb.html?way=textSlc" TargetMode="External"/><Relationship Id="rId69" Type="http://schemas.openxmlformats.org/officeDocument/2006/relationships/hyperlink" Target="https://www.pkulaw.com/chl/f5383f4d039abb7bbdfb.html?way=textSlc" TargetMode="External"/><Relationship Id="rId113" Type="http://schemas.openxmlformats.org/officeDocument/2006/relationships/hyperlink" Target="https://www.pkulaw.com/case/pfnl?Aggs.CategoryIntegration=&amp;Aggs.LastInstanceCourt=&amp;way=textRightFblx" TargetMode="External"/><Relationship Id="rId118" Type="http://schemas.openxmlformats.org/officeDocument/2006/relationships/hyperlink" Target="https://www.pkulaw.com/pfnl/95b2ca8d4055fce1f8490e19a1b54dceb8f63fc9be1e42a4bdfb.html" TargetMode="External"/><Relationship Id="rId80" Type="http://schemas.openxmlformats.org/officeDocument/2006/relationships/hyperlink" Target="https://www.pkulaw.com/chl/842f49b1d7073563bdfb.html?way=textSlc" TargetMode="External"/><Relationship Id="rId85" Type="http://schemas.openxmlformats.org/officeDocument/2006/relationships/hyperlink" Target="https://www.pkulaw.com/chl/12e67f26d4b80606bdfb.html?way=textSlc" TargetMode="External"/><Relationship Id="rId12" Type="http://schemas.openxmlformats.org/officeDocument/2006/relationships/hyperlink" Target="https://www.pkulaw.com/?Aggs.CategoryIntegration=002008002009001&amp;way=textBasic" TargetMode="External"/><Relationship Id="rId17" Type="http://schemas.openxmlformats.org/officeDocument/2006/relationships/hyperlink" Target="javascript:LawFirmSearch('&#21271;&#20140;&#24066;&#39640;&#26379;&#65288;&#21335;&#20140;&#65289;&#24459;&#24072;&#20107;&#21153;&#25152;')" TargetMode="External"/><Relationship Id="rId33" Type="http://schemas.openxmlformats.org/officeDocument/2006/relationships/hyperlink" Target="https://www.pkulaw.com/?ExtCondition.CaseElements=A09069&amp;way=textBasic" TargetMode="External"/><Relationship Id="rId38" Type="http://schemas.openxmlformats.org/officeDocument/2006/relationships/hyperlink" Target="https://www.pkulaw.com/?ExtCondition.CaseElements=A08011098&amp;way=textBasic" TargetMode="External"/><Relationship Id="rId59" Type="http://schemas.openxmlformats.org/officeDocument/2006/relationships/hyperlink" Target="https://www.pkulaw.com/chl/7674d9626365d7e3bdfb.html?way=textSlc" TargetMode="External"/><Relationship Id="rId103" Type="http://schemas.openxmlformats.org/officeDocument/2006/relationships/hyperlink" Target="https://www.pkulaw.com/pfnl/a25051f3312b07f3b347de84539d362a792b0ab63d2c63fbbdfb.html?way=textRightFblx" TargetMode="External"/><Relationship Id="rId108" Type="http://schemas.openxmlformats.org/officeDocument/2006/relationships/hyperlink" Target="https://www.pkulaw.com/pfnl/c05aeed05a57db0ad5257f26185bde8fddac41b2eee3bd8abdfb.html?way=textRightFblx" TargetMode="External"/><Relationship Id="rId54" Type="http://schemas.openxmlformats.org/officeDocument/2006/relationships/hyperlink" Target="https://www.pkulaw.com/chl/aec0c211a78989e9bdfb.html?way=textSlc" TargetMode="External"/><Relationship Id="rId70" Type="http://schemas.openxmlformats.org/officeDocument/2006/relationships/hyperlink" Target="https://www.pkulaw.com/chl/aec0c211a78989e9bdfb.html?way=textSlc" TargetMode="External"/><Relationship Id="rId75" Type="http://schemas.openxmlformats.org/officeDocument/2006/relationships/hyperlink" Target="https://www.pkulaw.com/chl/aec0c211a78989e9bdfb.html?way=textSlc" TargetMode="External"/><Relationship Id="rId91" Type="http://schemas.openxmlformats.org/officeDocument/2006/relationships/hyperlink" Target="https://www.pkulaw.com/chl/f5383f4d039abb7bbdfb.html?way=textRightFblx" TargetMode="External"/><Relationship Id="rId96" Type="http://schemas.openxmlformats.org/officeDocument/2006/relationships/hyperlink" Target="https://www.pkulaw.com/pfnl/08df102e7c10f206e23c8c153da081deaa85e04970080773bdfb.html?way=textRightFblx"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pkulaw.com/?ExtCondition.CriminalPunish=010104&amp;way=textBasic" TargetMode="External"/><Relationship Id="rId28" Type="http://schemas.openxmlformats.org/officeDocument/2006/relationships/hyperlink" Target="https://www.pkulaw.com/?ExtCondition.CriminalPunish=01020701&amp;way=textBasic" TargetMode="External"/><Relationship Id="rId49" Type="http://schemas.openxmlformats.org/officeDocument/2006/relationships/hyperlink" Target="https://www.pkulaw.com/chl/aec0c211a78989e9bdfb.html?way=textSlc" TargetMode="External"/><Relationship Id="rId114" Type="http://schemas.openxmlformats.org/officeDocument/2006/relationships/hyperlink" Target="https://www.pkulaw.com" TargetMode="External"/><Relationship Id="rId119" Type="http://schemas.openxmlformats.org/officeDocument/2006/relationships/header" Target="header1.xml"/><Relationship Id="rId44" Type="http://schemas.openxmlformats.org/officeDocument/2006/relationships/hyperlink" Target="https://www.pkulaw.com/chl/842f49b1d7073563bdfb.html?way=textSlc" TargetMode="External"/><Relationship Id="rId60" Type="http://schemas.openxmlformats.org/officeDocument/2006/relationships/hyperlink" Target="https://www.pkulaw.com/chl/7674d9626365d7e3bdfb.html?way=textSlc" TargetMode="External"/><Relationship Id="rId65" Type="http://schemas.openxmlformats.org/officeDocument/2006/relationships/hyperlink" Target="https://www.pkulaw.com/chl/d33df017c784876fbdfb.html?way=textSlc" TargetMode="External"/><Relationship Id="rId81" Type="http://schemas.openxmlformats.org/officeDocument/2006/relationships/hyperlink" Target="https://www.pkulaw.com/chl/7674d9626365d7e3bdfb.html?way=textSlc" TargetMode="External"/><Relationship Id="rId86" Type="http://schemas.openxmlformats.org/officeDocument/2006/relationships/hyperlink" Target="https://www.pkulaw.com/chl/5ec044285065f666bdfb.html?way=textSlc" TargetMode="External"/><Relationship Id="rId4" Type="http://schemas.openxmlformats.org/officeDocument/2006/relationships/webSettings" Target="webSettings.xml"/><Relationship Id="rId9" Type="http://schemas.openxmlformats.org/officeDocument/2006/relationships/hyperlink" Target="https://www.pkulaw.com/?Aggs.CategoryIntegration=002008002&amp;way=textBasic" TargetMode="External"/><Relationship Id="rId13" Type="http://schemas.openxmlformats.org/officeDocument/2006/relationships/hyperlink" Target="https://www.pkulaw.com/?Aggs.DocumentAttr=001&amp;way=textBasic" TargetMode="External"/><Relationship Id="rId18" Type="http://schemas.openxmlformats.org/officeDocument/2006/relationships/hyperlink" Target="javascript:LawFirmSearch('&#21271;&#20140;&#24066;&#39640;&#26379;&#65288;&#21335;&#20140;&#65289;&#24459;&#24072;&#20107;&#21153;&#25152;')" TargetMode="External"/><Relationship Id="rId39" Type="http://schemas.openxmlformats.org/officeDocument/2006/relationships/hyperlink" Target="javascript:LawFirmSearch('&#27743;&#33487;&#20849;&#30408;&#24459;&#24072;&#20107;&#21153;&#25152;')" TargetMode="External"/><Relationship Id="rId109" Type="http://schemas.openxmlformats.org/officeDocument/2006/relationships/hyperlink" Target="https://www.pkulaw.com/pfnl/c05aeed05a57db0af4dc9e740f1a9087bd29b643b7f8249dbdfb.html?way=textRightFblx" TargetMode="External"/><Relationship Id="rId34" Type="http://schemas.openxmlformats.org/officeDocument/2006/relationships/hyperlink" Target="https://www.pkulaw.com/?ExtCondition.CaseElements=A09069014&amp;way=textBasic" TargetMode="External"/><Relationship Id="rId50" Type="http://schemas.openxmlformats.org/officeDocument/2006/relationships/hyperlink" Target="https://www.pkulaw.com/chl/6a88714068b3724dbdfb.html?way=textSlc" TargetMode="External"/><Relationship Id="rId55" Type="http://schemas.openxmlformats.org/officeDocument/2006/relationships/hyperlink" Target="https://www.pkulaw.com/chl/aec0c211a78989e9bdfb.html?way=textSlc" TargetMode="External"/><Relationship Id="rId76" Type="http://schemas.openxmlformats.org/officeDocument/2006/relationships/hyperlink" Target="https://www.pkulaw.com/chl/aec0c211a78989e9bdfb.html?way=textSlc" TargetMode="External"/><Relationship Id="rId97" Type="http://schemas.openxmlformats.org/officeDocument/2006/relationships/hyperlink" Target="https://www.pkulaw.com/pfnl/a6bdb3332ec0adc4b15435c98868bb1f68ee41092dd31d64bdfb.html?way=textRightFblx" TargetMode="External"/><Relationship Id="rId104" Type="http://schemas.openxmlformats.org/officeDocument/2006/relationships/hyperlink" Target="https://www.pkulaw.com/case/pfnl?Aggs.CategoryIntegration=&amp;way=textRightFblx" TargetMode="External"/><Relationship Id="rId120" Type="http://schemas.openxmlformats.org/officeDocument/2006/relationships/footer" Target="footer1.xm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chl/aec0c211a78989e9bdfb.html?way=textSlc" TargetMode="External"/><Relationship Id="rId92" Type="http://schemas.openxmlformats.org/officeDocument/2006/relationships/hyperlink" Target="https://www.pkulaw.com/chl/aec0c211a78989e9bdfb.html?way=textRightFblx" TargetMode="External"/><Relationship Id="rId2" Type="http://schemas.openxmlformats.org/officeDocument/2006/relationships/styles" Target="styles.xml"/><Relationship Id="rId29" Type="http://schemas.openxmlformats.org/officeDocument/2006/relationships/hyperlink" Target="https://www.pkulaw.com/?ExtCondition.CriminalPunish=010209&amp;way=textBasic" TargetMode="External"/><Relationship Id="rId24" Type="http://schemas.openxmlformats.org/officeDocument/2006/relationships/hyperlink" Target="https://www.pkulaw.com/?ExtCondition.CriminalPunish=010202&amp;way=textBasic" TargetMode="External"/><Relationship Id="rId40" Type="http://schemas.openxmlformats.org/officeDocument/2006/relationships/hyperlink" Target="javascript:LawFirmSearch('&#27743;&#33487;&#20849;&#30408;&#24459;&#24072;&#20107;&#21153;&#25152;')" TargetMode="External"/><Relationship Id="rId45" Type="http://schemas.openxmlformats.org/officeDocument/2006/relationships/hyperlink" Target="https://www.pkulaw.com/chl/842f49b1d7073563bdfb.html?way=textSlc" TargetMode="External"/><Relationship Id="rId66" Type="http://schemas.openxmlformats.org/officeDocument/2006/relationships/hyperlink" Target="https://www.pkulaw.com/chl/f5383f4d039abb7bbdfb.html?way=textSlc" TargetMode="External"/><Relationship Id="rId87" Type="http://schemas.openxmlformats.org/officeDocument/2006/relationships/hyperlink" Target="https://www.pkulaw.com/chl/7674d9626365d7e3bdfb.html?way=textRightFblx" TargetMode="External"/><Relationship Id="rId110" Type="http://schemas.openxmlformats.org/officeDocument/2006/relationships/hyperlink" Target="https://www.pkulaw.com/pfnl/a6bdb3332ec0adc495f12f4edda57bf50529d537ff32d66abdfb.html?way=textRightFblx" TargetMode="External"/><Relationship Id="rId115" Type="http://schemas.openxmlformats.org/officeDocument/2006/relationships/hyperlink" Target="http://www.pkulaw.net/" TargetMode="External"/><Relationship Id="rId61" Type="http://schemas.openxmlformats.org/officeDocument/2006/relationships/hyperlink" Target="https://www.pkulaw.com/chl/7674d9626365d7e3bdfb.html?way=textSlc" TargetMode="External"/><Relationship Id="rId82" Type="http://schemas.openxmlformats.org/officeDocument/2006/relationships/hyperlink" Target="https://www.pkulaw.com/chl/7674d9626365d7e3bdfb.html?way=textSlc" TargetMode="External"/><Relationship Id="rId19" Type="http://schemas.openxmlformats.org/officeDocument/2006/relationships/hyperlink" Target="https://www.pkulaw.com/?ExtCondition.CriminalPunish=010101&amp;way=textBasic" TargetMode="External"/><Relationship Id="rId14" Type="http://schemas.openxmlformats.org/officeDocument/2006/relationships/hyperlink" Target="https://www.pkulaw.com/?Aggs.LastInstanceCourt=120200&amp;way=textBasic" TargetMode="External"/><Relationship Id="rId30" Type="http://schemas.openxmlformats.org/officeDocument/2006/relationships/hyperlink" Target="https://www.pkulaw.com/?ExtCondition.CaseElements=A09&amp;way=textBasic" TargetMode="External"/><Relationship Id="rId35" Type="http://schemas.openxmlformats.org/officeDocument/2006/relationships/hyperlink" Target="https://www.pkulaw.com/?ExtCondition.CaseElements=A09069011&amp;way=textBasic" TargetMode="External"/><Relationship Id="rId56" Type="http://schemas.openxmlformats.org/officeDocument/2006/relationships/hyperlink" Target="https://www.pkulaw.com/chl/aec0c211a78989e9bdfb.html?way=textSlc" TargetMode="External"/><Relationship Id="rId77" Type="http://schemas.openxmlformats.org/officeDocument/2006/relationships/hyperlink" Target="https://www.pkulaw.com/chl/842f49b1d7073563bdfb.html?way=textSlc" TargetMode="External"/><Relationship Id="rId100" Type="http://schemas.openxmlformats.org/officeDocument/2006/relationships/hyperlink" Target="https://www.pkulaw.com/pfnl/a25051f3312b07f3bbcec65e3405cb65ebad36c88c44becdbdfb.html?way=textRightFblx" TargetMode="External"/><Relationship Id="rId105" Type="http://schemas.openxmlformats.org/officeDocument/2006/relationships/hyperlink" Target="https://www.pkulaw.com/pfnl/c05aeed05a57db0aebab238e7318013d560dd145909a8e4cbdfb.html?way=textRightFblx" TargetMode="External"/><Relationship Id="rId8" Type="http://schemas.openxmlformats.org/officeDocument/2006/relationships/hyperlink" Target="https://www.pkulaw.com/?Aggs.CategoryIntegration=002008&amp;way=textBasic" TargetMode="External"/><Relationship Id="rId51" Type="http://schemas.openxmlformats.org/officeDocument/2006/relationships/hyperlink" Target="https://www.pkulaw.com/chl/aec0c211a78989e9bdfb.html?way=textSlc" TargetMode="External"/><Relationship Id="rId72" Type="http://schemas.openxmlformats.org/officeDocument/2006/relationships/hyperlink" Target="https://www.pkulaw.com/chl/aec0c211a78989e9bdfb.html?way=textSlc" TargetMode="External"/><Relationship Id="rId93" Type="http://schemas.openxmlformats.org/officeDocument/2006/relationships/hyperlink" Target="https://www.pkulaw.com/chl/aec0c211a78989e9bdfb.html?way=textRightFblx" TargetMode="External"/><Relationship Id="rId98" Type="http://schemas.openxmlformats.org/officeDocument/2006/relationships/hyperlink" Target="https://www.pkulaw.com/pfnl/08df102e7c10f206f5bf217868e64a0b6bd878255696bfa1bdfb.html?way=textRightFblx"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pkulaw.com/?ExtCondition.CriminalPunish=0102050301&amp;way=textBasic" TargetMode="External"/><Relationship Id="rId46" Type="http://schemas.openxmlformats.org/officeDocument/2006/relationships/hyperlink" Target="https://www.pkulaw.com/chl/842f49b1d7073563bdfb.html?way=textSlc" TargetMode="External"/><Relationship Id="rId67" Type="http://schemas.openxmlformats.org/officeDocument/2006/relationships/hyperlink" Target="https://www.pkulaw.com/chl/f5383f4d039abb7bbdfb.html?way=textSlc" TargetMode="External"/><Relationship Id="rId116" Type="http://schemas.openxmlformats.org/officeDocument/2006/relationships/hyperlink" Target="http://www.pkulaw.com/helps/69.html" TargetMode="External"/><Relationship Id="rId20" Type="http://schemas.openxmlformats.org/officeDocument/2006/relationships/hyperlink" Target="https://www.pkulaw.com/?ExtCondition.CriminalPunish=01010201&amp;way=textBasic" TargetMode="External"/><Relationship Id="rId41" Type="http://schemas.openxmlformats.org/officeDocument/2006/relationships/hyperlink" Target="https://www.pkulaw.com/chl/aec0c211a78989e9bdfb.html?way=textSlc" TargetMode="External"/><Relationship Id="rId62" Type="http://schemas.openxmlformats.org/officeDocument/2006/relationships/hyperlink" Target="https://www.pkulaw.com/chl/f5383f4d039abb7bbdfb.html?way=textSlc" TargetMode="External"/><Relationship Id="rId83" Type="http://schemas.openxmlformats.org/officeDocument/2006/relationships/hyperlink" Target="https://www.pkulaw.com/chl/7674d9626365d7e3bdfb.html?way=textSlc" TargetMode="External"/><Relationship Id="rId88" Type="http://schemas.openxmlformats.org/officeDocument/2006/relationships/hyperlink" Target="https://www.pkulaw.com/chl/d33df017c784876fbdfb.html?way=textRightFblx" TargetMode="External"/><Relationship Id="rId111" Type="http://schemas.openxmlformats.org/officeDocument/2006/relationships/hyperlink" Target="https://www.pkulaw.com/pfnl/a6bdb3332ec0adc47f6b2158b967221b50538d8535020de9bdfb.html?way=textRightFblx" TargetMode="External"/><Relationship Id="rId15" Type="http://schemas.openxmlformats.org/officeDocument/2006/relationships/hyperlink" Target="https://www.pkulaw.com/?Aggs.CaseClass=003001&amp;way=textBasic" TargetMode="External"/><Relationship Id="rId36" Type="http://schemas.openxmlformats.org/officeDocument/2006/relationships/hyperlink" Target="https://www.pkulaw.com/?ExtCondition.CaseElements=A08&amp;way=textBasic" TargetMode="External"/><Relationship Id="rId57" Type="http://schemas.openxmlformats.org/officeDocument/2006/relationships/hyperlink" Target="https://www.pkulaw.com/chl/842f49b1d7073563bdfb.html?way=textSlc" TargetMode="External"/><Relationship Id="rId106" Type="http://schemas.openxmlformats.org/officeDocument/2006/relationships/hyperlink" Target="https://www.pkulaw.com/pfnl/c05aeed05a57db0aad51e66010f7607980568118de3385f4bdfb.html?way=textRightFblx" TargetMode="External"/><Relationship Id="rId10" Type="http://schemas.openxmlformats.org/officeDocument/2006/relationships/hyperlink" Target="https://www.pkulaw.com/?Aggs.CategoryIntegration=002008002009&amp;way=textBasic" TargetMode="External"/><Relationship Id="rId31" Type="http://schemas.openxmlformats.org/officeDocument/2006/relationships/hyperlink" Target="https://www.pkulaw.com/?ExtCondition.CaseElements=A09066&amp;way=textBasic" TargetMode="External"/><Relationship Id="rId52" Type="http://schemas.openxmlformats.org/officeDocument/2006/relationships/hyperlink" Target="https://www.pkulaw.com/chl/aec0c211a78989e9bdfb.html?way=textSlc" TargetMode="External"/><Relationship Id="rId73" Type="http://schemas.openxmlformats.org/officeDocument/2006/relationships/hyperlink" Target="https://www.pkulaw.com/chl/aec0c211a78989e9bdfb.html?way=textSlc" TargetMode="External"/><Relationship Id="rId78" Type="http://schemas.openxmlformats.org/officeDocument/2006/relationships/hyperlink" Target="https://www.pkulaw.com/chl/842f49b1d7073563bdfb.html?way=textSlc" TargetMode="External"/><Relationship Id="rId94" Type="http://schemas.openxmlformats.org/officeDocument/2006/relationships/hyperlink" Target="https://www.pkulaw.com/chl/aec0c211a78989e9bdfb.html?way=textRightFblx" TargetMode="External"/><Relationship Id="rId99" Type="http://schemas.openxmlformats.org/officeDocument/2006/relationships/hyperlink" Target="https://www.pkulaw.com/pfnl/a6bdb3332ec0adc43e53859c507bc626841b904b737c5927bdfb.html?way=textRightFblx" TargetMode="External"/><Relationship Id="rId101" Type="http://schemas.openxmlformats.org/officeDocument/2006/relationships/hyperlink" Target="https://www.pkulaw.com/pfnl/a6bdb3332ec0adc4f72fef7fcc8fdb85d343763a0f6f270bbdfb.html?way=textRightFblx" TargetMode="External"/><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7465</Words>
  <Characters>7913</Characters>
  <Application>Microsoft Office Word</Application>
  <DocSecurity>0</DocSecurity>
  <Lines>281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2026-04-04T17:07:00Z</dcterms:created>
  <dcterms:modified xsi:type="dcterms:W3CDTF">2026-04-04T17:07:00Z</dcterms:modified>
</cp:coreProperties>
</file>