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5642" w:rsidRDefault="00775642">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福瑞珂食品设备（济宁）有限公司、西藏高原蓝农业发展股份有限公司买卖合同纠纷刑事管辖管辖裁定书</w:t>
      </w:r>
    </w:p>
    <w:p w:rsidR="00775642" w:rsidRDefault="00775642">
      <w:pPr>
        <w:ind w:left="375" w:right="375"/>
        <w:rPr>
          <w:rFonts w:ascii="Arial" w:eastAsia="Arial" w:hAnsi="Arial" w:cs="Arial"/>
          <w:lang w:val="en-US" w:eastAsia="zh-CN" w:bidi="ar-SA"/>
        </w:rPr>
      </w:pPr>
      <w:r>
        <w:rPr>
          <w:rFonts w:ascii="Arial" w:eastAsia="Arial" w:hAnsi="Arial" w:cs="Arial"/>
          <w:lang w:val="en-US" w:eastAsia="zh-CN" w:bidi="ar-SA"/>
        </w:rPr>
        <w:br/>
      </w:r>
    </w:p>
    <w:p w:rsidR="00775642" w:rsidRDefault="0077564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bookmarkStart w:id="0" w:name="basic-info"/>
      <w:bookmarkEnd w:id="0"/>
      <w:r>
        <w:rPr>
          <w:rStyle w:val="fulltext-wrapfieldsulliboxstrong"/>
          <w:rFonts w:ascii="宋体" w:eastAsia="宋体" w:hAnsi="宋体" w:cs="宋体"/>
          <w:sz w:val="23"/>
          <w:szCs w:val="23"/>
          <w:lang w:val="en-US" w:eastAsia="zh-CN" w:bidi="ar-SA"/>
        </w:rPr>
        <w:t>案由：</w:t>
      </w:r>
      <w:r>
        <w:rPr>
          <w:rStyle w:val="fulltext-wrapfieldsulrow"/>
          <w:rFonts w:ascii="宋体" w:eastAsia="宋体" w:hAnsi="宋体" w:cs="宋体"/>
          <w:color w:val="999999"/>
          <w:sz w:val="23"/>
          <w:szCs w:val="23"/>
          <w:lang w:val="en-US" w:eastAsia="zh-CN" w:bidi="ar-SA"/>
        </w:rPr>
        <w:t xml:space="preserve"> </w:t>
      </w:r>
      <w:hyperlink r:id="rId7" w:tgtFrame="_blank" w:history="1">
        <w:r>
          <w:rPr>
            <w:rStyle w:val="fulltext-wrapfieldsullia"/>
            <w:rFonts w:ascii="宋体" w:eastAsia="宋体" w:hAnsi="宋体" w:cs="宋体"/>
            <w:sz w:val="23"/>
            <w:szCs w:val="23"/>
            <w:lang w:val="en-US" w:eastAsia="zh-CN" w:bidi="ar-SA"/>
          </w:rPr>
          <w:t>民事</w:t>
        </w:r>
      </w:hyperlink>
      <w:r>
        <w:rPr>
          <w:rStyle w:val="fulltext-wrapfieldsulrow"/>
          <w:rFonts w:ascii="宋体" w:eastAsia="宋体" w:hAnsi="宋体" w:cs="宋体"/>
          <w:color w:val="999999"/>
          <w:sz w:val="23"/>
          <w:szCs w:val="23"/>
          <w:lang w:val="en-US" w:eastAsia="zh-CN" w:bidi="ar-SA"/>
        </w:rPr>
        <w:t xml:space="preserve">&gt; </w:t>
      </w:r>
      <w:hyperlink r:id="rId8" w:tgtFrame="_blank" w:history="1">
        <w:r>
          <w:rPr>
            <w:rStyle w:val="fulltext-wrapfieldsullia"/>
            <w:rFonts w:ascii="宋体" w:eastAsia="宋体" w:hAnsi="宋体" w:cs="宋体"/>
            <w:sz w:val="23"/>
            <w:szCs w:val="23"/>
            <w:lang w:val="en-US" w:eastAsia="zh-CN" w:bidi="ar-SA"/>
          </w:rPr>
          <w:t>合同、准合同纠纷</w:t>
        </w:r>
      </w:hyperlink>
      <w:hyperlink r:id="rId9" w:history="1">
        <w:bookmarkStart w:id="1" w:name="anyouzhu"/>
        <w:r>
          <w:rPr>
            <w:rStyle w:val="fulltext-wrapfieldsulliannotation"/>
            <w:rFonts w:ascii="宋体" w:eastAsia="宋体" w:hAnsi="宋体" w:cs="宋体"/>
            <w:lang w:val="en-US" w:eastAsia="zh-CN" w:bidi="ar-SA"/>
          </w:rPr>
          <w:t>注</w:t>
        </w:r>
      </w:hyperlink>
      <w:bookmarkEnd w:id="1"/>
      <w:r>
        <w:rPr>
          <w:rStyle w:val="fulltext-wrapfieldsulrow"/>
          <w:rFonts w:ascii="宋体" w:eastAsia="宋体" w:hAnsi="宋体" w:cs="宋体"/>
          <w:color w:val="999999"/>
          <w:sz w:val="23"/>
          <w:szCs w:val="23"/>
          <w:lang w:val="en-US" w:eastAsia="zh-CN" w:bidi="ar-SA"/>
        </w:rPr>
        <w:t xml:space="preserve">&gt; </w:t>
      </w:r>
      <w:hyperlink r:id="rId10" w:tgtFrame="_blank" w:history="1">
        <w:r>
          <w:rPr>
            <w:rStyle w:val="fulltext-wrapfieldsullia"/>
            <w:rFonts w:ascii="宋体" w:eastAsia="宋体" w:hAnsi="宋体" w:cs="宋体"/>
            <w:sz w:val="23"/>
            <w:szCs w:val="23"/>
            <w:lang w:val="en-US" w:eastAsia="zh-CN" w:bidi="ar-SA"/>
          </w:rPr>
          <w:t>合同纠纷</w:t>
        </w:r>
      </w:hyperlink>
      <w:r>
        <w:rPr>
          <w:rStyle w:val="fulltext-wrapfieldsulrow"/>
          <w:rFonts w:ascii="宋体" w:eastAsia="宋体" w:hAnsi="宋体" w:cs="宋体"/>
          <w:color w:val="999999"/>
          <w:sz w:val="23"/>
          <w:szCs w:val="23"/>
          <w:lang w:val="en-US" w:eastAsia="zh-CN" w:bidi="ar-SA"/>
        </w:rPr>
        <w:t xml:space="preserve">&gt; </w:t>
      </w:r>
      <w:hyperlink r:id="rId11" w:tgtFrame="_blank" w:history="1">
        <w:r>
          <w:rPr>
            <w:rStyle w:val="fulltext-wrapfieldsullia"/>
            <w:rFonts w:ascii="宋体" w:eastAsia="宋体" w:hAnsi="宋体" w:cs="宋体"/>
            <w:sz w:val="23"/>
            <w:szCs w:val="23"/>
            <w:lang w:val="en-US" w:eastAsia="zh-CN" w:bidi="ar-SA"/>
          </w:rPr>
          <w:t>买卖合同纠纷</w:t>
        </w:r>
      </w:hyperlink>
      <w:hyperlink r:id="rId12" w:history="1">
        <w:bookmarkStart w:id="2" w:name="category"/>
        <w:r>
          <w:rPr>
            <w:rStyle w:val="fulltext-wrapfieldsulliorganization"/>
            <w:rFonts w:ascii="宋体" w:eastAsia="宋体" w:hAnsi="宋体" w:cs="宋体"/>
            <w:sz w:val="23"/>
            <w:szCs w:val="23"/>
            <w:lang w:val="en-US" w:eastAsia="zh-CN" w:bidi="ar-SA"/>
          </w:rPr>
          <w:t>案由释义</w:t>
        </w:r>
      </w:hyperlink>
      <w:bookmarkEnd w:id="2"/>
    </w:p>
    <w:p w:rsidR="00775642" w:rsidRDefault="0077564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案</w:t>
      </w:r>
      <w:r>
        <w:rPr>
          <w:rStyle w:val="fulltext-wrapfieldsulliboxstrong"/>
          <w:rFonts w:ascii="宋体" w:eastAsia="宋体" w:hAnsi="宋体" w:cs="宋体"/>
          <w:sz w:val="23"/>
          <w:szCs w:val="23"/>
          <w:lang w:val="en-US" w:eastAsia="zh-CN" w:bidi="ar-SA"/>
        </w:rPr>
        <w:t xml:space="preserve"> </w:t>
      </w:r>
      <w:r>
        <w:rPr>
          <w:rStyle w:val="fulltext-wrapfieldsulliboxstrong"/>
          <w:rFonts w:ascii="宋体" w:eastAsia="宋体" w:hAnsi="宋体" w:cs="宋体"/>
          <w:sz w:val="23"/>
          <w:szCs w:val="23"/>
          <w:lang w:val="en-US" w:eastAsia="zh-CN" w:bidi="ar-SA"/>
        </w:rPr>
        <w:t>号：</w:t>
      </w:r>
      <w:r>
        <w:rPr>
          <w:rStyle w:val="fulltext-wrapfieldsulrow"/>
          <w:rFonts w:ascii="宋体" w:eastAsia="宋体" w:hAnsi="宋体" w:cs="宋体"/>
          <w:color w:val="999999"/>
          <w:sz w:val="23"/>
          <w:szCs w:val="23"/>
          <w:lang w:val="en-US" w:eastAsia="zh-CN" w:bidi="ar-SA"/>
        </w:rPr>
        <w:t>(2021)</w:t>
      </w:r>
      <w:r>
        <w:rPr>
          <w:rStyle w:val="fulltext-wrapfieldsulrow"/>
          <w:rFonts w:ascii="宋体" w:eastAsia="宋体" w:hAnsi="宋体" w:cs="宋体"/>
          <w:color w:val="999999"/>
          <w:sz w:val="23"/>
          <w:szCs w:val="23"/>
          <w:lang w:val="en-US" w:eastAsia="zh-CN" w:bidi="ar-SA"/>
        </w:rPr>
        <w:t>藏民辖终</w:t>
      </w:r>
      <w:r>
        <w:rPr>
          <w:rStyle w:val="fulltext-wrapfieldsulrow"/>
          <w:rFonts w:ascii="宋体" w:eastAsia="宋体" w:hAnsi="宋体" w:cs="宋体"/>
          <w:color w:val="999999"/>
          <w:sz w:val="23"/>
          <w:szCs w:val="23"/>
          <w:lang w:val="en-US" w:eastAsia="zh-CN" w:bidi="ar-SA"/>
        </w:rPr>
        <w:t>11</w:t>
      </w:r>
      <w:r>
        <w:rPr>
          <w:rStyle w:val="fulltext-wrapfieldsulrow"/>
          <w:rFonts w:ascii="宋体" w:eastAsia="宋体" w:hAnsi="宋体" w:cs="宋体"/>
          <w:color w:val="999999"/>
          <w:sz w:val="23"/>
          <w:szCs w:val="23"/>
          <w:lang w:val="en-US" w:eastAsia="zh-CN" w:bidi="ar-SA"/>
        </w:rPr>
        <w:t>号</w:t>
      </w:r>
    </w:p>
    <w:p w:rsidR="00775642" w:rsidRDefault="0077564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审理法官：</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洛桑</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    </w:t>
      </w:r>
      <w:r>
        <w:rPr>
          <w:rStyle w:val="fulltext-wrapfieldsullia"/>
          <w:rFonts w:ascii="宋体" w:eastAsia="宋体" w:hAnsi="宋体" w:cs="宋体"/>
          <w:sz w:val="23"/>
          <w:szCs w:val="23"/>
          <w:lang w:val="en-US" w:eastAsia="zh-CN" w:bidi="ar-SA"/>
        </w:rPr>
        <w:t>德吉</w:t>
      </w:r>
      <w:r>
        <w:rPr>
          <w:rStyle w:val="fulltext-wrapfieldsulli"/>
          <w:rFonts w:ascii="宋体" w:eastAsia="宋体" w:hAnsi="宋体" w:cs="宋体"/>
          <w:sz w:val="23"/>
          <w:szCs w:val="23"/>
          <w:lang w:val="en-US" w:eastAsia="zh-CN" w:bidi="ar-SA"/>
        </w:rPr>
        <w:t xml:space="preserve"> </w:t>
      </w:r>
      <w:r>
        <w:rPr>
          <w:rStyle w:val="fulltext-wrapfieldsullia"/>
          <w:rFonts w:ascii="宋体" w:eastAsia="宋体" w:hAnsi="宋体" w:cs="宋体"/>
          <w:sz w:val="23"/>
          <w:szCs w:val="23"/>
          <w:lang w:val="en-US" w:eastAsia="zh-CN" w:bidi="ar-SA"/>
        </w:rPr>
        <w:t>    </w:t>
      </w:r>
      <w:r>
        <w:rPr>
          <w:rStyle w:val="fulltext-wrapfieldsullia"/>
          <w:rFonts w:ascii="宋体" w:eastAsia="宋体" w:hAnsi="宋体" w:cs="宋体"/>
          <w:sz w:val="23"/>
          <w:szCs w:val="23"/>
          <w:lang w:val="en-US" w:eastAsia="zh-CN" w:bidi="ar-SA"/>
        </w:rPr>
        <w:t>熊红利</w:t>
      </w:r>
    </w:p>
    <w:p w:rsidR="00775642" w:rsidRDefault="0077564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文书类型：</w:t>
      </w:r>
      <w:r>
        <w:rPr>
          <w:rStyle w:val="fulltext-wrapfieldsulli"/>
          <w:rFonts w:ascii="宋体" w:eastAsia="宋体" w:hAnsi="宋体" w:cs="宋体"/>
          <w:sz w:val="23"/>
          <w:szCs w:val="23"/>
          <w:lang w:val="en-US" w:eastAsia="zh-CN" w:bidi="ar-SA"/>
        </w:rPr>
        <w:t xml:space="preserve"> </w:t>
      </w:r>
      <w:hyperlink r:id="rId13" w:tgtFrame="_blank" w:history="1">
        <w:r>
          <w:rPr>
            <w:rStyle w:val="fulltext-wrapfieldsullia"/>
            <w:rFonts w:ascii="宋体" w:eastAsia="宋体" w:hAnsi="宋体" w:cs="宋体"/>
            <w:sz w:val="23"/>
            <w:szCs w:val="23"/>
            <w:lang w:val="en-US" w:eastAsia="zh-CN" w:bidi="ar-SA"/>
          </w:rPr>
          <w:t>裁定书</w:t>
        </w:r>
      </w:hyperlink>
    </w:p>
    <w:p w:rsidR="00775642" w:rsidRDefault="0077564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裁定类型：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终结诉讼</w:t>
      </w:r>
      <w:r>
        <w:rPr>
          <w:rStyle w:val="fulltext-wrapfieldsulli"/>
          <w:rFonts w:ascii="宋体" w:eastAsia="宋体" w:hAnsi="宋体" w:cs="宋体"/>
          <w:sz w:val="23"/>
          <w:szCs w:val="23"/>
          <w:lang w:val="en-US" w:eastAsia="zh-CN" w:bidi="ar-SA"/>
        </w:rPr>
        <w:t xml:space="preserve"> </w:t>
      </w:r>
    </w:p>
    <w:p w:rsidR="00775642" w:rsidRDefault="0077564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公开类型：</w:t>
      </w:r>
      <w:r>
        <w:rPr>
          <w:rStyle w:val="fulltext-wrapfieldsulli"/>
          <w:rFonts w:ascii="宋体" w:eastAsia="宋体" w:hAnsi="宋体" w:cs="宋体"/>
          <w:sz w:val="23"/>
          <w:szCs w:val="23"/>
          <w:lang w:val="en-US" w:eastAsia="zh-CN" w:bidi="ar-SA"/>
        </w:rPr>
        <w:t xml:space="preserve"> </w:t>
      </w:r>
      <w:r>
        <w:rPr>
          <w:rStyle w:val="fulltext-wrapfieldsulli"/>
          <w:rFonts w:ascii="宋体" w:eastAsia="宋体" w:hAnsi="宋体" w:cs="宋体"/>
          <w:sz w:val="23"/>
          <w:szCs w:val="23"/>
          <w:lang w:val="en-US" w:eastAsia="zh-CN" w:bidi="ar-SA"/>
        </w:rPr>
        <w:t>文书公开</w:t>
      </w:r>
      <w:r>
        <w:rPr>
          <w:rStyle w:val="fulltext-wrapfieldsulli"/>
          <w:rFonts w:ascii="宋体" w:eastAsia="宋体" w:hAnsi="宋体" w:cs="宋体"/>
          <w:sz w:val="23"/>
          <w:szCs w:val="23"/>
          <w:lang w:val="en-US" w:eastAsia="zh-CN" w:bidi="ar-SA"/>
        </w:rPr>
        <w:t xml:space="preserve"> </w:t>
      </w:r>
    </w:p>
    <w:p w:rsidR="00775642" w:rsidRDefault="0077564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审理法院：</w:t>
      </w:r>
      <w:r>
        <w:rPr>
          <w:rStyle w:val="fulltext-wrapfieldsulrow"/>
          <w:rFonts w:ascii="宋体" w:eastAsia="宋体" w:hAnsi="宋体" w:cs="宋体"/>
          <w:color w:val="999999"/>
          <w:sz w:val="23"/>
          <w:szCs w:val="23"/>
          <w:lang w:val="en-US" w:eastAsia="zh-CN" w:bidi="ar-SA"/>
        </w:rPr>
        <w:t xml:space="preserve"> </w:t>
      </w:r>
      <w:hyperlink r:id="rId14" w:tgtFrame="_blank" w:history="1">
        <w:r>
          <w:rPr>
            <w:rStyle w:val="fulltext-wrapfieldsullia"/>
            <w:rFonts w:ascii="宋体" w:eastAsia="宋体" w:hAnsi="宋体" w:cs="宋体"/>
            <w:sz w:val="23"/>
            <w:szCs w:val="23"/>
            <w:lang w:val="en-US" w:eastAsia="zh-CN" w:bidi="ar-SA"/>
          </w:rPr>
          <w:t>西藏自治区高级人民法院</w:t>
        </w:r>
      </w:hyperlink>
    </w:p>
    <w:p w:rsidR="00775642" w:rsidRDefault="0077564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审结日期：</w:t>
      </w:r>
      <w:r>
        <w:rPr>
          <w:rStyle w:val="fulltext-wrapfieldsulli"/>
          <w:rFonts w:ascii="宋体" w:eastAsia="宋体" w:hAnsi="宋体" w:cs="宋体"/>
          <w:sz w:val="23"/>
          <w:szCs w:val="23"/>
          <w:lang w:val="en-US" w:eastAsia="zh-CN" w:bidi="ar-SA"/>
        </w:rPr>
        <w:t>2021.07.28</w:t>
      </w:r>
    </w:p>
    <w:p w:rsidR="00775642" w:rsidRDefault="0077564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案件类型：</w:t>
      </w:r>
      <w:r>
        <w:rPr>
          <w:rStyle w:val="fulltext-wrapfieldsulli"/>
          <w:rFonts w:ascii="宋体" w:eastAsia="宋体" w:hAnsi="宋体" w:cs="宋体"/>
          <w:sz w:val="23"/>
          <w:szCs w:val="23"/>
          <w:lang w:val="en-US" w:eastAsia="zh-CN" w:bidi="ar-SA"/>
        </w:rPr>
        <w:t xml:space="preserve"> </w:t>
      </w:r>
      <w:hyperlink r:id="rId15" w:tgtFrame="_blank" w:history="1">
        <w:r>
          <w:rPr>
            <w:rStyle w:val="fulltext-wrapfieldsullia"/>
            <w:rFonts w:ascii="宋体" w:eastAsia="宋体" w:hAnsi="宋体" w:cs="宋体"/>
            <w:sz w:val="23"/>
            <w:szCs w:val="23"/>
            <w:lang w:val="en-US" w:eastAsia="zh-CN" w:bidi="ar-SA"/>
          </w:rPr>
          <w:t>民事管辖上诉</w:t>
        </w:r>
      </w:hyperlink>
    </w:p>
    <w:p w:rsidR="00775642" w:rsidRDefault="00775642">
      <w:pPr>
        <w:pStyle w:val="fulltext-wrapfieldsullibox"/>
        <w:shd w:val="clear" w:color="auto" w:fill="F7F7F7"/>
        <w:spacing w:after="150" w:line="450" w:lineRule="atLeast"/>
        <w:ind w:left="450" w:right="450"/>
        <w:textAlignment w:val="baseline"/>
        <w:rPr>
          <w:rStyle w:val="fulltext-wrapfieldsulli"/>
          <w:rFonts w:ascii="宋体" w:eastAsia="宋体" w:hAnsi="宋体" w:cs="宋体"/>
          <w:sz w:val="23"/>
          <w:szCs w:val="23"/>
          <w:lang w:val="en-US" w:eastAsia="zh-CN" w:bidi="ar-SA"/>
        </w:rPr>
      </w:pPr>
      <w:r>
        <w:rPr>
          <w:rStyle w:val="fulltext-wrapfieldsulliboxstrong"/>
          <w:rFonts w:ascii="宋体" w:eastAsia="宋体" w:hAnsi="宋体" w:cs="宋体"/>
          <w:sz w:val="23"/>
          <w:szCs w:val="23"/>
          <w:lang w:val="en-US" w:eastAsia="zh-CN" w:bidi="ar-SA"/>
        </w:rPr>
        <w:t>审理程序：</w:t>
      </w:r>
      <w:r>
        <w:rPr>
          <w:rStyle w:val="fulltext-wrapfieldsulli"/>
          <w:rFonts w:ascii="宋体" w:eastAsia="宋体" w:hAnsi="宋体" w:cs="宋体"/>
          <w:sz w:val="23"/>
          <w:szCs w:val="23"/>
          <w:lang w:val="en-US" w:eastAsia="zh-CN" w:bidi="ar-SA"/>
        </w:rPr>
        <w:t xml:space="preserve"> </w:t>
      </w:r>
      <w:hyperlink r:id="rId16" w:tgtFrame="_blank" w:history="1">
        <w:r>
          <w:rPr>
            <w:rStyle w:val="fulltext-wrapfieldsullia"/>
            <w:rFonts w:ascii="宋体" w:eastAsia="宋体" w:hAnsi="宋体" w:cs="宋体"/>
            <w:sz w:val="23"/>
            <w:szCs w:val="23"/>
            <w:lang w:val="en-US" w:eastAsia="zh-CN" w:bidi="ar-SA"/>
          </w:rPr>
          <w:t>二审</w:t>
        </w:r>
      </w:hyperlink>
    </w:p>
    <w:p w:rsidR="00775642" w:rsidRDefault="0077564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权责关键词：</w:t>
      </w:r>
      <w:r>
        <w:rPr>
          <w:rStyle w:val="fulltext-wrapfieldsulrow"/>
          <w:rFonts w:ascii="宋体" w:eastAsia="宋体" w:hAnsi="宋体" w:cs="宋体"/>
          <w:color w:val="999999"/>
          <w:sz w:val="23"/>
          <w:szCs w:val="23"/>
          <w:lang w:val="en-US" w:eastAsia="zh-CN" w:bidi="ar-SA"/>
        </w:rPr>
        <w:t xml:space="preserve"> </w:t>
      </w:r>
      <w:hyperlink r:id="rId17" w:tgtFrame="_blank" w:history="1">
        <w:r>
          <w:rPr>
            <w:rStyle w:val="fulltext-wrapfieldsullia"/>
            <w:rFonts w:ascii="宋体" w:eastAsia="宋体" w:hAnsi="宋体" w:cs="宋体"/>
            <w:sz w:val="23"/>
            <w:szCs w:val="23"/>
            <w:lang w:val="en-US" w:eastAsia="zh-CN" w:bidi="ar-SA"/>
          </w:rPr>
          <w:t>撤销</w:t>
        </w:r>
      </w:hyperlink>
      <w:r>
        <w:rPr>
          <w:rStyle w:val="fulltext-wrapfieldsulrow"/>
          <w:rFonts w:ascii="宋体" w:eastAsia="宋体" w:hAnsi="宋体" w:cs="宋体"/>
          <w:color w:val="999999"/>
          <w:sz w:val="23"/>
          <w:szCs w:val="23"/>
          <w:lang w:val="en-US" w:eastAsia="zh-CN" w:bidi="ar-SA"/>
        </w:rPr>
        <w:t xml:space="preserve"> </w:t>
      </w:r>
      <w:hyperlink r:id="rId18" w:tgtFrame="_blank" w:history="1">
        <w:r>
          <w:rPr>
            <w:rStyle w:val="fulltext-wrapfieldsullia"/>
            <w:rFonts w:ascii="宋体" w:eastAsia="宋体" w:hAnsi="宋体" w:cs="宋体"/>
            <w:sz w:val="23"/>
            <w:szCs w:val="23"/>
            <w:lang w:val="en-US" w:eastAsia="zh-CN" w:bidi="ar-SA"/>
          </w:rPr>
          <w:t>合同</w:t>
        </w:r>
      </w:hyperlink>
      <w:r>
        <w:rPr>
          <w:rStyle w:val="fulltext-wrapfieldsulrow"/>
          <w:rFonts w:ascii="宋体" w:eastAsia="宋体" w:hAnsi="宋体" w:cs="宋体"/>
          <w:color w:val="999999"/>
          <w:sz w:val="23"/>
          <w:szCs w:val="23"/>
          <w:lang w:val="en-US" w:eastAsia="zh-CN" w:bidi="ar-SA"/>
        </w:rPr>
        <w:t xml:space="preserve"> </w:t>
      </w:r>
      <w:hyperlink r:id="rId19" w:tgtFrame="_blank" w:history="1">
        <w:r>
          <w:rPr>
            <w:rStyle w:val="fulltext-wrapfieldsullia"/>
            <w:rFonts w:ascii="宋体" w:eastAsia="宋体" w:hAnsi="宋体" w:cs="宋体"/>
            <w:sz w:val="23"/>
            <w:szCs w:val="23"/>
            <w:lang w:val="en-US" w:eastAsia="zh-CN" w:bidi="ar-SA"/>
          </w:rPr>
          <w:t>级别管辖</w:t>
        </w:r>
      </w:hyperlink>
      <w:r>
        <w:rPr>
          <w:rStyle w:val="fulltext-wrapfieldsulrow"/>
          <w:rFonts w:ascii="宋体" w:eastAsia="宋体" w:hAnsi="宋体" w:cs="宋体"/>
          <w:color w:val="999999"/>
          <w:sz w:val="23"/>
          <w:szCs w:val="23"/>
          <w:lang w:val="en-US" w:eastAsia="zh-CN" w:bidi="ar-SA"/>
        </w:rPr>
        <w:t xml:space="preserve"> </w:t>
      </w:r>
      <w:hyperlink r:id="rId20" w:tgtFrame="_blank" w:history="1">
        <w:r>
          <w:rPr>
            <w:rStyle w:val="fulltext-wrapfieldsullia"/>
            <w:rFonts w:ascii="宋体" w:eastAsia="宋体" w:hAnsi="宋体" w:cs="宋体"/>
            <w:sz w:val="23"/>
            <w:szCs w:val="23"/>
            <w:lang w:val="en-US" w:eastAsia="zh-CN" w:bidi="ar-SA"/>
          </w:rPr>
          <w:t>诉讼标的</w:t>
        </w:r>
      </w:hyperlink>
    </w:p>
    <w:p w:rsidR="00775642" w:rsidRDefault="00775642">
      <w:pPr>
        <w:pStyle w:val="fulltext-wrapfieldsullibox"/>
        <w:shd w:val="clear" w:color="auto" w:fill="F7F7F7"/>
        <w:spacing w:after="150" w:line="450" w:lineRule="atLeast"/>
        <w:ind w:left="450" w:right="450"/>
        <w:textAlignment w:val="baseline"/>
        <w:rPr>
          <w:rStyle w:val="fulltext-wrapfieldsulrow"/>
          <w:rFonts w:ascii="宋体" w:eastAsia="宋体" w:hAnsi="宋体" w:cs="宋体"/>
          <w:color w:val="999999"/>
          <w:sz w:val="23"/>
          <w:szCs w:val="23"/>
          <w:lang w:val="en-US" w:eastAsia="zh-CN" w:bidi="ar-SA"/>
        </w:rPr>
      </w:pPr>
      <w:r>
        <w:rPr>
          <w:rStyle w:val="fulltext-wrapfieldsulliboxstrong"/>
          <w:rFonts w:ascii="宋体" w:eastAsia="宋体" w:hAnsi="宋体" w:cs="宋体"/>
          <w:sz w:val="23"/>
          <w:szCs w:val="23"/>
          <w:lang w:val="en-US" w:eastAsia="zh-CN" w:bidi="ar-SA"/>
        </w:rPr>
        <w:t>相关企业：</w:t>
      </w:r>
      <w:hyperlink r:id="rId21" w:history="1">
        <w:r>
          <w:rPr>
            <w:rStyle w:val="fulltext-wrapfieldsullia"/>
            <w:rFonts w:ascii="宋体" w:eastAsia="宋体" w:hAnsi="宋体" w:cs="宋体"/>
            <w:sz w:val="23"/>
            <w:szCs w:val="23"/>
            <w:lang w:val="en-US" w:eastAsia="zh-CN" w:bidi="ar-SA"/>
          </w:rPr>
          <w:t>福瑞珂食品设备（济宁）有限公司</w:t>
        </w:r>
      </w:hyperlink>
    </w:p>
    <w:p w:rsidR="00775642" w:rsidRDefault="00775642">
      <w:pPr>
        <w:shd w:val="clear" w:color="auto" w:fill="F7F7F7"/>
        <w:ind w:left="375" w:right="375"/>
        <w:rPr>
          <w:rFonts w:ascii="Arial" w:eastAsia="Arial" w:hAnsi="Arial" w:cs="Arial"/>
          <w:spacing w:val="-180"/>
          <w:sz w:val="23"/>
          <w:szCs w:val="23"/>
          <w:lang w:val="en-US" w:eastAsia="zh-CN" w:bidi="ar-SA"/>
        </w:rPr>
      </w:pPr>
      <w:r>
        <w:rPr>
          <w:rFonts w:ascii="Arial" w:eastAsia="Arial" w:hAnsi="Arial" w:cs="Arial"/>
          <w:spacing w:val="-180"/>
          <w:sz w:val="23"/>
          <w:szCs w:val="23"/>
          <w:lang w:val="en-US" w:eastAsia="zh-CN" w:bidi="ar-SA"/>
        </w:rPr>
        <w:t xml:space="preserve">// </w:t>
      </w:r>
    </w:p>
    <w:p w:rsidR="00775642" w:rsidRDefault="00775642">
      <w:pPr>
        <w:ind w:left="375" w:right="375"/>
        <w:rPr>
          <w:rFonts w:ascii="Arial" w:eastAsia="Arial" w:hAnsi="Arial" w:cs="Arial"/>
          <w:lang w:val="en-US" w:eastAsia="zh-CN" w:bidi="ar-SA"/>
        </w:rPr>
      </w:pPr>
      <w:r>
        <w:rPr>
          <w:rFonts w:ascii="Arial" w:eastAsia="Arial" w:hAnsi="Arial" w:cs="Arial"/>
          <w:lang w:val="en-US" w:eastAsia="zh-CN" w:bidi="ar-SA"/>
        </w:rPr>
        <w:br/>
      </w:r>
    </w:p>
    <w:p w:rsidR="00775642" w:rsidRDefault="00775642">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福瑞珂食品设备（济宁）有限公司、西藏高原蓝农业发展股份有限公司买卖合同纠纷刑事管辖管辖裁定书</w:t>
      </w:r>
    </w:p>
    <w:p w:rsidR="00775642" w:rsidRDefault="00775642">
      <w:pPr>
        <w:pStyle w:val="div"/>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西藏自治区高级人民法院</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民事裁定书</w:t>
      </w:r>
    </w:p>
    <w:p w:rsidR="00775642" w:rsidRDefault="00775642">
      <w:pPr>
        <w:pStyle w:val="div"/>
        <w:spacing w:line="600" w:lineRule="atLeast"/>
        <w:ind w:left="375" w:right="375"/>
        <w:jc w:val="right"/>
        <w:rPr>
          <w:rFonts w:ascii="宋体" w:eastAsia="宋体" w:hAnsi="宋体" w:cs="宋体"/>
          <w:color w:val="000000"/>
          <w:sz w:val="27"/>
          <w:szCs w:val="27"/>
          <w:lang w:val="en-US" w:eastAsia="zh-CN" w:bidi="ar-SA"/>
        </w:rPr>
      </w:pP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藏民辖终</w:t>
      </w:r>
      <w:r>
        <w:rPr>
          <w:rStyle w:val="span"/>
          <w:rFonts w:ascii="宋体" w:eastAsia="宋体" w:hAnsi="宋体" w:cs="宋体"/>
          <w:color w:val="000000"/>
          <w:sz w:val="27"/>
          <w:szCs w:val="27"/>
          <w:lang w:val="en-US" w:eastAsia="zh-CN" w:bidi="ar-SA"/>
        </w:rPr>
        <w:t>11</w:t>
      </w:r>
      <w:r>
        <w:rPr>
          <w:rStyle w:val="span"/>
          <w:rFonts w:ascii="宋体" w:eastAsia="宋体" w:hAnsi="宋体" w:cs="宋体"/>
          <w:color w:val="000000"/>
          <w:sz w:val="27"/>
          <w:szCs w:val="27"/>
          <w:lang w:val="en-US" w:eastAsia="zh-CN" w:bidi="ar-SA"/>
        </w:rPr>
        <w:t>号</w:t>
      </w:r>
    </w:p>
    <w:p w:rsidR="00775642" w:rsidRDefault="00775642">
      <w:pPr>
        <w:spacing w:line="600" w:lineRule="atLeast"/>
        <w:ind w:left="375" w:right="375"/>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当事人</w:t>
      </w:r>
      <w:bookmarkStart w:id="3" w:name="anchor-0"/>
      <w:bookmarkEnd w:id="3"/>
      <w:r>
        <w:rPr>
          <w:rFonts w:ascii="宋体" w:eastAsia="宋体" w:hAnsi="宋体" w:cs="宋体"/>
          <w:color w:val="000000"/>
          <w:sz w:val="27"/>
          <w:szCs w:val="27"/>
          <w:lang w:val="en-US" w:eastAsia="zh-CN" w:bidi="ar-SA"/>
        </w:rPr>
        <w:t xml:space="preserve">　　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原审被告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：福瑞珂食品设备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济宁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有限公司，住所地山东省</w:t>
      </w:r>
      <w:r>
        <w:rPr>
          <w:rFonts w:ascii="宋体" w:eastAsia="宋体" w:hAnsi="宋体" w:cs="宋体"/>
          <w:color w:val="000000"/>
          <w:sz w:val="27"/>
          <w:szCs w:val="27"/>
          <w:lang w:val="en-US" w:eastAsia="zh-CN" w:bidi="ar-SA"/>
        </w:rPr>
        <w:lastRenderedPageBreak/>
        <w:t>济宁市。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w:t>
      </w:r>
      <w:r>
        <w:rPr>
          <w:rFonts w:ascii="宋体" w:eastAsia="宋体" w:hAnsi="宋体" w:cs="宋体"/>
          <w:color w:val="000000"/>
          <w:sz w:val="27"/>
          <w:szCs w:val="27"/>
          <w:lang w:val="en-US" w:eastAsia="zh-CN" w:bidi="ar-SA"/>
        </w:rPr>
        <w:t>KurtgodskAndersen</w:t>
      </w:r>
      <w:r>
        <w:rPr>
          <w:rFonts w:ascii="宋体" w:eastAsia="宋体" w:hAnsi="宋体" w:cs="宋体"/>
          <w:color w:val="000000"/>
          <w:sz w:val="27"/>
          <w:szCs w:val="27"/>
          <w:lang w:val="en-US" w:eastAsia="zh-CN" w:bidi="ar-SA"/>
        </w:rPr>
        <w:t>，该公司董事长。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被上诉人</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原审原告</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：西藏高原蓝农业发展股份有限公司，住所地西藏自治区拉萨市。</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法定代表人：刘晓玲，该公司董事长。</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委托诉讼代理人：唐建波，西藏易讯律师事务所律师。</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委托诉讼代理人：朱小宇，西藏易讯律师事务所律师。</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审理经过</w:t>
      </w:r>
      <w:bookmarkStart w:id="4" w:name="anchor-1"/>
      <w:bookmarkEnd w:id="4"/>
      <w:r>
        <w:rPr>
          <w:rFonts w:ascii="宋体" w:eastAsia="宋体" w:hAnsi="宋体" w:cs="宋体"/>
          <w:color w:val="000000"/>
          <w:sz w:val="27"/>
          <w:szCs w:val="27"/>
          <w:lang w:val="en-US" w:eastAsia="zh-CN" w:bidi="ar-SA"/>
        </w:rPr>
        <w:t xml:space="preserve">　　上诉人福瑞珂食品设备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济宁</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以下简称福瑞珂公司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因与被上诉人西藏高原蓝农业发展股份有限公司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以下简称高原蓝公司</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买卖合同纠纷一案，不服那曲市中级人民法院</w:t>
      </w: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藏</w:t>
      </w:r>
      <w:r>
        <w:rPr>
          <w:rStyle w:val="span"/>
          <w:rFonts w:ascii="宋体" w:eastAsia="宋体" w:hAnsi="宋体" w:cs="宋体"/>
          <w:color w:val="000000"/>
          <w:sz w:val="27"/>
          <w:szCs w:val="27"/>
          <w:lang w:val="en-US" w:eastAsia="zh-CN" w:bidi="ar-SA"/>
        </w:rPr>
        <w:t>06</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22</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民事裁定，向本院提起上诉。</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二审上诉人诉称</w:t>
      </w:r>
      <w:bookmarkStart w:id="5" w:name="anchor-3"/>
      <w:bookmarkEnd w:id="5"/>
      <w:r>
        <w:rPr>
          <w:rFonts w:ascii="宋体" w:eastAsia="宋体" w:hAnsi="宋体" w:cs="宋体"/>
          <w:color w:val="000000"/>
          <w:sz w:val="27"/>
          <w:szCs w:val="27"/>
          <w:lang w:val="en-US" w:eastAsia="zh-CN" w:bidi="ar-SA"/>
        </w:rPr>
        <w:t xml:space="preserve">　　福瑞珂公司上诉称，请求依法撤销那曲市中级人民法院</w:t>
      </w:r>
      <w:r>
        <w:rPr>
          <w:rStyle w:val="span"/>
          <w:rFonts w:ascii="宋体" w:eastAsia="宋体" w:hAnsi="宋体" w:cs="宋体"/>
          <w:color w:val="000000"/>
          <w:sz w:val="27"/>
          <w:szCs w:val="27"/>
          <w:lang w:val="en-US" w:eastAsia="zh-CN" w:bidi="ar-SA"/>
        </w:rPr>
        <w:t>(2021)</w:t>
      </w:r>
      <w:r>
        <w:rPr>
          <w:rStyle w:val="span"/>
          <w:rFonts w:ascii="宋体" w:eastAsia="宋体" w:hAnsi="宋体" w:cs="宋体"/>
          <w:color w:val="000000"/>
          <w:sz w:val="27"/>
          <w:szCs w:val="27"/>
          <w:lang w:val="en-US" w:eastAsia="zh-CN" w:bidi="ar-SA"/>
        </w:rPr>
        <w:t>藏</w:t>
      </w:r>
      <w:r>
        <w:rPr>
          <w:rStyle w:val="span"/>
          <w:rFonts w:ascii="宋体" w:eastAsia="宋体" w:hAnsi="宋体" w:cs="宋体"/>
          <w:color w:val="000000"/>
          <w:sz w:val="27"/>
          <w:szCs w:val="27"/>
          <w:lang w:val="en-US" w:eastAsia="zh-CN" w:bidi="ar-SA"/>
        </w:rPr>
        <w:t>06</w:t>
      </w:r>
      <w:r>
        <w:rPr>
          <w:rStyle w:val="span"/>
          <w:rFonts w:ascii="宋体" w:eastAsia="宋体" w:hAnsi="宋体" w:cs="宋体"/>
          <w:color w:val="000000"/>
          <w:sz w:val="27"/>
          <w:szCs w:val="27"/>
          <w:lang w:val="en-US" w:eastAsia="zh-CN" w:bidi="ar-SA"/>
        </w:rPr>
        <w:t>民初</w:t>
      </w:r>
      <w:r>
        <w:rPr>
          <w:rStyle w:val="span"/>
          <w:rFonts w:ascii="宋体" w:eastAsia="宋体" w:hAnsi="宋体" w:cs="宋体"/>
          <w:color w:val="000000"/>
          <w:sz w:val="27"/>
          <w:szCs w:val="27"/>
          <w:lang w:val="en-US" w:eastAsia="zh-CN" w:bidi="ar-SA"/>
        </w:rPr>
        <w:t>22</w:t>
      </w:r>
      <w:r>
        <w:rPr>
          <w:rStyle w:val="span"/>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民事裁定，将本案移送拉萨市中级人民法院处理，案件申请费、诉讼费由被上诉人承担。</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一审法院查明</w:t>
      </w:r>
      <w:bookmarkStart w:id="6" w:name="anchor-4"/>
      <w:bookmarkEnd w:id="6"/>
      <w:r>
        <w:rPr>
          <w:rFonts w:ascii="宋体" w:eastAsia="宋体" w:hAnsi="宋体" w:cs="宋体"/>
          <w:color w:val="000000"/>
          <w:sz w:val="27"/>
          <w:szCs w:val="27"/>
          <w:lang w:val="en-US" w:eastAsia="zh-CN" w:bidi="ar-SA"/>
        </w:rPr>
        <w:t xml:space="preserve">　　事实和理由：一审法院裁定认定事实和适用法律错误。一审法院裁定认为上诉人依照中华人民共和国法律在中华人民共和国境内成立，依法为中国法人，故按照《最高人民法院关于适用</w:t>
      </w:r>
      <w:hyperlink r:id="rId22" w:history="1">
        <w:r>
          <w:rPr>
            <w:rStyle w:val="fulltext-wrapfulltexta"/>
            <w:rFonts w:ascii="宋体" w:eastAsia="宋体" w:hAnsi="宋体" w:cs="宋体"/>
            <w:sz w:val="27"/>
            <w:szCs w:val="27"/>
            <w:lang w:val="en-US" w:eastAsia="zh-CN" w:bidi="ar-SA"/>
          </w:rPr>
          <w:t>〈中华人民共和国民事诉讼法〉的解释</w:t>
        </w:r>
      </w:hyperlink>
      <w:r>
        <w:rPr>
          <w:rFonts w:ascii="宋体" w:eastAsia="宋体" w:hAnsi="宋体" w:cs="宋体"/>
          <w:color w:val="000000"/>
          <w:sz w:val="27"/>
          <w:szCs w:val="27"/>
          <w:lang w:val="en-US" w:eastAsia="zh-CN" w:bidi="ar-SA"/>
        </w:rPr>
        <w:t>》第</w:t>
      </w:r>
      <w:hyperlink r:id="rId23" w:anchor="tiao_522" w:history="1">
        <w:r>
          <w:rPr>
            <w:rStyle w:val="fulltext-wrapfulltexta"/>
            <w:rFonts w:ascii="宋体" w:eastAsia="宋体" w:hAnsi="宋体" w:cs="宋体"/>
            <w:sz w:val="27"/>
            <w:szCs w:val="27"/>
            <w:lang w:val="en-US" w:eastAsia="zh-CN" w:bidi="ar-SA"/>
          </w:rPr>
          <w:t>五百二十二条</w:t>
        </w:r>
      </w:hyperlink>
      <w:r>
        <w:rPr>
          <w:rFonts w:ascii="宋体" w:eastAsia="宋体" w:hAnsi="宋体" w:cs="宋体"/>
          <w:color w:val="000000"/>
          <w:sz w:val="27"/>
          <w:szCs w:val="27"/>
          <w:lang w:val="en-US" w:eastAsia="zh-CN" w:bidi="ar-SA"/>
        </w:rPr>
        <w:t>、《</w:t>
      </w:r>
      <w:hyperlink r:id="rId24" w:history="1">
        <w:r>
          <w:rPr>
            <w:rStyle w:val="fulltext-wrapfulltexta"/>
            <w:rFonts w:ascii="宋体" w:eastAsia="宋体" w:hAnsi="宋体" w:cs="宋体"/>
            <w:sz w:val="27"/>
            <w:szCs w:val="27"/>
            <w:lang w:val="en-US" w:eastAsia="zh-CN" w:bidi="ar-SA"/>
          </w:rPr>
          <w:t>公司法</w:t>
        </w:r>
      </w:hyperlink>
      <w:r>
        <w:rPr>
          <w:rFonts w:ascii="宋体" w:eastAsia="宋体" w:hAnsi="宋体" w:cs="宋体"/>
          <w:color w:val="000000"/>
          <w:sz w:val="27"/>
          <w:szCs w:val="27"/>
          <w:lang w:val="en-US" w:eastAsia="zh-CN" w:bidi="ar-SA"/>
        </w:rPr>
        <w:t>》第</w:t>
      </w:r>
      <w:hyperlink r:id="rId25" w:anchor="tiao_191" w:history="1">
        <w:r>
          <w:rPr>
            <w:rStyle w:val="fulltext-wrapfulltexta"/>
            <w:rFonts w:ascii="宋体" w:eastAsia="宋体" w:hAnsi="宋体" w:cs="宋体"/>
            <w:sz w:val="27"/>
            <w:szCs w:val="27"/>
            <w:lang w:val="en-US" w:eastAsia="zh-CN" w:bidi="ar-SA"/>
          </w:rPr>
          <w:t>一百九十一条</w:t>
        </w:r>
      </w:hyperlink>
      <w:r>
        <w:rPr>
          <w:rFonts w:ascii="宋体" w:eastAsia="宋体" w:hAnsi="宋体" w:cs="宋体"/>
          <w:color w:val="000000"/>
          <w:sz w:val="27"/>
          <w:szCs w:val="27"/>
          <w:lang w:val="en-US" w:eastAsia="zh-CN" w:bidi="ar-SA"/>
        </w:rPr>
        <w:t>规定，本案不属于涉外民事案件。上述认定错误。上诉人为外商独资企业，根据《</w:t>
      </w:r>
      <w:hyperlink r:id="rId26" w:history="1">
        <w:r>
          <w:rPr>
            <w:rStyle w:val="fulltext-wrapfulltexta"/>
            <w:rFonts w:ascii="宋体" w:eastAsia="宋体" w:hAnsi="宋体" w:cs="宋体"/>
            <w:sz w:val="27"/>
            <w:szCs w:val="27"/>
            <w:lang w:val="en-US" w:eastAsia="zh-CN" w:bidi="ar-SA"/>
          </w:rPr>
          <w:t>最高人民法院关于明确第一审涉外民商事案件级别管辖标准以及归口办理有关问题的通知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359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27"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第</w:t>
      </w:r>
      <w:hyperlink r:id="rId28" w:anchor="tiao_2_kuan_1_xiang_4" w:history="1">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四</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项</w:t>
        </w:r>
      </w:hyperlink>
      <w:r>
        <w:rPr>
          <w:rFonts w:ascii="宋体" w:eastAsia="宋体" w:hAnsi="宋体" w:cs="宋体"/>
          <w:color w:val="000000"/>
          <w:sz w:val="27"/>
          <w:szCs w:val="27"/>
          <w:lang w:val="en-US" w:eastAsia="zh-CN" w:bidi="ar-SA"/>
        </w:rPr>
        <w:t>的规定，一方当事人为外商独资企业的民商案件由涉外审判庭或专门合议庭审理，上诉人作为外商独资企业涉及的民商事案件为具有涉外因素的案件。《最高人民法院关于适用</w:t>
      </w:r>
      <w:hyperlink r:id="rId29" w:history="1">
        <w:r>
          <w:rPr>
            <w:rStyle w:val="fulltext-wrapfulltexta"/>
            <w:rFonts w:ascii="宋体" w:eastAsia="宋体" w:hAnsi="宋体" w:cs="宋体"/>
            <w:sz w:val="27"/>
            <w:szCs w:val="27"/>
            <w:lang w:val="en-US" w:eastAsia="zh-CN" w:bidi="ar-SA"/>
          </w:rPr>
          <w:t>〈中华人民共和国民事诉讼法〉的解释</w:t>
        </w:r>
      </w:hyperlink>
      <w:r>
        <w:rPr>
          <w:rFonts w:ascii="宋体" w:eastAsia="宋体" w:hAnsi="宋体" w:cs="宋体"/>
          <w:color w:val="000000"/>
          <w:sz w:val="27"/>
          <w:szCs w:val="27"/>
          <w:lang w:val="en-US" w:eastAsia="zh-CN" w:bidi="ar-SA"/>
        </w:rPr>
        <w:t>》第</w:t>
      </w:r>
      <w:hyperlink r:id="rId30" w:anchor="tiao_522" w:history="1">
        <w:r>
          <w:rPr>
            <w:rStyle w:val="fulltext-wrapfulltexta"/>
            <w:rFonts w:ascii="宋体" w:eastAsia="宋体" w:hAnsi="宋体" w:cs="宋体"/>
            <w:sz w:val="27"/>
            <w:szCs w:val="27"/>
            <w:lang w:val="en-US" w:eastAsia="zh-CN" w:bidi="ar-SA"/>
          </w:rPr>
          <w:t>五</w:t>
        </w:r>
        <w:r>
          <w:rPr>
            <w:rStyle w:val="fulltext-wrapfulltexta"/>
            <w:rFonts w:ascii="宋体" w:eastAsia="宋体" w:hAnsi="宋体" w:cs="宋体"/>
            <w:sz w:val="27"/>
            <w:szCs w:val="27"/>
            <w:lang w:val="en-US" w:eastAsia="zh-CN" w:bidi="ar-SA"/>
          </w:rPr>
          <w:lastRenderedPageBreak/>
          <w:t>百二十二条</w:t>
        </w:r>
      </w:hyperlink>
      <w:r>
        <w:rPr>
          <w:rFonts w:ascii="宋体" w:eastAsia="宋体" w:hAnsi="宋体" w:cs="宋体"/>
          <w:color w:val="000000"/>
          <w:sz w:val="27"/>
          <w:szCs w:val="27"/>
          <w:lang w:val="en-US" w:eastAsia="zh-CN" w:bidi="ar-SA"/>
        </w:rPr>
        <w:t>第</w:t>
      </w:r>
      <w:hyperlink r:id="rId31" w:anchor="tiao_522_kuan_1_xiang_5" w:history="1">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五</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项</w:t>
        </w:r>
      </w:hyperlink>
      <w:r>
        <w:rPr>
          <w:rFonts w:ascii="宋体" w:eastAsia="宋体" w:hAnsi="宋体" w:cs="宋体"/>
          <w:color w:val="000000"/>
          <w:sz w:val="27"/>
          <w:szCs w:val="27"/>
          <w:lang w:val="en-US" w:eastAsia="zh-CN" w:bidi="ar-SA"/>
        </w:rPr>
        <w:t>规定，有可以认定为涉外民事案件的其他情形的，人民法院可以认定为涉外民事案件。根据上述法律规定，虽然上诉人为中国法人，但因其是外国法人独资公司，所涉及的民商事案件属于涉外民商事案件。《</w:t>
      </w:r>
      <w:hyperlink r:id="rId32" w:history="1">
        <w:r>
          <w:rPr>
            <w:rStyle w:val="fulltext-wrapfulltexta"/>
            <w:rFonts w:ascii="宋体" w:eastAsia="宋体" w:hAnsi="宋体" w:cs="宋体"/>
            <w:sz w:val="27"/>
            <w:szCs w:val="27"/>
            <w:lang w:val="en-US" w:eastAsia="zh-CN" w:bidi="ar-SA"/>
          </w:rPr>
          <w:t>最高人民法院关于明确第一审涉外民商事案件级别管辖标准以及归口办理有关问题的通知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359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33" w:anchor="tiao_1" w:history="1">
        <w:r>
          <w:rPr>
            <w:rStyle w:val="fulltext-wrapfulltexta"/>
            <w:rFonts w:ascii="宋体" w:eastAsia="宋体" w:hAnsi="宋体" w:cs="宋体"/>
            <w:sz w:val="27"/>
            <w:szCs w:val="27"/>
            <w:lang w:val="en-US" w:eastAsia="zh-CN" w:bidi="ar-SA"/>
          </w:rPr>
          <w:t>一条</w:t>
        </w:r>
      </w:hyperlink>
      <w:r>
        <w:rPr>
          <w:rFonts w:ascii="宋体" w:eastAsia="宋体" w:hAnsi="宋体" w:cs="宋体"/>
          <w:color w:val="000000"/>
          <w:sz w:val="27"/>
          <w:szCs w:val="27"/>
          <w:lang w:val="en-US" w:eastAsia="zh-CN" w:bidi="ar-SA"/>
        </w:rPr>
        <w:t>规定，西藏省会城市、计划单列市中级人民法院，管辖诉讼标的额人民币</w:t>
      </w:r>
      <w:r>
        <w:rPr>
          <w:rFonts w:ascii="宋体" w:eastAsia="宋体" w:hAnsi="宋体" w:cs="宋体"/>
          <w:color w:val="000000"/>
          <w:sz w:val="27"/>
          <w:szCs w:val="27"/>
          <w:lang w:val="en-US" w:eastAsia="zh-CN" w:bidi="ar-SA"/>
        </w:rPr>
        <w:t>200</w:t>
      </w:r>
      <w:r>
        <w:rPr>
          <w:rFonts w:ascii="宋体" w:eastAsia="宋体" w:hAnsi="宋体" w:cs="宋体"/>
          <w:color w:val="000000"/>
          <w:sz w:val="27"/>
          <w:szCs w:val="27"/>
          <w:lang w:val="en-US" w:eastAsia="zh-CN" w:bidi="ar-SA"/>
        </w:rPr>
        <w:t>万元以上的第一审涉外民商事案件，其他中级人民法院管辖申诉标的额人民币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万元以上的第一审涉外民商事案件。因本案诉讼标的额为</w:t>
      </w:r>
      <w:r>
        <w:rPr>
          <w:rFonts w:ascii="宋体" w:eastAsia="宋体" w:hAnsi="宋体" w:cs="宋体"/>
          <w:color w:val="000000"/>
          <w:sz w:val="27"/>
          <w:szCs w:val="27"/>
          <w:lang w:val="en-US" w:eastAsia="zh-CN" w:bidi="ar-SA"/>
        </w:rPr>
        <w:t>10</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955</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164</w:t>
      </w:r>
      <w:r>
        <w:rPr>
          <w:rFonts w:ascii="宋体" w:eastAsia="宋体" w:hAnsi="宋体" w:cs="宋体"/>
          <w:color w:val="000000"/>
          <w:sz w:val="27"/>
          <w:szCs w:val="27"/>
          <w:lang w:val="en-US" w:eastAsia="zh-CN" w:bidi="ar-SA"/>
        </w:rPr>
        <w:t>元，应由西藏省会城市或计划单列市中级人民法院管辖，而那曲市不是计划单列市，故此，那曲市中级人民法院对本案没有管辖权。</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高原蓝公司未答辩。</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本院认为</w:t>
      </w:r>
      <w:bookmarkStart w:id="7" w:name="anchor-5"/>
      <w:bookmarkEnd w:id="7"/>
      <w:r>
        <w:rPr>
          <w:rFonts w:ascii="宋体" w:eastAsia="宋体" w:hAnsi="宋体" w:cs="宋体"/>
          <w:color w:val="000000"/>
          <w:sz w:val="27"/>
          <w:szCs w:val="27"/>
          <w:lang w:val="en-US" w:eastAsia="zh-CN" w:bidi="ar-SA"/>
        </w:rPr>
        <w:t xml:space="preserve">　　本院认为，根据《中华人民共和国</w:t>
      </w:r>
      <w:bookmarkStart w:id="8" w:name="anchor-7"/>
      <w:bookmarkEnd w:id="8"/>
      <w:r>
        <w:rPr>
          <w:rFonts w:ascii="宋体" w:eastAsia="宋体" w:hAnsi="宋体" w:cs="宋体"/>
          <w:color w:val="000000"/>
          <w:sz w:val="27"/>
          <w:szCs w:val="27"/>
          <w:lang w:val="en-US" w:eastAsia="zh-CN" w:bidi="ar-SA"/>
        </w:rPr>
        <w:fldChar w:fldCharType="begin"/>
      </w:r>
      <w:r>
        <w:rPr>
          <w:rFonts w:ascii="宋体" w:eastAsia="宋体" w:hAnsi="宋体" w:cs="宋体"/>
          <w:color w:val="000000"/>
          <w:sz w:val="27"/>
          <w:szCs w:val="27"/>
          <w:lang w:val="en-US" w:eastAsia="zh-CN" w:bidi="ar-SA"/>
        </w:rPr>
        <w:instrText xml:space="preserve"> HYPERLINK "https://www.pkulaw.com/chl/d33df017c784876fbdfb.html?way=textSlc" </w:instrText>
      </w:r>
      <w:r>
        <w:rPr>
          <w:rFonts w:ascii="宋体" w:eastAsia="宋体" w:hAnsi="宋体" w:cs="宋体"/>
          <w:color w:val="000000"/>
          <w:sz w:val="27"/>
          <w:szCs w:val="27"/>
          <w:lang w:val="en-US" w:eastAsia="zh-CN" w:bidi="ar-SA"/>
        </w:rPr>
      </w:r>
      <w:r>
        <w:rPr>
          <w:rFonts w:ascii="宋体" w:eastAsia="宋体" w:hAnsi="宋体" w:cs="宋体"/>
          <w:color w:val="000000"/>
          <w:sz w:val="27"/>
          <w:szCs w:val="27"/>
          <w:lang w:val="en-US" w:eastAsia="zh-CN" w:bidi="ar-SA"/>
        </w:rPr>
        <w:fldChar w:fldCharType="separate"/>
      </w:r>
      <w:r>
        <w:rPr>
          <w:rStyle w:val="fulltext-wrapfulltexta"/>
          <w:rFonts w:ascii="宋体" w:eastAsia="宋体" w:hAnsi="宋体" w:cs="宋体"/>
          <w:sz w:val="27"/>
          <w:szCs w:val="27"/>
          <w:lang w:val="en-US" w:eastAsia="zh-CN" w:bidi="ar-SA"/>
        </w:rPr>
        <w:t>民事诉讼法</w:t>
      </w:r>
      <w:r>
        <w:rPr>
          <w:rStyle w:val="fulltext-wrapfulltexta"/>
          <w:rFonts w:ascii="宋体" w:eastAsia="宋体" w:hAnsi="宋体" w:cs="宋体"/>
          <w:sz w:val="27"/>
          <w:szCs w:val="27"/>
          <w:lang w:val="en-US" w:eastAsia="zh-CN" w:bidi="ar-SA"/>
        </w:rPr>
        <w:fldChar w:fldCharType="end"/>
      </w:r>
      <w:r>
        <w:rPr>
          <w:rFonts w:ascii="宋体" w:eastAsia="宋体" w:hAnsi="宋体" w:cs="宋体"/>
          <w:color w:val="000000"/>
          <w:sz w:val="27"/>
          <w:szCs w:val="27"/>
          <w:lang w:val="en-US" w:eastAsia="zh-CN" w:bidi="ar-SA"/>
        </w:rPr>
        <w:t>》第</w:t>
      </w:r>
      <w:r>
        <w:rPr>
          <w:rStyle w:val="span"/>
          <w:rFonts w:ascii="宋体" w:eastAsia="宋体" w:hAnsi="宋体" w:cs="宋体"/>
          <w:color w:val="000000"/>
          <w:sz w:val="27"/>
          <w:szCs w:val="27"/>
          <w:lang w:val="en-US" w:eastAsia="zh-CN" w:bidi="ar-SA"/>
        </w:rPr>
        <w:t>五百二十二条</w:t>
      </w:r>
      <w:r>
        <w:rPr>
          <w:rFonts w:ascii="宋体" w:eastAsia="宋体" w:hAnsi="宋体" w:cs="宋体"/>
          <w:color w:val="000000"/>
          <w:sz w:val="27"/>
          <w:szCs w:val="27"/>
          <w:lang w:val="en-US" w:eastAsia="zh-CN" w:bidi="ar-SA"/>
        </w:rPr>
        <w:t>规定：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有下列情形之一，人民法院可以认定为涉外民事案件：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一</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当事人一方或者双方是外国人、无国籍人、外国企业或者组织的；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二</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当事人一方或者双方的经常居所地在中华人民共和国领域外的；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三</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标的物在中华人民共和国领域外的；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四</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产生、变更或者消灭民事关系的法律事实发生在中华人民共和国领域外的；</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五</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可以认定为涉外民事案件的其他情形。</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该条第一款第一项就已经明确界定了适用主体是</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外国企业或者组织</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，而不是外商独资企业。另外，根据《中华人民共和国</w:t>
      </w:r>
      <w:hyperlink r:id="rId34" w:history="1">
        <w:r>
          <w:rPr>
            <w:rStyle w:val="fulltext-wrapfulltexta"/>
            <w:rFonts w:ascii="宋体" w:eastAsia="宋体" w:hAnsi="宋体" w:cs="宋体"/>
            <w:sz w:val="27"/>
            <w:szCs w:val="27"/>
            <w:lang w:val="en-US" w:eastAsia="zh-CN" w:bidi="ar-SA"/>
          </w:rPr>
          <w:t>外商投资法</w:t>
        </w:r>
      </w:hyperlink>
      <w:r>
        <w:rPr>
          <w:rFonts w:ascii="宋体" w:eastAsia="宋体" w:hAnsi="宋体" w:cs="宋体"/>
          <w:color w:val="000000"/>
          <w:sz w:val="27"/>
          <w:szCs w:val="27"/>
          <w:lang w:val="en-US" w:eastAsia="zh-CN" w:bidi="ar-SA"/>
        </w:rPr>
        <w:t>》第</w:t>
      </w:r>
      <w:hyperlink r:id="rId35"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本法所称外商投资企业是指全部或部分由外国投资者投资，依照中国法律在中国境内经登记注册设立的企业。</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根据上述法律规定，外商投资企业是依照中国有关法律在中国境内设立的全部或部分资本由外国投资者投资的企业，属于中国法人，它不同于外国企业，也不是外国企业在中国境内的分支机构。</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另外，《</w:t>
      </w:r>
      <w:hyperlink r:id="rId36" w:history="1">
        <w:r>
          <w:rPr>
            <w:rStyle w:val="fulltext-wrapfulltexta"/>
            <w:rFonts w:ascii="宋体" w:eastAsia="宋体" w:hAnsi="宋体" w:cs="宋体"/>
            <w:sz w:val="27"/>
            <w:szCs w:val="27"/>
            <w:lang w:val="en-US" w:eastAsia="zh-CN" w:bidi="ar-SA"/>
          </w:rPr>
          <w:t>最高人民法院关于明确第一审涉外民商事案件级别管辖标准以及归</w:t>
        </w:r>
        <w:r>
          <w:rPr>
            <w:rStyle w:val="fulltext-wrapfulltexta"/>
            <w:rFonts w:ascii="宋体" w:eastAsia="宋体" w:hAnsi="宋体" w:cs="宋体"/>
            <w:sz w:val="27"/>
            <w:szCs w:val="27"/>
            <w:lang w:val="en-US" w:eastAsia="zh-CN" w:bidi="ar-SA"/>
          </w:rPr>
          <w:lastRenderedPageBreak/>
          <w:t>口办理有关问题的通知</w:t>
        </w:r>
      </w:hyperlink>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法［</w:t>
      </w:r>
      <w:r>
        <w:rPr>
          <w:rFonts w:ascii="宋体" w:eastAsia="宋体" w:hAnsi="宋体" w:cs="宋体"/>
          <w:color w:val="000000"/>
          <w:sz w:val="27"/>
          <w:szCs w:val="27"/>
          <w:lang w:val="en-US" w:eastAsia="zh-CN" w:bidi="ar-SA"/>
        </w:rPr>
        <w:t>2017</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359</w:t>
      </w:r>
      <w:r>
        <w:rPr>
          <w:rFonts w:ascii="宋体" w:eastAsia="宋体" w:hAnsi="宋体" w:cs="宋体"/>
          <w:color w:val="000000"/>
          <w:sz w:val="27"/>
          <w:szCs w:val="27"/>
          <w:lang w:val="en-US" w:eastAsia="zh-CN" w:bidi="ar-SA"/>
        </w:rPr>
        <w:t>号</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第</w:t>
      </w:r>
      <w:hyperlink r:id="rId37" w:anchor="tiao_2" w:history="1">
        <w:r>
          <w:rPr>
            <w:rStyle w:val="fulltext-wrapfulltexta"/>
            <w:rFonts w:ascii="宋体" w:eastAsia="宋体" w:hAnsi="宋体" w:cs="宋体"/>
            <w:sz w:val="27"/>
            <w:szCs w:val="27"/>
            <w:lang w:val="en-US" w:eastAsia="zh-CN" w:bidi="ar-SA"/>
          </w:rPr>
          <w:t>二条</w:t>
        </w:r>
      </w:hyperlink>
      <w:r>
        <w:rPr>
          <w:rFonts w:ascii="宋体" w:eastAsia="宋体" w:hAnsi="宋体" w:cs="宋体"/>
          <w:color w:val="000000"/>
          <w:sz w:val="27"/>
          <w:szCs w:val="27"/>
          <w:lang w:val="en-US" w:eastAsia="zh-CN" w:bidi="ar-SA"/>
        </w:rPr>
        <w:t>第</w:t>
      </w:r>
      <w:hyperlink r:id="rId38" w:anchor="tiao_2_kuan_1_xiang_4" w:history="1">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四</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项</w:t>
        </w:r>
      </w:hyperlink>
      <w:r>
        <w:rPr>
          <w:rFonts w:ascii="宋体" w:eastAsia="宋体" w:hAnsi="宋体" w:cs="宋体"/>
          <w:color w:val="000000"/>
          <w:sz w:val="27"/>
          <w:szCs w:val="27"/>
          <w:lang w:val="en-US" w:eastAsia="zh-CN" w:bidi="ar-SA"/>
        </w:rPr>
        <w:t>是针对外商独资企业在法院审判该类案件时在内部机构设置上的考虑，而非将外商独资企业定性为涉外民事案件。而该通知第二条</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省会城市、计划单列市中级人民法院，管辖诉讼标的额人民币</w:t>
      </w:r>
      <w:r>
        <w:rPr>
          <w:rFonts w:ascii="宋体" w:eastAsia="宋体" w:hAnsi="宋体" w:cs="宋体"/>
          <w:color w:val="000000"/>
          <w:sz w:val="27"/>
          <w:szCs w:val="27"/>
          <w:lang w:val="en-US" w:eastAsia="zh-CN" w:bidi="ar-SA"/>
        </w:rPr>
        <w:t>200</w:t>
      </w:r>
      <w:r>
        <w:rPr>
          <w:rFonts w:ascii="宋体" w:eastAsia="宋体" w:hAnsi="宋体" w:cs="宋体"/>
          <w:color w:val="000000"/>
          <w:sz w:val="27"/>
          <w:szCs w:val="27"/>
          <w:lang w:val="en-US" w:eastAsia="zh-CN" w:bidi="ar-SA"/>
        </w:rPr>
        <w:t>万元以上的第一审涉外民商事案件，其他中级人民法院管辖诉讼标的额人民币</w:t>
      </w:r>
      <w:r>
        <w:rPr>
          <w:rFonts w:ascii="宋体" w:eastAsia="宋体" w:hAnsi="宋体" w:cs="宋体"/>
          <w:color w:val="000000"/>
          <w:sz w:val="27"/>
          <w:szCs w:val="27"/>
          <w:lang w:val="en-US" w:eastAsia="zh-CN" w:bidi="ar-SA"/>
        </w:rPr>
        <w:t>100</w:t>
      </w:r>
      <w:r>
        <w:rPr>
          <w:rFonts w:ascii="宋体" w:eastAsia="宋体" w:hAnsi="宋体" w:cs="宋体"/>
          <w:color w:val="000000"/>
          <w:sz w:val="27"/>
          <w:szCs w:val="27"/>
          <w:lang w:val="en-US" w:eastAsia="zh-CN" w:bidi="ar-SA"/>
        </w:rPr>
        <w:t>万元以上的第一审涉外民商事案件</w:t>
      </w:r>
      <w:r>
        <w:rPr>
          <w:rFonts w:ascii="宋体" w:eastAsia="宋体" w:hAnsi="宋体" w:cs="宋体"/>
          <w:color w:val="000000"/>
          <w:sz w:val="27"/>
          <w:szCs w:val="27"/>
          <w:lang w:val="en-US" w:eastAsia="zh-CN" w:bidi="ar-SA"/>
        </w:rPr>
        <w:t>”</w:t>
      </w:r>
      <w:r>
        <w:rPr>
          <w:rFonts w:ascii="宋体" w:eastAsia="宋体" w:hAnsi="宋体" w:cs="宋体"/>
          <w:color w:val="000000"/>
          <w:sz w:val="27"/>
          <w:szCs w:val="27"/>
          <w:lang w:val="en-US" w:eastAsia="zh-CN" w:bidi="ar-SA"/>
        </w:rPr>
        <w:t>的规定，是针对省会城市、计划单列市中级人民法院受理案件标的额的规定，而非限制只有省会城市、计划单列市中级人民法院才能够受理涉外案件。综上所述，上诉人福瑞珂公司提出的上诉理由不能成立，不予支持。</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依照《中华人民共和国</w:t>
      </w:r>
      <w:hyperlink r:id="rId39" w:history="1">
        <w:r>
          <w:rPr>
            <w:rStyle w:val="fulltext-wrapfulltexta"/>
            <w:rFonts w:ascii="宋体" w:eastAsia="宋体" w:hAnsi="宋体" w:cs="宋体"/>
            <w:sz w:val="27"/>
            <w:szCs w:val="27"/>
            <w:lang w:val="en-US" w:eastAsia="zh-CN" w:bidi="ar-SA"/>
          </w:rPr>
          <w:t>民事诉讼法</w:t>
        </w:r>
      </w:hyperlink>
      <w:r>
        <w:rPr>
          <w:rFonts w:ascii="宋体" w:eastAsia="宋体" w:hAnsi="宋体" w:cs="宋体"/>
          <w:color w:val="000000"/>
          <w:sz w:val="27"/>
          <w:szCs w:val="27"/>
          <w:lang w:val="en-US" w:eastAsia="zh-CN" w:bidi="ar-SA"/>
        </w:rPr>
        <w:t>》第</w:t>
      </w:r>
      <w:hyperlink r:id="rId40" w:anchor="tiao_170" w:history="1">
        <w:r>
          <w:rPr>
            <w:rStyle w:val="fulltext-wrapfulltexta"/>
            <w:rFonts w:ascii="宋体" w:eastAsia="宋体" w:hAnsi="宋体" w:cs="宋体"/>
            <w:sz w:val="27"/>
            <w:szCs w:val="27"/>
            <w:lang w:val="en-US" w:eastAsia="zh-CN" w:bidi="ar-SA"/>
          </w:rPr>
          <w:t>一百七十条</w:t>
        </w:r>
      </w:hyperlink>
      <w:r>
        <w:rPr>
          <w:rFonts w:ascii="宋体" w:eastAsia="宋体" w:hAnsi="宋体" w:cs="宋体"/>
          <w:color w:val="000000"/>
          <w:sz w:val="27"/>
          <w:szCs w:val="27"/>
          <w:lang w:val="en-US" w:eastAsia="zh-CN" w:bidi="ar-SA"/>
        </w:rPr>
        <w:t>第</w:t>
      </w:r>
      <w:hyperlink r:id="rId41" w:anchor="tiao_170_kuan_1" w:history="1">
        <w:r>
          <w:rPr>
            <w:rStyle w:val="fulltext-wrapfulltexta"/>
            <w:rFonts w:ascii="宋体" w:eastAsia="宋体" w:hAnsi="宋体" w:cs="宋体"/>
            <w:sz w:val="27"/>
            <w:szCs w:val="27"/>
            <w:lang w:val="en-US" w:eastAsia="zh-CN" w:bidi="ar-SA"/>
          </w:rPr>
          <w:t>一款</w:t>
        </w:r>
      </w:hyperlink>
      <w:r>
        <w:rPr>
          <w:rFonts w:ascii="宋体" w:eastAsia="宋体" w:hAnsi="宋体" w:cs="宋体"/>
          <w:color w:val="000000"/>
          <w:sz w:val="27"/>
          <w:szCs w:val="27"/>
          <w:lang w:val="en-US" w:eastAsia="zh-CN" w:bidi="ar-SA"/>
        </w:rPr>
        <w:t>第</w:t>
      </w:r>
      <w:hyperlink r:id="rId42" w:anchor="tiao_170_kuan_1_xiang_1" w:history="1">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一</w:t>
        </w:r>
        <w:r>
          <w:rPr>
            <w:rStyle w:val="fulltext-wrapfulltexta"/>
            <w:rFonts w:ascii="宋体" w:eastAsia="宋体" w:hAnsi="宋体" w:cs="宋体"/>
            <w:sz w:val="27"/>
            <w:szCs w:val="27"/>
            <w:lang w:val="en-US" w:eastAsia="zh-CN" w:bidi="ar-SA"/>
          </w:rPr>
          <w:t>)</w:t>
        </w:r>
        <w:r>
          <w:rPr>
            <w:rStyle w:val="fulltext-wrapfulltexta"/>
            <w:rFonts w:ascii="宋体" w:eastAsia="宋体" w:hAnsi="宋体" w:cs="宋体"/>
            <w:sz w:val="27"/>
            <w:szCs w:val="27"/>
            <w:lang w:val="en-US" w:eastAsia="zh-CN" w:bidi="ar-SA"/>
          </w:rPr>
          <w:t>项</w:t>
        </w:r>
      </w:hyperlink>
      <w:r>
        <w:rPr>
          <w:rFonts w:ascii="宋体" w:eastAsia="宋体" w:hAnsi="宋体" w:cs="宋体"/>
          <w:color w:val="000000"/>
          <w:sz w:val="27"/>
          <w:szCs w:val="27"/>
          <w:lang w:val="en-US" w:eastAsia="zh-CN" w:bidi="ar-SA"/>
        </w:rPr>
        <w:t>、第</w:t>
      </w:r>
      <w:hyperlink r:id="rId43" w:anchor="tiao_171" w:history="1">
        <w:r>
          <w:rPr>
            <w:rStyle w:val="fulltext-wrapfulltexta"/>
            <w:rFonts w:ascii="宋体" w:eastAsia="宋体" w:hAnsi="宋体" w:cs="宋体"/>
            <w:sz w:val="27"/>
            <w:szCs w:val="27"/>
            <w:lang w:val="en-US" w:eastAsia="zh-CN" w:bidi="ar-SA"/>
          </w:rPr>
          <w:t>一百七十一条</w:t>
        </w:r>
      </w:hyperlink>
      <w:r>
        <w:rPr>
          <w:rFonts w:ascii="宋体" w:eastAsia="宋体" w:hAnsi="宋体" w:cs="宋体"/>
          <w:color w:val="000000"/>
          <w:sz w:val="27"/>
          <w:szCs w:val="27"/>
          <w:lang w:val="en-US" w:eastAsia="zh-CN" w:bidi="ar-SA"/>
        </w:rPr>
        <w:t>规定，裁定如下：</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裁判结果</w:t>
      </w:r>
      <w:bookmarkStart w:id="9" w:name="anchor-2"/>
      <w:bookmarkEnd w:id="9"/>
      <w:r>
        <w:rPr>
          <w:rFonts w:ascii="宋体" w:eastAsia="宋体" w:hAnsi="宋体" w:cs="宋体"/>
          <w:color w:val="000000"/>
          <w:sz w:val="27"/>
          <w:szCs w:val="27"/>
          <w:lang w:val="en-US" w:eastAsia="zh-CN" w:bidi="ar-SA"/>
        </w:rPr>
        <w:t xml:space="preserve">　　驳回上诉，维持原裁定。</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 xml:space="preserve">　　本裁定为终审裁定。</w:t>
      </w:r>
      <w:r>
        <w:rPr>
          <w:rFonts w:ascii="宋体" w:eastAsia="宋体" w:hAnsi="宋体" w:cs="宋体"/>
          <w:color w:val="000000"/>
          <w:sz w:val="27"/>
          <w:szCs w:val="27"/>
          <w:lang w:val="en-US" w:eastAsia="zh-CN" w:bidi="ar-SA"/>
        </w:rPr>
        <w:br/>
      </w:r>
      <w:r>
        <w:rPr>
          <w:rStyle w:val="span"/>
          <w:rFonts w:ascii="宋体" w:eastAsia="宋体" w:hAnsi="宋体" w:cs="宋体"/>
          <w:vanish/>
          <w:color w:val="000000"/>
          <w:sz w:val="27"/>
          <w:szCs w:val="27"/>
          <w:lang w:val="en-US" w:eastAsia="zh-CN" w:bidi="ar-SA"/>
        </w:rPr>
        <w:t>落款</w:t>
      </w:r>
      <w:bookmarkStart w:id="10" w:name="anchor-6"/>
      <w:bookmarkEnd w:id="10"/>
    </w:p>
    <w:p w:rsidR="00775642" w:rsidRDefault="00775642">
      <w:pPr>
        <w:pStyle w:val="div"/>
        <w:spacing w:after="300" w:line="600" w:lineRule="atLeast"/>
        <w:ind w:left="375" w:right="375"/>
        <w:jc w:val="right"/>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审判长</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洛　　　桑</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 </w:t>
      </w:r>
      <w:r>
        <w:rPr>
          <w:rFonts w:ascii="宋体" w:eastAsia="宋体" w:hAnsi="宋体" w:cs="宋体"/>
          <w:color w:val="000000"/>
          <w:sz w:val="27"/>
          <w:szCs w:val="27"/>
          <w:lang w:val="en-US" w:eastAsia="zh-CN" w:bidi="ar-SA"/>
        </w:rPr>
        <w:t>德吉</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审判员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熊红利</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二〇二一年七月二十八日</w:t>
      </w:r>
      <w:r>
        <w:rPr>
          <w:rFonts w:ascii="宋体" w:eastAsia="宋体" w:hAnsi="宋体" w:cs="宋体"/>
          <w:color w:val="000000"/>
          <w:sz w:val="27"/>
          <w:szCs w:val="27"/>
          <w:lang w:val="en-US" w:eastAsia="zh-CN" w:bidi="ar-SA"/>
        </w:rPr>
        <w:br/>
      </w:r>
      <w:r>
        <w:rPr>
          <w:rFonts w:ascii="宋体" w:eastAsia="宋体" w:hAnsi="宋体" w:cs="宋体"/>
          <w:color w:val="000000"/>
          <w:sz w:val="27"/>
          <w:szCs w:val="27"/>
          <w:lang w:val="en-US" w:eastAsia="zh-CN" w:bidi="ar-SA"/>
        </w:rPr>
        <w:t>书记员</w:t>
      </w:r>
      <w:r>
        <w:rPr>
          <w:rFonts w:ascii="宋体" w:eastAsia="宋体" w:hAnsi="宋体" w:cs="宋体"/>
          <w:color w:val="000000"/>
          <w:sz w:val="27"/>
          <w:szCs w:val="27"/>
          <w:lang w:val="en-US" w:eastAsia="zh-CN" w:bidi="ar-SA"/>
        </w:rPr>
        <w:t xml:space="preserve">     </w:t>
      </w:r>
      <w:r>
        <w:rPr>
          <w:rFonts w:ascii="宋体" w:eastAsia="宋体" w:hAnsi="宋体" w:cs="宋体"/>
          <w:color w:val="000000"/>
          <w:sz w:val="27"/>
          <w:szCs w:val="27"/>
          <w:lang w:val="en-US" w:eastAsia="zh-CN" w:bidi="ar-SA"/>
        </w:rPr>
        <w:t>强巴次仁</w:t>
      </w:r>
    </w:p>
    <w:p w:rsidR="00775642" w:rsidRDefault="00775642">
      <w:pPr>
        <w:ind w:left="375" w:right="375"/>
        <w:rPr>
          <w:rFonts w:ascii="Arial" w:eastAsia="Arial" w:hAnsi="Arial" w:cs="Arial"/>
          <w:lang w:val="en-US" w:eastAsia="zh-CN" w:bidi="ar-SA"/>
        </w:rPr>
      </w:pPr>
      <w:r>
        <w:rPr>
          <w:rFonts w:ascii="Arial" w:eastAsia="Arial" w:hAnsi="Arial" w:cs="Arial"/>
          <w:lang w:val="en-US" w:eastAsia="zh-CN" w:bidi="ar-SA"/>
        </w:rPr>
        <w:br/>
      </w:r>
    </w:p>
    <w:p w:rsidR="00775642" w:rsidRDefault="00775642">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本案法律依据</w:t>
      </w:r>
      <w:r>
        <w:rPr>
          <w:rFonts w:ascii="宋体" w:eastAsia="宋体" w:hAnsi="宋体" w:cs="宋体"/>
          <w:sz w:val="24"/>
          <w:szCs w:val="24"/>
          <w:lang w:val="en-US" w:eastAsia="zh-CN" w:bidi="ar-SA"/>
        </w:rPr>
        <w:t xml:space="preserve"> </w:t>
      </w:r>
    </w:p>
    <w:p w:rsidR="00775642" w:rsidRDefault="00775642">
      <w:pPr>
        <w:pStyle w:val="lenovodivulli"/>
        <w:tabs>
          <w:tab w:val="left" w:pos="825"/>
        </w:tabs>
        <w:ind w:left="375" w:right="375"/>
        <w:textAlignment w:val="baseline"/>
        <w:rPr>
          <w:lang w:val="en-US" w:eastAsia="zh-CN" w:bidi="ar-SA"/>
        </w:rPr>
      </w:pPr>
      <w:hyperlink r:id="rId44" w:anchor="tiao_170_kuan_1_xiang_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170</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1</w:t>
        </w:r>
        <w:r>
          <w:rPr>
            <w:rStyle w:val="lenovodivullia"/>
            <w:lang w:val="en-US" w:eastAsia="zh-CN" w:bidi="ar-SA"/>
          </w:rPr>
          <w:t>项</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45" w:anchor="tiao_171" w:tgtFrame="_blank" w:history="1">
        <w:r>
          <w:rPr>
            <w:rStyle w:val="lenovodivullia"/>
            <w:lang w:val="en-US" w:eastAsia="zh-CN" w:bidi="ar-SA"/>
          </w:rPr>
          <w:t>中华人民共和国民事诉讼法</w:t>
        </w:r>
        <w:r>
          <w:rPr>
            <w:rStyle w:val="lenovodivullia"/>
            <w:lang w:val="en-US" w:eastAsia="zh-CN" w:bidi="ar-SA"/>
          </w:rPr>
          <w:t>(2017</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171</w:t>
        </w:r>
        <w:r>
          <w:rPr>
            <w:rStyle w:val="lenovodivullia"/>
            <w:lang w:val="en-US" w:eastAsia="zh-CN" w:bidi="ar-SA"/>
          </w:rPr>
          <w:t>条</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46" w:anchor="tiao_1" w:tgtFrame="_blank" w:history="1">
        <w:r>
          <w:rPr>
            <w:rStyle w:val="lenovodivullia"/>
            <w:lang w:val="en-US" w:eastAsia="zh-CN" w:bidi="ar-SA"/>
          </w:rPr>
          <w:t>最高人民法院关于明确第一审涉外民商事案件级别管辖标准以及归口办理有关问题的通知</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w:t>
        </w:r>
        <w:r>
          <w:rPr>
            <w:rStyle w:val="lenovodivullia"/>
            <w:lang w:val="en-US" w:eastAsia="zh-CN" w:bidi="ar-SA"/>
          </w:rPr>
          <w:t>条</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47" w:anchor="tiao_2_kuan_1_xiang_4" w:tgtFrame="_blank" w:history="1">
        <w:r>
          <w:rPr>
            <w:rStyle w:val="lenovodivullia"/>
            <w:lang w:val="en-US" w:eastAsia="zh-CN" w:bidi="ar-SA"/>
          </w:rPr>
          <w:t>最高人民法院关于明确第一审涉外民商事案件级别管辖标准以及归口办理有关问题的通知</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4</w:t>
        </w:r>
        <w:r>
          <w:rPr>
            <w:rStyle w:val="lenovodivullia"/>
            <w:lang w:val="en-US" w:eastAsia="zh-CN" w:bidi="ar-SA"/>
          </w:rPr>
          <w:t>项</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48" w:anchor="tiao_191" w:tgtFrame="_blank" w:history="1">
        <w:r>
          <w:rPr>
            <w:rStyle w:val="lenovodivullia"/>
            <w:lang w:val="en-US" w:eastAsia="zh-CN" w:bidi="ar-SA"/>
          </w:rPr>
          <w:t>中华人民共和国公司法</w:t>
        </w:r>
        <w:r>
          <w:rPr>
            <w:rStyle w:val="lenovodivullia"/>
            <w:lang w:val="en-US" w:eastAsia="zh-CN" w:bidi="ar-SA"/>
          </w:rPr>
          <w:t>(2018</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191</w:t>
        </w:r>
        <w:r>
          <w:rPr>
            <w:rStyle w:val="lenovodivullia"/>
            <w:lang w:val="en-US" w:eastAsia="zh-CN" w:bidi="ar-SA"/>
          </w:rPr>
          <w:t>条</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49" w:anchor="tiao_2" w:tgtFrame="_blank" w:history="1">
        <w:r>
          <w:rPr>
            <w:rStyle w:val="lenovodivullia"/>
            <w:lang w:val="en-US" w:eastAsia="zh-CN" w:bidi="ar-SA"/>
          </w:rPr>
          <w:t>中华人民共和国外商投资法</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2</w:t>
        </w:r>
        <w:r>
          <w:rPr>
            <w:rStyle w:val="lenovodivullia"/>
            <w:lang w:val="en-US" w:eastAsia="zh-CN" w:bidi="ar-SA"/>
          </w:rPr>
          <w:t>条</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50" w:anchor="tiao_522_kuan_1_xiang_5" w:tgtFrame="_blank" w:history="1">
        <w:r>
          <w:rPr>
            <w:rStyle w:val="lenovodivullia"/>
            <w:lang w:val="en-US" w:eastAsia="zh-CN" w:bidi="ar-SA"/>
          </w:rPr>
          <w:t>最高人民法院关于适用《中华人民共和国民事诉讼法》的解释</w:t>
        </w:r>
        <w:r>
          <w:rPr>
            <w:rStyle w:val="lenovodivullia"/>
            <w:lang w:val="en-US" w:eastAsia="zh-CN" w:bidi="ar-SA"/>
          </w:rPr>
          <w:t>(2020</w:t>
        </w:r>
        <w:r>
          <w:rPr>
            <w:rStyle w:val="lenovodivullia"/>
            <w:lang w:val="en-US" w:eastAsia="zh-CN" w:bidi="ar-SA"/>
          </w:rPr>
          <w:t>修正</w:t>
        </w:r>
        <w:r>
          <w:rPr>
            <w:rStyle w:val="lenovodivullia"/>
            <w:lang w:val="en-US" w:eastAsia="zh-CN" w:bidi="ar-SA"/>
          </w:rPr>
          <w:t xml:space="preserve">) </w:t>
        </w:r>
        <w:r>
          <w:rPr>
            <w:rStyle w:val="lenovodivullia"/>
            <w:lang w:val="en-US" w:eastAsia="zh-CN" w:bidi="ar-SA"/>
          </w:rPr>
          <w:t>第</w:t>
        </w:r>
        <w:r>
          <w:rPr>
            <w:rStyle w:val="lenovodivullia"/>
            <w:lang w:val="en-US" w:eastAsia="zh-CN" w:bidi="ar-SA"/>
          </w:rPr>
          <w:t>522</w:t>
        </w:r>
        <w:r>
          <w:rPr>
            <w:rStyle w:val="lenovodivullia"/>
            <w:lang w:val="en-US" w:eastAsia="zh-CN" w:bidi="ar-SA"/>
          </w:rPr>
          <w:t>条</w:t>
        </w:r>
        <w:r>
          <w:rPr>
            <w:rStyle w:val="lenovodivullia"/>
            <w:lang w:val="en-US" w:eastAsia="zh-CN" w:bidi="ar-SA"/>
          </w:rPr>
          <w:t>1</w:t>
        </w:r>
        <w:r>
          <w:rPr>
            <w:rStyle w:val="lenovodivullia"/>
            <w:lang w:val="en-US" w:eastAsia="zh-CN" w:bidi="ar-SA"/>
          </w:rPr>
          <w:t>款</w:t>
        </w:r>
        <w:r>
          <w:rPr>
            <w:rStyle w:val="lenovodivullia"/>
            <w:lang w:val="en-US" w:eastAsia="zh-CN" w:bidi="ar-SA"/>
          </w:rPr>
          <w:t>5</w:t>
        </w:r>
        <w:r>
          <w:rPr>
            <w:rStyle w:val="lenovodivullia"/>
            <w:lang w:val="en-US" w:eastAsia="zh-CN" w:bidi="ar-SA"/>
          </w:rPr>
          <w:t>项</w:t>
        </w:r>
        <w:r>
          <w:rPr>
            <w:rStyle w:val="lenovodivullia"/>
            <w:lang w:val="en-US" w:eastAsia="zh-CN" w:bidi="ar-SA"/>
          </w:rPr>
          <w:t xml:space="preserve"> </w:t>
        </w:r>
      </w:hyperlink>
    </w:p>
    <w:p w:rsidR="00775642" w:rsidRDefault="00775642">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同案由重要案例</w:t>
      </w:r>
      <w:r>
        <w:rPr>
          <w:rFonts w:ascii="宋体" w:eastAsia="宋体" w:hAnsi="宋体" w:cs="宋体"/>
          <w:sz w:val="24"/>
          <w:szCs w:val="24"/>
          <w:lang w:val="en-US" w:eastAsia="zh-CN" w:bidi="ar-SA"/>
        </w:rPr>
        <w:t xml:space="preserve"> </w:t>
      </w:r>
    </w:p>
    <w:p w:rsidR="00775642" w:rsidRDefault="00775642">
      <w:pPr>
        <w:pStyle w:val="lenovodivulli"/>
        <w:tabs>
          <w:tab w:val="left" w:pos="825"/>
        </w:tabs>
        <w:ind w:left="375" w:right="375"/>
        <w:textAlignment w:val="baseline"/>
        <w:rPr>
          <w:lang w:val="en-US" w:eastAsia="zh-CN" w:bidi="ar-SA"/>
        </w:rPr>
      </w:pPr>
      <w:hyperlink r:id="rId51" w:tgtFrame="_blank" w:history="1">
        <w:r>
          <w:rPr>
            <w:rStyle w:val="lenovodivullia"/>
            <w:lang w:val="en-US" w:eastAsia="zh-CN" w:bidi="ar-SA"/>
          </w:rPr>
          <w:t>某某建材信息技术股份有限公司与某某集团股份有限公司苏宁采购中心等买卖合同纠纷再审案</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52" w:tgtFrame="_blank" w:history="1">
        <w:r>
          <w:rPr>
            <w:rStyle w:val="lenovodivullia"/>
            <w:lang w:val="en-US" w:eastAsia="zh-CN" w:bidi="ar-SA"/>
          </w:rPr>
          <w:t>最高人民法院发布第五批</w:t>
        </w:r>
        <w:r>
          <w:rPr>
            <w:rStyle w:val="lenovodivullia"/>
            <w:lang w:val="en-US" w:eastAsia="zh-CN" w:bidi="ar-SA"/>
          </w:rPr>
          <w:t>5</w:t>
        </w:r>
        <w:r>
          <w:rPr>
            <w:rStyle w:val="lenovodivullia"/>
            <w:lang w:val="en-US" w:eastAsia="zh-CN" w:bidi="ar-SA"/>
          </w:rPr>
          <w:t>起涉</w:t>
        </w:r>
        <w:r>
          <w:rPr>
            <w:rStyle w:val="lenovodivullia"/>
            <w:lang w:val="en-US" w:eastAsia="zh-CN" w:bidi="ar-SA"/>
          </w:rPr>
          <w:t>“</w:t>
        </w:r>
        <w:r>
          <w:rPr>
            <w:rStyle w:val="lenovodivullia"/>
            <w:lang w:val="en-US" w:eastAsia="zh-CN" w:bidi="ar-SA"/>
          </w:rPr>
          <w:t>一带一路</w:t>
        </w:r>
        <w:r>
          <w:rPr>
            <w:rStyle w:val="lenovodivullia"/>
            <w:lang w:val="en-US" w:eastAsia="zh-CN" w:bidi="ar-SA"/>
          </w:rPr>
          <w:t>”</w:t>
        </w:r>
        <w:r>
          <w:rPr>
            <w:rStyle w:val="lenovodivullia"/>
            <w:lang w:val="en-US" w:eastAsia="zh-CN" w:bidi="ar-SA"/>
          </w:rPr>
          <w:t>建设典型案例之二：北京晓程科技股份有限公司与江苏中环企业管理有限公司买卖合同纠纷案</w:t>
        </w:r>
        <w:r>
          <w:rPr>
            <w:rStyle w:val="lenovodivullia"/>
            <w:lang w:val="en-US" w:eastAsia="zh-CN" w:bidi="ar-SA"/>
          </w:rPr>
          <w:t>——</w:t>
        </w:r>
        <w:r>
          <w:rPr>
            <w:rStyle w:val="lenovodivullia"/>
            <w:lang w:val="en-US" w:eastAsia="zh-CN" w:bidi="ar-SA"/>
          </w:rPr>
          <w:t>破解跨境鉴定难题</w:t>
        </w:r>
        <w:r>
          <w:rPr>
            <w:rStyle w:val="lenovodivullia"/>
            <w:lang w:val="en-US" w:eastAsia="zh-CN" w:bidi="ar-SA"/>
          </w:rPr>
          <w:t xml:space="preserve"> </w:t>
        </w:r>
        <w:r>
          <w:rPr>
            <w:rStyle w:val="lenovodivullia"/>
            <w:lang w:val="en-US" w:eastAsia="zh-CN" w:bidi="ar-SA"/>
          </w:rPr>
          <w:t>护航企业投入</w:t>
        </w:r>
        <w:r>
          <w:rPr>
            <w:rStyle w:val="lenovodivullia"/>
            <w:lang w:val="en-US" w:eastAsia="zh-CN" w:bidi="ar-SA"/>
          </w:rPr>
          <w:t>“</w:t>
        </w:r>
        <w:r>
          <w:rPr>
            <w:rStyle w:val="lenovodivullia"/>
            <w:lang w:val="en-US" w:eastAsia="zh-CN" w:bidi="ar-SA"/>
          </w:rPr>
          <w:t>一带一路</w:t>
        </w:r>
        <w:r>
          <w:rPr>
            <w:rStyle w:val="lenovodivullia"/>
            <w:lang w:val="en-US" w:eastAsia="zh-CN" w:bidi="ar-SA"/>
          </w:rPr>
          <w:t>”</w:t>
        </w:r>
        <w:r>
          <w:rPr>
            <w:rStyle w:val="lenovodivullia"/>
            <w:lang w:val="en-US" w:eastAsia="zh-CN" w:bidi="ar-SA"/>
          </w:rPr>
          <w:t>建设</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53" w:tgtFrame="_blank" w:history="1">
        <w:r>
          <w:rPr>
            <w:rStyle w:val="lenovodivullia"/>
            <w:lang w:val="en-US" w:eastAsia="zh-CN" w:bidi="ar-SA"/>
          </w:rPr>
          <w:t>刘某胜诉临朐某某珠宝玉石商行、北京某某科技有限公司信息网络买卖合同纠纷民事指定管辖案</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54" w:tgtFrame="_blank" w:history="1">
        <w:r>
          <w:rPr>
            <w:rStyle w:val="lenovodivullia"/>
            <w:lang w:val="en-US" w:eastAsia="zh-CN" w:bidi="ar-SA"/>
          </w:rPr>
          <w:t>A</w:t>
        </w:r>
        <w:r>
          <w:rPr>
            <w:rStyle w:val="lenovodivullia"/>
            <w:lang w:val="en-US" w:eastAsia="zh-CN" w:bidi="ar-SA"/>
          </w:rPr>
          <w:t>公司与</w:t>
        </w:r>
        <w:r>
          <w:rPr>
            <w:rStyle w:val="lenovodivullia"/>
            <w:lang w:val="en-US" w:eastAsia="zh-CN" w:bidi="ar-SA"/>
          </w:rPr>
          <w:t>B</w:t>
        </w:r>
        <w:r>
          <w:rPr>
            <w:rStyle w:val="lenovodivullia"/>
            <w:lang w:val="en-US" w:eastAsia="zh-CN" w:bidi="ar-SA"/>
          </w:rPr>
          <w:t>公司等买卖合同纠纷再审案</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55" w:tgtFrame="_blank" w:history="1">
        <w:r>
          <w:rPr>
            <w:rStyle w:val="lenovodivullia"/>
            <w:lang w:val="en-US" w:eastAsia="zh-CN" w:bidi="ar-SA"/>
          </w:rPr>
          <w:t>湖州市人民检察院发布</w:t>
        </w:r>
        <w:r>
          <w:rPr>
            <w:rStyle w:val="lenovodivullia"/>
            <w:lang w:val="en-US" w:eastAsia="zh-CN" w:bidi="ar-SA"/>
          </w:rPr>
          <w:t>7</w:t>
        </w:r>
        <w:r>
          <w:rPr>
            <w:rStyle w:val="lenovodivullia"/>
            <w:lang w:val="en-US" w:eastAsia="zh-CN" w:bidi="ar-SA"/>
          </w:rPr>
          <w:t>件</w:t>
        </w:r>
        <w:r>
          <w:rPr>
            <w:rStyle w:val="lenovodivullia"/>
            <w:lang w:val="en-US" w:eastAsia="zh-CN" w:bidi="ar-SA"/>
          </w:rPr>
          <w:t>“‘</w:t>
        </w:r>
        <w:r>
          <w:rPr>
            <w:rStyle w:val="lenovodivullia"/>
            <w:lang w:val="en-US" w:eastAsia="zh-CN" w:bidi="ar-SA"/>
          </w:rPr>
          <w:t>典</w:t>
        </w:r>
        <w:r>
          <w:rPr>
            <w:rStyle w:val="lenovodivullia"/>
            <w:lang w:val="en-US" w:eastAsia="zh-CN" w:bidi="ar-SA"/>
          </w:rPr>
          <w:t>’</w:t>
        </w:r>
        <w:r>
          <w:rPr>
            <w:rStyle w:val="lenovodivullia"/>
            <w:lang w:val="en-US" w:eastAsia="zh-CN" w:bidi="ar-SA"/>
          </w:rPr>
          <w:t>亮生活守护美好</w:t>
        </w:r>
        <w:r>
          <w:rPr>
            <w:rStyle w:val="lenovodivullia"/>
            <w:lang w:val="en-US" w:eastAsia="zh-CN" w:bidi="ar-SA"/>
          </w:rPr>
          <w:t>”</w:t>
        </w:r>
        <w:r>
          <w:rPr>
            <w:rStyle w:val="lenovodivullia"/>
            <w:lang w:val="en-US" w:eastAsia="zh-CN" w:bidi="ar-SA"/>
          </w:rPr>
          <w:t>贯彻实施民法典典型案例之二：沈某与赵某买卖合同纠纷再审检察建议案</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56" w:tgtFrame="_blank" w:history="1">
        <w:r>
          <w:rPr>
            <w:rStyle w:val="lenovodivullia"/>
            <w:lang w:val="en-US" w:eastAsia="zh-CN" w:bidi="ar-SA"/>
          </w:rPr>
          <w:t>最高人民检察院发布</w:t>
        </w:r>
        <w:r>
          <w:rPr>
            <w:rStyle w:val="lenovodivullia"/>
            <w:lang w:val="en-US" w:eastAsia="zh-CN" w:bidi="ar-SA"/>
          </w:rPr>
          <w:t>6</w:t>
        </w:r>
        <w:r>
          <w:rPr>
            <w:rStyle w:val="lenovodivullia"/>
            <w:lang w:val="en-US" w:eastAsia="zh-CN" w:bidi="ar-SA"/>
          </w:rPr>
          <w:t>起检察机关依法履职推动社会主义核心价值观融入法治建设典型案例之六：陕西检察机关对某金属材料公司与某发电公司买卖合同纠纷抗诉案</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57" w:tgtFrame="_blank" w:history="1">
        <w:r>
          <w:rPr>
            <w:rStyle w:val="lenovodivullia"/>
            <w:lang w:val="en-US" w:eastAsia="zh-CN" w:bidi="ar-SA"/>
          </w:rPr>
          <w:t>上海某石油化工有限公司诉山西某科技有限公司买卖合同纠纷案</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58" w:tgtFrame="_blank" w:history="1">
        <w:r>
          <w:rPr>
            <w:rStyle w:val="lenovodivullia"/>
            <w:lang w:val="en-US" w:eastAsia="zh-CN" w:bidi="ar-SA"/>
          </w:rPr>
          <w:t>四川省高级人民法院发布</w:t>
        </w:r>
        <w:r>
          <w:rPr>
            <w:rStyle w:val="lenovodivullia"/>
            <w:lang w:val="en-US" w:eastAsia="zh-CN" w:bidi="ar-SA"/>
          </w:rPr>
          <w:t>2023</w:t>
        </w:r>
        <w:r>
          <w:rPr>
            <w:rStyle w:val="lenovodivullia"/>
            <w:lang w:val="en-US" w:eastAsia="zh-CN" w:bidi="ar-SA"/>
          </w:rPr>
          <w:t>年度优化法治化营商环境十大典型案例之一：某商贸公司诉某建筑公司买卖合同纠纷案</w:t>
        </w:r>
        <w:r>
          <w:rPr>
            <w:rStyle w:val="lenovodivullia"/>
            <w:lang w:val="en-US" w:eastAsia="zh-CN" w:bidi="ar-SA"/>
          </w:rPr>
          <w:t xml:space="preserve"> </w:t>
        </w:r>
      </w:hyperlink>
    </w:p>
    <w:p w:rsidR="00775642" w:rsidRDefault="00775642">
      <w:pPr>
        <w:pStyle w:val="div"/>
        <w:ind w:left="375" w:right="375" w:firstLine="225"/>
        <w:rPr>
          <w:rFonts w:ascii="宋体" w:eastAsia="宋体" w:hAnsi="宋体" w:cs="宋体"/>
          <w:sz w:val="23"/>
          <w:szCs w:val="23"/>
          <w:lang w:val="en-US" w:eastAsia="zh-CN" w:bidi="ar-SA"/>
        </w:rPr>
      </w:pPr>
      <w:hyperlink r:id="rId59" w:tgtFrame="_blank" w:history="1">
        <w:r>
          <w:rPr>
            <w:rStyle w:val="a3"/>
            <w:rFonts w:ascii="宋体" w:eastAsia="宋体" w:hAnsi="宋体" w:cs="宋体"/>
            <w:sz w:val="23"/>
            <w:szCs w:val="23"/>
            <w:lang w:val="en-US" w:eastAsia="zh-CN" w:bidi="ar-SA"/>
          </w:rPr>
          <w:t>更多</w:t>
        </w:r>
      </w:hyperlink>
    </w:p>
    <w:p w:rsidR="00775642" w:rsidRDefault="00775642">
      <w:pPr>
        <w:pStyle w:val="4"/>
        <w:keepNext w:val="0"/>
        <w:spacing w:before="0" w:after="0"/>
        <w:ind w:left="375" w:right="375"/>
        <w:textAlignment w:val="baseline"/>
        <w:rPr>
          <w:rFonts w:ascii="宋体" w:eastAsia="宋体" w:hAnsi="宋体" w:cs="宋体"/>
          <w:lang w:val="en-US" w:eastAsia="zh-CN" w:bidi="ar-SA"/>
        </w:rPr>
      </w:pPr>
      <w:r>
        <w:rPr>
          <w:rFonts w:ascii="宋体" w:eastAsia="宋体" w:hAnsi="宋体" w:cs="宋体"/>
          <w:sz w:val="24"/>
          <w:szCs w:val="24"/>
          <w:lang w:val="en-US" w:eastAsia="zh-CN" w:bidi="ar-SA"/>
        </w:rPr>
        <w:t>本法院同类案例</w:t>
      </w:r>
      <w:r>
        <w:rPr>
          <w:rFonts w:ascii="宋体" w:eastAsia="宋体" w:hAnsi="宋体" w:cs="宋体"/>
          <w:sz w:val="24"/>
          <w:szCs w:val="24"/>
          <w:lang w:val="en-US" w:eastAsia="zh-CN" w:bidi="ar-SA"/>
        </w:rPr>
        <w:t xml:space="preserve"> </w:t>
      </w:r>
    </w:p>
    <w:p w:rsidR="00775642" w:rsidRDefault="00775642">
      <w:pPr>
        <w:pStyle w:val="lenovodivulli"/>
        <w:tabs>
          <w:tab w:val="left" w:pos="825"/>
        </w:tabs>
        <w:ind w:left="375" w:right="375"/>
        <w:textAlignment w:val="baseline"/>
        <w:rPr>
          <w:lang w:val="en-US" w:eastAsia="zh-CN" w:bidi="ar-SA"/>
        </w:rPr>
      </w:pPr>
      <w:hyperlink r:id="rId60" w:tgtFrame="_blank" w:history="1">
        <w:r>
          <w:rPr>
            <w:rStyle w:val="lenovodivullia"/>
            <w:lang w:val="en-US" w:eastAsia="zh-CN" w:bidi="ar-SA"/>
          </w:rPr>
          <w:t>西藏某有限公司</w:t>
        </w:r>
        <w:r>
          <w:rPr>
            <w:rStyle w:val="lenovodivullia"/>
            <w:lang w:val="en-US" w:eastAsia="zh-CN" w:bidi="ar-SA"/>
          </w:rPr>
          <w:t>;</w:t>
        </w:r>
        <w:r>
          <w:rPr>
            <w:rStyle w:val="lenovodivullia"/>
            <w:lang w:val="en-US" w:eastAsia="zh-CN" w:bidi="ar-SA"/>
          </w:rPr>
          <w:t>浙江某有限公司拉萨分公司买卖合同纠纷再审审查和审判监督民事裁定书</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61" w:tgtFrame="_blank" w:history="1">
        <w:r>
          <w:rPr>
            <w:rStyle w:val="lenovodivullia"/>
            <w:lang w:val="en-US" w:eastAsia="zh-CN" w:bidi="ar-SA"/>
          </w:rPr>
          <w:t>西藏某甲有限公司等与西藏某丁有限公司买卖合同纠纷再审审查和审判监督民事裁定书</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62" w:tgtFrame="_blank" w:history="1">
        <w:r>
          <w:rPr>
            <w:rStyle w:val="lenovodivullia"/>
            <w:lang w:val="en-US" w:eastAsia="zh-CN" w:bidi="ar-SA"/>
          </w:rPr>
          <w:t>马某</w:t>
        </w:r>
        <w:r>
          <w:rPr>
            <w:rStyle w:val="lenovodivullia"/>
            <w:lang w:val="en-US" w:eastAsia="zh-CN" w:bidi="ar-SA"/>
          </w:rPr>
          <w:t>;</w:t>
        </w:r>
        <w:r>
          <w:rPr>
            <w:rStyle w:val="lenovodivullia"/>
            <w:lang w:val="en-US" w:eastAsia="zh-CN" w:bidi="ar-SA"/>
          </w:rPr>
          <w:t>索县某有限责任公司</w:t>
        </w:r>
        <w:r>
          <w:rPr>
            <w:rStyle w:val="lenovodivullia"/>
            <w:lang w:val="en-US" w:eastAsia="zh-CN" w:bidi="ar-SA"/>
          </w:rPr>
          <w:t>;</w:t>
        </w:r>
        <w:r>
          <w:rPr>
            <w:rStyle w:val="lenovodivullia"/>
            <w:lang w:val="en-US" w:eastAsia="zh-CN" w:bidi="ar-SA"/>
          </w:rPr>
          <w:t>文某再审审查和审判监督民事裁定书</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63" w:tgtFrame="_blank" w:history="1">
        <w:r>
          <w:rPr>
            <w:rStyle w:val="lenovodivullia"/>
            <w:lang w:val="en-US" w:eastAsia="zh-CN" w:bidi="ar-SA"/>
          </w:rPr>
          <w:t>西藏某有限责任公司</w:t>
        </w:r>
        <w:r>
          <w:rPr>
            <w:rStyle w:val="lenovodivullia"/>
            <w:lang w:val="en-US" w:eastAsia="zh-CN" w:bidi="ar-SA"/>
          </w:rPr>
          <w:t>;</w:t>
        </w:r>
        <w:r>
          <w:rPr>
            <w:rStyle w:val="lenovodivullia"/>
            <w:lang w:val="en-US" w:eastAsia="zh-CN" w:bidi="ar-SA"/>
          </w:rPr>
          <w:t>四川某有限公司</w:t>
        </w:r>
        <w:r>
          <w:rPr>
            <w:rStyle w:val="lenovodivullia"/>
            <w:lang w:val="en-US" w:eastAsia="zh-CN" w:bidi="ar-SA"/>
          </w:rPr>
          <w:t>;</w:t>
        </w:r>
        <w:r>
          <w:rPr>
            <w:rStyle w:val="lenovodivullia"/>
            <w:lang w:val="en-US" w:eastAsia="zh-CN" w:bidi="ar-SA"/>
          </w:rPr>
          <w:t>杨某</w:t>
        </w:r>
        <w:r>
          <w:rPr>
            <w:rStyle w:val="lenovodivullia"/>
            <w:lang w:val="en-US" w:eastAsia="zh-CN" w:bidi="ar-SA"/>
          </w:rPr>
          <w:t>;</w:t>
        </w:r>
        <w:r>
          <w:rPr>
            <w:rStyle w:val="lenovodivullia"/>
            <w:lang w:val="en-US" w:eastAsia="zh-CN" w:bidi="ar-SA"/>
          </w:rPr>
          <w:t>买卖合同纠纷再审审查和审判监督民事裁定书</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64" w:tgtFrame="_blank" w:history="1">
        <w:r>
          <w:rPr>
            <w:rStyle w:val="lenovodivullia"/>
            <w:lang w:val="en-US" w:eastAsia="zh-CN" w:bidi="ar-SA"/>
          </w:rPr>
          <w:t>达某</w:t>
        </w:r>
        <w:r>
          <w:rPr>
            <w:rStyle w:val="lenovodivullia"/>
            <w:lang w:val="en-US" w:eastAsia="zh-CN" w:bidi="ar-SA"/>
          </w:rPr>
          <w:t>;</w:t>
        </w:r>
        <w:r>
          <w:rPr>
            <w:rStyle w:val="lenovodivullia"/>
            <w:lang w:val="en-US" w:eastAsia="zh-CN" w:bidi="ar-SA"/>
          </w:rPr>
          <w:t>扎某</w:t>
        </w:r>
        <w:r>
          <w:rPr>
            <w:rStyle w:val="lenovodivullia"/>
            <w:lang w:val="en-US" w:eastAsia="zh-CN" w:bidi="ar-SA"/>
          </w:rPr>
          <w:t>;</w:t>
        </w:r>
        <w:r>
          <w:rPr>
            <w:rStyle w:val="lenovodivullia"/>
            <w:lang w:val="en-US" w:eastAsia="zh-CN" w:bidi="ar-SA"/>
          </w:rPr>
          <w:t>欧某买卖合同纠纷再审审查和审判监督民事裁定书</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65" w:tgtFrame="_blank" w:history="1">
        <w:r>
          <w:rPr>
            <w:rStyle w:val="lenovodivullia"/>
            <w:lang w:val="en-US" w:eastAsia="zh-CN" w:bidi="ar-SA"/>
          </w:rPr>
          <w:t>益西朗杰</w:t>
        </w:r>
        <w:r>
          <w:rPr>
            <w:rStyle w:val="lenovodivullia"/>
            <w:lang w:val="en-US" w:eastAsia="zh-CN" w:bidi="ar-SA"/>
          </w:rPr>
          <w:t>;</w:t>
        </w:r>
        <w:r>
          <w:rPr>
            <w:rStyle w:val="lenovodivullia"/>
            <w:lang w:val="en-US" w:eastAsia="zh-CN" w:bidi="ar-SA"/>
          </w:rPr>
          <w:t>西藏措勤县扶贫开发办公室</w:t>
        </w:r>
        <w:r>
          <w:rPr>
            <w:rStyle w:val="lenovodivullia"/>
            <w:lang w:val="en-US" w:eastAsia="zh-CN" w:bidi="ar-SA"/>
          </w:rPr>
          <w:t>;</w:t>
        </w:r>
        <w:r>
          <w:rPr>
            <w:rStyle w:val="lenovodivullia"/>
            <w:lang w:val="en-US" w:eastAsia="zh-CN" w:bidi="ar-SA"/>
          </w:rPr>
          <w:t>西藏浩腾实业有限公司等买卖合同纠纷再审审查和审判监督民事裁定书</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66" w:tgtFrame="_blank" w:history="1">
        <w:r>
          <w:rPr>
            <w:rStyle w:val="lenovodivullia"/>
            <w:lang w:val="en-US" w:eastAsia="zh-CN" w:bidi="ar-SA"/>
          </w:rPr>
          <w:t>四川某有限公司</w:t>
        </w:r>
        <w:r>
          <w:rPr>
            <w:rStyle w:val="lenovodivullia"/>
            <w:lang w:val="en-US" w:eastAsia="zh-CN" w:bidi="ar-SA"/>
          </w:rPr>
          <w:t>;</w:t>
        </w:r>
        <w:r>
          <w:rPr>
            <w:rStyle w:val="lenovodivullia"/>
            <w:lang w:val="en-US" w:eastAsia="zh-CN" w:bidi="ar-SA"/>
          </w:rPr>
          <w:t>旺某</w:t>
        </w:r>
        <w:r>
          <w:rPr>
            <w:rStyle w:val="lenovodivullia"/>
            <w:lang w:val="en-US" w:eastAsia="zh-CN" w:bidi="ar-SA"/>
          </w:rPr>
          <w:t>;</w:t>
        </w:r>
        <w:r>
          <w:rPr>
            <w:rStyle w:val="lenovodivullia"/>
            <w:lang w:val="en-US" w:eastAsia="zh-CN" w:bidi="ar-SA"/>
          </w:rPr>
          <w:t>王某买卖合同纠纷再审审查和审判监督民事裁定书</w:t>
        </w:r>
        <w:r>
          <w:rPr>
            <w:rStyle w:val="lenovodivullia"/>
            <w:lang w:val="en-US" w:eastAsia="zh-CN" w:bidi="ar-SA"/>
          </w:rPr>
          <w:t xml:space="preserve"> </w:t>
        </w:r>
      </w:hyperlink>
    </w:p>
    <w:p w:rsidR="00775642" w:rsidRDefault="00775642">
      <w:pPr>
        <w:pStyle w:val="lenovodivulli"/>
        <w:tabs>
          <w:tab w:val="left" w:pos="825"/>
        </w:tabs>
        <w:ind w:left="375" w:right="375"/>
        <w:textAlignment w:val="baseline"/>
        <w:rPr>
          <w:lang w:val="en-US" w:eastAsia="zh-CN" w:bidi="ar-SA"/>
        </w:rPr>
      </w:pPr>
      <w:hyperlink r:id="rId67" w:tgtFrame="_blank" w:history="1">
        <w:r>
          <w:rPr>
            <w:rStyle w:val="lenovodivullia"/>
            <w:lang w:val="en-US" w:eastAsia="zh-CN" w:bidi="ar-SA"/>
          </w:rPr>
          <w:t>杨某与被申请人某甲有限公司等与西藏某市公路建设项目管理中心买卖合同纠纷再审审查和审判监督民事裁定书</w:t>
        </w:r>
        <w:r>
          <w:rPr>
            <w:rStyle w:val="lenovodivullia"/>
            <w:lang w:val="en-US" w:eastAsia="zh-CN" w:bidi="ar-SA"/>
          </w:rPr>
          <w:t xml:space="preserve"> </w:t>
        </w:r>
      </w:hyperlink>
    </w:p>
    <w:p w:rsidR="00775642" w:rsidRDefault="00775642">
      <w:pPr>
        <w:pStyle w:val="div"/>
        <w:ind w:left="375" w:right="375" w:firstLine="225"/>
        <w:rPr>
          <w:rFonts w:ascii="宋体" w:eastAsia="宋体" w:hAnsi="宋体" w:cs="宋体"/>
          <w:sz w:val="23"/>
          <w:szCs w:val="23"/>
          <w:lang w:val="en-US" w:eastAsia="zh-CN" w:bidi="ar-SA"/>
        </w:rPr>
      </w:pPr>
      <w:hyperlink r:id="rId68" w:tgtFrame="_blank" w:history="1">
        <w:r>
          <w:rPr>
            <w:rStyle w:val="a3"/>
            <w:rFonts w:ascii="宋体" w:eastAsia="宋体" w:hAnsi="宋体" w:cs="宋体"/>
            <w:sz w:val="23"/>
            <w:szCs w:val="23"/>
            <w:lang w:val="en-US" w:eastAsia="zh-CN" w:bidi="ar-SA"/>
          </w:rPr>
          <w:t>更多</w:t>
        </w:r>
      </w:hyperlink>
    </w:p>
    <w:p w:rsidR="00775642" w:rsidRDefault="00775642">
      <w:pPr>
        <w:ind w:left="375" w:right="375"/>
        <w:rPr>
          <w:rFonts w:ascii="Arial" w:eastAsia="Arial" w:hAnsi="Arial" w:cs="Arial"/>
          <w:lang w:val="en-US" w:eastAsia="zh-CN" w:bidi="ar-SA"/>
        </w:rPr>
      </w:pPr>
      <w:r>
        <w:rPr>
          <w:rFonts w:ascii="Arial" w:eastAsia="Arial" w:hAnsi="Arial" w:cs="Arial"/>
          <w:lang w:val="en-US" w:eastAsia="zh-CN" w:bidi="ar-SA"/>
        </w:rPr>
        <w:br/>
      </w:r>
    </w:p>
    <w:p w:rsidR="00775642" w:rsidRDefault="00A77B3E">
      <w:pPr>
        <w:spacing w:line="630" w:lineRule="atLeast"/>
        <w:rPr>
          <w:rFonts w:eastAsia="Times New Roman"/>
          <w:sz w:val="26"/>
          <w:szCs w:val="26"/>
          <w:lang w:val="en-US" w:eastAsia="zh-CN" w:bidi="ar-SA"/>
        </w:rPr>
      </w:pPr>
      <w:r>
        <w:br w:type="page"/>
      </w:r>
      <w:r w:rsidR="00775642">
        <w:rPr>
          <w:rFonts w:eastAsia="Times New Roman"/>
          <w:sz w:val="26"/>
          <w:szCs w:val="26"/>
          <w:lang w:val="en-US" w:eastAsia="zh-CN" w:bidi="ar-SA"/>
        </w:rPr>
        <w:lastRenderedPageBreak/>
        <w:t>©北大法宝：（</w:t>
      </w:r>
      <w:hyperlink r:id="rId69" w:history="1">
        <w:r w:rsidR="00775642">
          <w:rPr>
            <w:rFonts w:eastAsia="Times New Roman"/>
            <w:color w:val="218FC4"/>
            <w:sz w:val="26"/>
            <w:szCs w:val="26"/>
            <w:u w:val="single" w:color="218FC4"/>
            <w:lang w:val="en-US" w:eastAsia="zh-CN" w:bidi="ar-SA"/>
          </w:rPr>
          <w:t>www.pkulaw.com</w:t>
        </w:r>
      </w:hyperlink>
      <w:r w:rsidR="00775642">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70" w:history="1">
        <w:r w:rsidR="00775642">
          <w:rPr>
            <w:rFonts w:eastAsia="Times New Roman"/>
            <w:color w:val="218FC4"/>
            <w:sz w:val="26"/>
            <w:szCs w:val="26"/>
            <w:u w:val="single" w:color="218FC4"/>
            <w:lang w:val="en-US" w:eastAsia="zh-CN" w:bidi="ar-SA"/>
          </w:rPr>
          <w:t>产品和服务</w:t>
        </w:r>
      </w:hyperlink>
      <w:r w:rsidR="00775642">
        <w:rPr>
          <w:rFonts w:eastAsia="Times New Roman"/>
          <w:sz w:val="26"/>
          <w:szCs w:val="26"/>
          <w:lang w:val="en-US" w:eastAsia="zh-CN" w:bidi="ar-SA"/>
        </w:rPr>
        <w:t>。</w:t>
      </w:r>
      <w:r w:rsidR="00775642">
        <w:rPr>
          <w:rFonts w:eastAsia="Times New Roman"/>
          <w:sz w:val="26"/>
          <w:szCs w:val="26"/>
          <w:lang w:val="en-US" w:eastAsia="zh-CN" w:bidi="ar-SA"/>
        </w:rPr>
        <w:br/>
      </w:r>
      <w:hyperlink r:id="rId71" w:history="1">
        <w:r w:rsidR="00775642">
          <w:rPr>
            <w:rFonts w:eastAsia="Times New Roman"/>
            <w:color w:val="218FC4"/>
            <w:sz w:val="26"/>
            <w:szCs w:val="26"/>
            <w:u w:val="single" w:color="218FC4"/>
            <w:lang w:val="en-US" w:eastAsia="zh-CN" w:bidi="ar-SA"/>
          </w:rPr>
          <w:t>法宝快讯： 如何快速找到您需要的检索结果？ 法宝 V6 有何新特色？</w:t>
        </w:r>
      </w:hyperlink>
    </w:p>
    <w:p w:rsidR="00775642" w:rsidRDefault="00775642">
      <w:pPr>
        <w:spacing w:before="900"/>
        <w:ind w:left="900" w:right="900"/>
        <w:jc w:val="center"/>
        <w:rPr>
          <w:rFonts w:eastAsia="Times New Roman"/>
          <w:lang w:val="en-US" w:eastAsia="zh-CN" w:bidi="ar-SA"/>
        </w:rPr>
      </w:pPr>
      <w:r>
        <w:rPr>
          <w:rFonts w:eastAsia="Times New Roman"/>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2pt;height:192pt;mso-position-horizontal-relative:text;mso-position-vertical-relative:text">
            <v:imagedata r:id="rId72" o:title=""/>
          </v:shape>
        </w:pict>
      </w:r>
    </w:p>
    <w:p w:rsidR="00775642" w:rsidRDefault="00775642">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rsidR="00775642" w:rsidRDefault="00775642">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73" w:history="1">
        <w:r>
          <w:rPr>
            <w:rFonts w:eastAsia="Times New Roman"/>
            <w:color w:val="000000"/>
            <w:sz w:val="26"/>
            <w:szCs w:val="26"/>
            <w:u w:val="single" w:color="000000"/>
            <w:lang w:val="en-US" w:eastAsia="zh-CN" w:bidi="ar-SA"/>
          </w:rPr>
          <w:t xml:space="preserve">https://www.pkulaw.com/pfnl/95b2ca8d4055fce103df5746b4555bab4a6f99c69993b138bdfb.html </w:t>
        </w:r>
      </w:hyperlink>
    </w:p>
    <w:p w:rsidR="00A77B3E" w:rsidRDefault="00A77B3E"/>
    <w:sectPr w:rsidR="00A77B3E">
      <w:headerReference w:type="default" r:id="rId74"/>
      <w:footerReference w:type="default" r:id="rId75"/>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642" w:rsidRDefault="00775642">
      <w:r>
        <w:separator/>
      </w:r>
    </w:p>
  </w:endnote>
  <w:endnote w:type="continuationSeparator" w:id="0">
    <w:p w:rsidR="00775642" w:rsidRDefault="00775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00000">
      <w:trPr>
        <w:tblCellSpacing w:w="15" w:type="dxa"/>
      </w:trPr>
      <w:tc>
        <w:tcPr>
          <w:tcW w:w="0" w:type="auto"/>
          <w:tcMar>
            <w:top w:w="15" w:type="dxa"/>
            <w:left w:w="15" w:type="dxa"/>
            <w:bottom w:w="15" w:type="dxa"/>
            <w:right w:w="15" w:type="dxa"/>
          </w:tcMar>
          <w:vAlign w:val="center"/>
          <w:hideMark/>
        </w:tcPr>
        <w:p w:rsidR="00775642" w:rsidRDefault="00775642">
          <w:pPr>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PAGE  </w:instrText>
          </w:r>
          <w:r>
            <w:rPr>
              <w:rFonts w:ascii="宋体" w:eastAsia="宋体" w:hAnsi="宋体" w:cs="宋体"/>
              <w:color w:val="000000"/>
              <w:sz w:val="18"/>
              <w:szCs w:val="18"/>
              <w:lang w:val="en-US" w:eastAsia="zh-CN" w:bidi="ar-SA"/>
            </w:rPr>
            <w:fldChar w:fldCharType="separate"/>
          </w:r>
          <w:r w:rsidR="003151D9">
            <w:rPr>
              <w:rFonts w:ascii="宋体" w:eastAsia="宋体" w:hAnsi="宋体" w:cs="宋体" w:hint="eastAsia"/>
              <w:noProof/>
              <w:color w:val="000000"/>
              <w:sz w:val="18"/>
              <w:szCs w:val="18"/>
              <w:lang w:val="en-US" w:eastAsia="zh-CN" w:bidi="ar-SA"/>
            </w:rPr>
            <w:t>1</w:t>
          </w:r>
          <w:r>
            <w:rPr>
              <w:rFonts w:ascii="宋体" w:eastAsia="宋体" w:hAnsi="宋体" w:cs="宋体"/>
              <w:color w:val="000000"/>
              <w:sz w:val="18"/>
              <w:szCs w:val="18"/>
              <w:lang w:val="en-US" w:eastAsia="zh-CN" w:bidi="ar-SA"/>
            </w:rPr>
            <w:fldChar w:fldCharType="end"/>
          </w:r>
          <w:r>
            <w:rPr>
              <w:rFonts w:ascii="宋体" w:eastAsia="宋体" w:hAnsi="宋体" w:cs="宋体"/>
              <w:color w:val="000000"/>
              <w:sz w:val="18"/>
              <w:szCs w:val="18"/>
              <w:lang w:val="en-US" w:eastAsia="zh-CN" w:bidi="ar-SA"/>
            </w:rPr>
            <w:t>/</w:t>
          </w:r>
          <w:r>
            <w:rPr>
              <w:rFonts w:ascii="宋体" w:eastAsia="宋体" w:hAnsi="宋体" w:cs="宋体"/>
              <w:color w:val="000000"/>
              <w:sz w:val="18"/>
              <w:szCs w:val="18"/>
              <w:lang w:val="en-US" w:eastAsia="zh-CN" w:bidi="ar-SA"/>
            </w:rPr>
            <w:fldChar w:fldCharType="begin"/>
          </w:r>
          <w:r>
            <w:rPr>
              <w:rFonts w:ascii="宋体" w:eastAsia="宋体" w:hAnsi="宋体" w:cs="宋体"/>
              <w:color w:val="000000"/>
              <w:sz w:val="18"/>
              <w:szCs w:val="18"/>
              <w:lang w:val="en-US" w:eastAsia="zh-CN" w:bidi="ar-SA"/>
            </w:rPr>
            <w:instrText xml:space="preserve"> NUMPAGES  </w:instrText>
          </w:r>
          <w:r>
            <w:rPr>
              <w:rFonts w:ascii="宋体" w:eastAsia="宋体" w:hAnsi="宋体" w:cs="宋体"/>
              <w:color w:val="000000"/>
              <w:sz w:val="18"/>
              <w:szCs w:val="18"/>
              <w:lang w:val="en-US" w:eastAsia="zh-CN" w:bidi="ar-SA"/>
            </w:rPr>
            <w:fldChar w:fldCharType="separate"/>
          </w:r>
          <w:r w:rsidR="003151D9">
            <w:rPr>
              <w:rFonts w:ascii="宋体" w:eastAsia="宋体" w:hAnsi="宋体" w:cs="宋体" w:hint="eastAsia"/>
              <w:noProof/>
              <w:color w:val="000000"/>
              <w:sz w:val="18"/>
              <w:szCs w:val="18"/>
              <w:lang w:val="en-US" w:eastAsia="zh-CN" w:bidi="ar-SA"/>
            </w:rPr>
            <w:t>2</w:t>
          </w:r>
          <w:r>
            <w:rPr>
              <w:rFonts w:ascii="宋体" w:eastAsia="宋体" w:hAnsi="宋体" w:cs="宋体"/>
              <w:color w:val="000000"/>
              <w:sz w:val="18"/>
              <w:szCs w:val="18"/>
              <w:lang w:val="en-US" w:eastAsia="zh-CN" w:bidi="ar-SA"/>
            </w:rPr>
            <w:fldChar w:fldCharType="end"/>
          </w:r>
        </w:p>
      </w:tc>
      <w:tc>
        <w:tcPr>
          <w:tcW w:w="0" w:type="auto"/>
          <w:tcMar>
            <w:top w:w="15" w:type="dxa"/>
            <w:left w:w="15" w:type="dxa"/>
            <w:bottom w:w="15" w:type="dxa"/>
            <w:right w:w="15" w:type="dxa"/>
          </w:tcMar>
          <w:vAlign w:val="center"/>
          <w:hideMark/>
        </w:tcPr>
        <w:p w:rsidR="00775642" w:rsidRDefault="00775642">
          <w:pPr>
            <w:jc w:val="right"/>
            <w:rPr>
              <w:rFonts w:ascii="宋体" w:eastAsia="宋体" w:hAnsi="宋体" w:cs="宋体"/>
              <w:color w:val="000000"/>
              <w:sz w:val="18"/>
              <w:szCs w:val="18"/>
              <w:lang w:val="en-US" w:eastAsia="zh-CN" w:bidi="ar-SA"/>
            </w:rPr>
          </w:pPr>
          <w:r>
            <w:rPr>
              <w:rFonts w:ascii="宋体" w:eastAsia="宋体" w:hAnsi="宋体" w:cs="宋体"/>
              <w:color w:val="000000"/>
              <w:sz w:val="18"/>
              <w:szCs w:val="18"/>
              <w:lang w:val="en-US" w:eastAsia="zh-CN" w:bidi="ar-SA"/>
            </w:rPr>
            <w:t>下载日期：</w:t>
          </w:r>
          <w:r>
            <w:rPr>
              <w:rFonts w:ascii="宋体" w:eastAsia="宋体" w:hAnsi="宋体" w:cs="宋体"/>
              <w:color w:val="000000"/>
              <w:sz w:val="18"/>
              <w:szCs w:val="18"/>
              <w:lang w:val="en-US" w:eastAsia="zh-CN" w:bidi="ar-SA"/>
            </w:rPr>
            <w:t>2026-04-05</w:t>
          </w:r>
        </w:p>
      </w:tc>
    </w:tr>
  </w:tbl>
  <w:p w:rsidR="00775642" w:rsidRDefault="007756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642" w:rsidRDefault="00775642">
      <w:r>
        <w:separator/>
      </w:r>
    </w:p>
  </w:footnote>
  <w:footnote w:type="continuationSeparator" w:id="0">
    <w:p w:rsidR="00775642" w:rsidRDefault="00775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761"/>
      <w:gridCol w:w="5795"/>
    </w:tblGrid>
    <w:tr w:rsidR="00000000">
      <w:trPr>
        <w:tblCellSpacing w:w="15" w:type="dxa"/>
      </w:trPr>
      <w:tc>
        <w:tcPr>
          <w:tcW w:w="0" w:type="auto"/>
          <w:tcMar>
            <w:top w:w="15" w:type="dxa"/>
            <w:left w:w="15" w:type="dxa"/>
            <w:bottom w:w="15" w:type="dxa"/>
            <w:right w:w="15" w:type="dxa"/>
          </w:tcMar>
          <w:vAlign w:val="center"/>
          <w:hideMark/>
        </w:tcPr>
        <w:p w:rsidR="00775642" w:rsidRDefault="00775642">
          <w:pPr>
            <w:rPr>
              <w:rFonts w:eastAsia="Times New Roman"/>
              <w:color w:val="000000"/>
              <w:lang w:val="en-US" w:eastAsia="zh-CN" w:bidi="ar-SA"/>
            </w:rPr>
          </w:pPr>
          <w:r>
            <w:rPr>
              <w:rFonts w:eastAsia="Times New Roman"/>
              <w:color w:val="000000"/>
              <w:lang w:val="en-US" w:eastAsia="zh-CN"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rsidR="00775642" w:rsidRDefault="00775642">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CLI.C.408365910</w:t>
          </w:r>
        </w:p>
      </w:tc>
    </w:tr>
  </w:tbl>
  <w:p w:rsidR="00775642" w:rsidRDefault="007756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3151D9"/>
    <w:rsid w:val="00775642"/>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C8BCC6B-4374-4876-8BDB-14E14F284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paragraph" w:styleId="4">
    <w:name w:val="heading 4"/>
    <w:basedOn w:val="a"/>
    <w:next w:val="a"/>
    <w:qFormat/>
    <w:rsid w:val="00EF7B96"/>
    <w:pPr>
      <w:keepNext/>
      <w:spacing w:before="240" w:after="60"/>
      <w:outlineLvl w:val="3"/>
    </w:pPr>
    <w:rPr>
      <w:b/>
      <w:bCs/>
      <w:sz w:val="28"/>
      <w:szCs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fulltext-wrapfields">
    <w:name w:val="fulltext-wrap_fields"/>
    <w:basedOn w:val="a"/>
    <w:pPr>
      <w:shd w:val="clear" w:color="auto" w:fill="F7F7F7"/>
    </w:pPr>
    <w:rPr>
      <w:shd w:val="clear" w:color="auto" w:fill="F7F7F7"/>
    </w:rPr>
  </w:style>
  <w:style w:type="paragraph" w:customStyle="1" w:styleId="fulltext-wrapfieldszhang">
    <w:name w:val="fulltext-wrap_fields_zhang"/>
    <w:basedOn w:val="a"/>
  </w:style>
  <w:style w:type="character" w:customStyle="1" w:styleId="fulltext-wrapfieldsulrow">
    <w:name w:val="fulltext-wrap_fields_ul_row"/>
    <w:basedOn w:val="a0"/>
  </w:style>
  <w:style w:type="paragraph" w:customStyle="1" w:styleId="fulltext-wrapfieldsullibox">
    <w:name w:val="fulltext-wrap_fields_ul_li_box"/>
    <w:basedOn w:val="a"/>
  </w:style>
  <w:style w:type="character" w:customStyle="1" w:styleId="fulltext-wrapfieldsulliboxstrong">
    <w:name w:val="fulltext-wrap_fields_ul_li_box_strong"/>
    <w:basedOn w:val="a0"/>
    <w:rPr>
      <w:b w:val="0"/>
      <w:bCs w:val="0"/>
      <w:color w:val="999999"/>
    </w:rPr>
  </w:style>
  <w:style w:type="character" w:customStyle="1" w:styleId="fulltext-wrapfieldsullia">
    <w:name w:val="fulltext-wrap_fields_ul_li_a"/>
    <w:basedOn w:val="a0"/>
    <w:rPr>
      <w:color w:val="218FC4"/>
    </w:rPr>
  </w:style>
  <w:style w:type="character" w:customStyle="1" w:styleId="fulltext-wrapfieldsulliannotation">
    <w:name w:val="fulltext-wrap_fields_ul_li_annotation"/>
    <w:basedOn w:val="a0"/>
    <w:rPr>
      <w:color w:val="FFFFFF"/>
      <w:sz w:val="18"/>
      <w:szCs w:val="18"/>
      <w:shd w:val="clear" w:color="auto" w:fill="65BEEA"/>
    </w:rPr>
  </w:style>
  <w:style w:type="character" w:customStyle="1" w:styleId="fulltext-wrapfieldsulliorganization">
    <w:name w:val="fulltext-wrap_fields_ul_li_organization"/>
    <w:basedOn w:val="a0"/>
    <w:rPr>
      <w:color w:val="FFFFFF"/>
      <w:shd w:val="clear" w:color="auto" w:fill="218FC4"/>
    </w:rPr>
  </w:style>
  <w:style w:type="character" w:customStyle="1" w:styleId="fulltext-wrapfieldsulli">
    <w:name w:val="fulltext-wrap_fields_ul_li"/>
    <w:basedOn w:val="a0"/>
    <w:rPr>
      <w:color w:val="999999"/>
      <w:spacing w:val="0"/>
      <w:sz w:val="21"/>
      <w:szCs w:val="21"/>
    </w:r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character" w:customStyle="1" w:styleId="span">
    <w:name w:val="span"/>
    <w:basedOn w:val="a0"/>
    <w:rPr>
      <w:sz w:val="24"/>
      <w:szCs w:val="24"/>
      <w:bdr w:val="none" w:sz="0" w:space="0" w:color="auto"/>
      <w:vertAlign w:val="baseline"/>
    </w:rPr>
  </w:style>
  <w:style w:type="character" w:customStyle="1" w:styleId="fulltext-wrapnavtiao">
    <w:name w:val="fulltext-wrap_navtiao"/>
    <w:basedOn w:val="a0"/>
    <w:rPr>
      <w:b/>
      <w:bCs/>
    </w:rPr>
  </w:style>
  <w:style w:type="character" w:customStyle="1" w:styleId="fulltext-wrapfulltexta">
    <w:name w:val="fulltext-wrap_fulltext_a"/>
    <w:basedOn w:val="a0"/>
    <w:rPr>
      <w:color w:val="218FC4"/>
    </w:rPr>
  </w:style>
  <w:style w:type="paragraph" w:customStyle="1" w:styleId="divlenovo">
    <w:name w:val="div_lenovo"/>
    <w:basedOn w:val="div"/>
    <w:rPr>
      <w:rFonts w:ascii="宋体" w:eastAsia="宋体" w:hAnsi="宋体" w:cs="宋体"/>
    </w:rPr>
  </w:style>
  <w:style w:type="character" w:customStyle="1" w:styleId="c-icon">
    <w:name w:val="c-icon"/>
    <w:basedOn w:val="a0"/>
    <w:rPr>
      <w:sz w:val="0"/>
      <w:szCs w:val="0"/>
    </w:rPr>
  </w:style>
  <w:style w:type="paragraph" w:customStyle="1" w:styleId="lenovodivblock">
    <w:name w:val="lenovo &gt; div_block"/>
    <w:basedOn w:val="a"/>
    <w:pPr>
      <w:ind w:firstLine="225"/>
    </w:pPr>
    <w:rPr>
      <w:sz w:val="23"/>
      <w:szCs w:val="23"/>
    </w:rPr>
  </w:style>
  <w:style w:type="paragraph" w:customStyle="1" w:styleId="lenovodivulli">
    <w:name w:val="lenovo &gt; div_ul_li"/>
    <w:basedOn w:val="a"/>
    <w:pPr>
      <w:ind w:firstLine="450"/>
    </w:pPr>
    <w:rPr>
      <w:rFonts w:ascii="微软雅黑" w:eastAsia="微软雅黑" w:hAnsi="微软雅黑" w:cs="微软雅黑"/>
      <w:sz w:val="18"/>
      <w:szCs w:val="18"/>
    </w:rPr>
  </w:style>
  <w:style w:type="character" w:customStyle="1" w:styleId="lenovodivullia">
    <w:name w:val="lenovo &gt; div_ul_li_a"/>
    <w:basedOn w:val="a0"/>
    <w:rPr>
      <w:color w:val="218FC4"/>
    </w:rPr>
  </w:style>
  <w:style w:type="character" w:customStyle="1" w:styleId="a3">
    <w:name w:val="a"/>
    <w:basedOn w:val="a0"/>
    <w:rPr>
      <w:color w:val="218FC4"/>
      <w:sz w:val="24"/>
      <w:szCs w:val="24"/>
      <w:bdr w:val="none" w:sz="0" w:space="0" w:color="auto"/>
      <w:vertAlign w:val="baseline"/>
    </w:rPr>
  </w:style>
  <w:style w:type="paragraph" w:styleId="a4">
    <w:name w:val="header"/>
    <w:basedOn w:val="a"/>
    <w:link w:val="a5"/>
    <w:rsid w:val="003151D9"/>
    <w:pPr>
      <w:tabs>
        <w:tab w:val="center" w:pos="4153"/>
        <w:tab w:val="right" w:pos="8306"/>
      </w:tabs>
      <w:snapToGrid w:val="0"/>
      <w:jc w:val="center"/>
    </w:pPr>
    <w:rPr>
      <w:sz w:val="18"/>
      <w:szCs w:val="18"/>
    </w:rPr>
  </w:style>
  <w:style w:type="character" w:customStyle="1" w:styleId="a5">
    <w:name w:val="页眉 字符"/>
    <w:basedOn w:val="a0"/>
    <w:link w:val="a4"/>
    <w:rsid w:val="003151D9"/>
    <w:rPr>
      <w:sz w:val="18"/>
      <w:szCs w:val="18"/>
    </w:rPr>
  </w:style>
  <w:style w:type="paragraph" w:styleId="a6">
    <w:name w:val="footer"/>
    <w:basedOn w:val="a"/>
    <w:link w:val="a7"/>
    <w:rsid w:val="003151D9"/>
    <w:pPr>
      <w:tabs>
        <w:tab w:val="center" w:pos="4153"/>
        <w:tab w:val="right" w:pos="8306"/>
      </w:tabs>
      <w:snapToGrid w:val="0"/>
    </w:pPr>
    <w:rPr>
      <w:sz w:val="18"/>
      <w:szCs w:val="18"/>
    </w:rPr>
  </w:style>
  <w:style w:type="character" w:customStyle="1" w:styleId="a7">
    <w:name w:val="页脚 字符"/>
    <w:basedOn w:val="a0"/>
    <w:link w:val="a6"/>
    <w:rsid w:val="003151D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hyperlink" Target="https://www.pkulaw.com/chl/f6b0744d27af6775bdfb.html?way=textSlc" TargetMode="External"/><Relationship Id="rId21" Type="http://schemas.openxmlformats.org/officeDocument/2006/relationships/hyperlink" Target="javascript:CompanySearch('&#31119;&#29790;&#29634;&#39135;&#21697;&#35774;&#22791;&#65288;&#27982;&#23425;&#65289;&#26377;&#38480;&#20844;&#21496;')" TargetMode="External"/><Relationship Id="rId42" Type="http://schemas.openxmlformats.org/officeDocument/2006/relationships/hyperlink" Target="https://www.pkulaw.com/chl/d33df017c784876fbdfb.html?way=textSlc" TargetMode="External"/><Relationship Id="rId47" Type="http://schemas.openxmlformats.org/officeDocument/2006/relationships/hyperlink" Target="https://www.pkulaw.com/chl/f6b0744d27af6775bdfb.html?way=textRightFblx" TargetMode="External"/><Relationship Id="rId63" Type="http://schemas.openxmlformats.org/officeDocument/2006/relationships/hyperlink" Target="https://www.pkulaw.com/pfnl/c7ed112b8012f81684aa45979c705f11dda0730ec9ddc5c8bdfb.html?way=textRightFblx" TargetMode="External"/><Relationship Id="rId68" Type="http://schemas.openxmlformats.org/officeDocument/2006/relationships/hyperlink" Target="https://www.pkulaw.com/case/pfnl?Aggs.CategoryIntegration=&amp;Aggs.LastInstanceCourt=&amp;way=textRightFblx" TargetMode="External"/><Relationship Id="rId16" Type="http://schemas.openxmlformats.org/officeDocument/2006/relationships/hyperlink" Target="https://www.pkulaw.com/?Aggs.TrialStep=002&amp;way=textBasic" TargetMode="External"/><Relationship Id="rId11" Type="http://schemas.openxmlformats.org/officeDocument/2006/relationships/hyperlink" Target="https://www.pkulaw.com/?Aggs.CategoryIntegration=002004001011&amp;way=textBasic" TargetMode="External"/><Relationship Id="rId24" Type="http://schemas.openxmlformats.org/officeDocument/2006/relationships/hyperlink" Target="https://www.pkulaw.com/chl/aec0c211a78989e9bdfb.html?way=textSlc" TargetMode="External"/><Relationship Id="rId32" Type="http://schemas.openxmlformats.org/officeDocument/2006/relationships/hyperlink" Target="https://www.pkulaw.com/chl/f6b0744d27af6775bdfb.html?way=textSlc" TargetMode="External"/><Relationship Id="rId37" Type="http://schemas.openxmlformats.org/officeDocument/2006/relationships/hyperlink" Target="https://www.pkulaw.com/chl/f6b0744d27af6775bdfb.html?way=textSlc" TargetMode="External"/><Relationship Id="rId40" Type="http://schemas.openxmlformats.org/officeDocument/2006/relationships/hyperlink" Target="https://www.pkulaw.com/chl/d33df017c784876fbdfb.html?way=textSlc" TargetMode="External"/><Relationship Id="rId45" Type="http://schemas.openxmlformats.org/officeDocument/2006/relationships/hyperlink" Target="https://www.pkulaw.com/chl/d33df017c784876fbdfb.html?way=textRightFblx" TargetMode="External"/><Relationship Id="rId53" Type="http://schemas.openxmlformats.org/officeDocument/2006/relationships/hyperlink" Target="https://www.pkulaw.com/pfnl/08df102e7c10f20618aff604655ca988207d1ea370ac2d1abdfb.html?way=textRightFblx" TargetMode="External"/><Relationship Id="rId58" Type="http://schemas.openxmlformats.org/officeDocument/2006/relationships/hyperlink" Target="https://www.pkulaw.com/pfnl/08df102e7c10f20604e6b0414288e6333cfee1fbec5a4967bdfb.html?way=textRightFblx" TargetMode="External"/><Relationship Id="rId66" Type="http://schemas.openxmlformats.org/officeDocument/2006/relationships/hyperlink" Target="https://www.pkulaw.com/pfnl/c7ed112b8012f81627703b2d8b65289c1b14e0028207566ebdfb.html?way=textRightFblx" TargetMode="External"/><Relationship Id="rId74"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www.pkulaw.com/pfnl/c7ed112b8012f816a0fdc218b3cb2c14a2c521412257e1f4bdfb.html?way=textRightFblx" TargetMode="External"/><Relationship Id="rId19" Type="http://schemas.openxmlformats.org/officeDocument/2006/relationships/hyperlink" Target="https://www.pkulaw.com/?ExtCondition.CriminalPunish=01020201&amp;way=textBasic" TargetMode="External"/><Relationship Id="rId14" Type="http://schemas.openxmlformats.org/officeDocument/2006/relationships/hyperlink" Target="https://www.pkulaw.com/?Aggs.LastInstanceCourt=2701&amp;way=textBasic" TargetMode="External"/><Relationship Id="rId22" Type="http://schemas.openxmlformats.org/officeDocument/2006/relationships/hyperlink" Target="https://www.pkulaw.com/chl/12e67f26d4b80606bdfb.html?way=textSlc" TargetMode="External"/><Relationship Id="rId27" Type="http://schemas.openxmlformats.org/officeDocument/2006/relationships/hyperlink" Target="https://www.pkulaw.com/chl/f6b0744d27af6775bdfb.html?way=textSlc" TargetMode="External"/><Relationship Id="rId30" Type="http://schemas.openxmlformats.org/officeDocument/2006/relationships/hyperlink" Target="https://www.pkulaw.com/chl/12e67f26d4b80606bdfb.html?way=textSlc" TargetMode="External"/><Relationship Id="rId35" Type="http://schemas.openxmlformats.org/officeDocument/2006/relationships/hyperlink" Target="https://www.pkulaw.com/chl/6a88714068b3724dbdfb.html?way=textSlc" TargetMode="External"/><Relationship Id="rId43" Type="http://schemas.openxmlformats.org/officeDocument/2006/relationships/hyperlink" Target="https://www.pkulaw.com/chl/d33df017c784876fbdfb.html?way=textSlc" TargetMode="External"/><Relationship Id="rId48" Type="http://schemas.openxmlformats.org/officeDocument/2006/relationships/hyperlink" Target="https://www.pkulaw.com/chl/aec0c211a78989e9bdfb.html?way=textRightFblx" TargetMode="External"/><Relationship Id="rId56" Type="http://schemas.openxmlformats.org/officeDocument/2006/relationships/hyperlink" Target="https://www.pkulaw.com/pfnl/c7ed112b8012f816700be49834a954203e4bb92f5b188cccbdfb.html?way=textRightFblx" TargetMode="External"/><Relationship Id="rId64" Type="http://schemas.openxmlformats.org/officeDocument/2006/relationships/hyperlink" Target="https://www.pkulaw.com/pfnl/c7ed112b8012f81675ab1196822f4d8b44e1320086548d7abdfb.html?way=textRightFblx" TargetMode="External"/><Relationship Id="rId69" Type="http://schemas.openxmlformats.org/officeDocument/2006/relationships/hyperlink" Target="https://www.pkulaw.com" TargetMode="External"/><Relationship Id="rId77" Type="http://schemas.openxmlformats.org/officeDocument/2006/relationships/theme" Target="theme/theme1.xml"/><Relationship Id="rId8" Type="http://schemas.openxmlformats.org/officeDocument/2006/relationships/hyperlink" Target="https://www.pkulaw.com/?Aggs.CategoryIntegration=002004&amp;way=textBasic" TargetMode="External"/><Relationship Id="rId51" Type="http://schemas.openxmlformats.org/officeDocument/2006/relationships/hyperlink" Target="https://www.pkulaw.com/pfnl/c7ed112b8012f816a7ded822a39622b277f69404a9f01a60bdfb.html?way=textRightFblx" TargetMode="External"/><Relationship Id="rId72"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javascript:void(0)" TargetMode="External"/><Relationship Id="rId17" Type="http://schemas.openxmlformats.org/officeDocument/2006/relationships/hyperlink" Target="https://www.pkulaw.com/?ExtCondition.CriminalPunish=01010219&amp;way=textBasic" TargetMode="External"/><Relationship Id="rId25" Type="http://schemas.openxmlformats.org/officeDocument/2006/relationships/hyperlink" Target="https://www.pkulaw.com/chl/aec0c211a78989e9bdfb.html?way=textSlc" TargetMode="External"/><Relationship Id="rId33" Type="http://schemas.openxmlformats.org/officeDocument/2006/relationships/hyperlink" Target="https://www.pkulaw.com/chl/f6b0744d27af6775bdfb.html?way=textSlc" TargetMode="External"/><Relationship Id="rId38" Type="http://schemas.openxmlformats.org/officeDocument/2006/relationships/hyperlink" Target="https://www.pkulaw.com/chl/f6b0744d27af6775bdfb.html?way=textSlc" TargetMode="External"/><Relationship Id="rId46" Type="http://schemas.openxmlformats.org/officeDocument/2006/relationships/hyperlink" Target="https://www.pkulaw.com/chl/f6b0744d27af6775bdfb.html?way=textRightFblx" TargetMode="External"/><Relationship Id="rId59" Type="http://schemas.openxmlformats.org/officeDocument/2006/relationships/hyperlink" Target="https://www.pkulaw.com/case/pfnl?Aggs.CategoryIntegration=&amp;way=textRightFblx" TargetMode="External"/><Relationship Id="rId67" Type="http://schemas.openxmlformats.org/officeDocument/2006/relationships/hyperlink" Target="https://www.pkulaw.com/pfnl/c7ed112b8012f81670c0b8af4969b92cc2b7a30e4b36b99abdfb.html?way=textRightFblx" TargetMode="External"/><Relationship Id="rId20" Type="http://schemas.openxmlformats.org/officeDocument/2006/relationships/hyperlink" Target="https://www.pkulaw.com/?ExtCondition.CriminalPunish=01021101&amp;way=textBasic" TargetMode="External"/><Relationship Id="rId41" Type="http://schemas.openxmlformats.org/officeDocument/2006/relationships/hyperlink" Target="https://www.pkulaw.com/chl/d33df017c784876fbdfb.html?way=textSlc" TargetMode="External"/><Relationship Id="rId54" Type="http://schemas.openxmlformats.org/officeDocument/2006/relationships/hyperlink" Target="https://www.pkulaw.com/pfnl/08df102e7c10f206487efc43e556d6a4e38d5a9e1d971c31bdfb.html?way=textRightFblx" TargetMode="External"/><Relationship Id="rId62" Type="http://schemas.openxmlformats.org/officeDocument/2006/relationships/hyperlink" Target="https://www.pkulaw.com/pfnl/c7ed112b8012f8161d82471cb99312a3506bb1b0ce84b6cabdfb.html?way=textRightFblx" TargetMode="External"/><Relationship Id="rId70" Type="http://schemas.openxmlformats.org/officeDocument/2006/relationships/hyperlink" Target="http://www.pkulaw.net/"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kulaw.com/?Aggs.CaseClass=001002005&amp;way=textBasic" TargetMode="External"/><Relationship Id="rId23" Type="http://schemas.openxmlformats.org/officeDocument/2006/relationships/hyperlink" Target="https://www.pkulaw.com/chl/12e67f26d4b80606bdfb.html?way=textSlc" TargetMode="External"/><Relationship Id="rId28" Type="http://schemas.openxmlformats.org/officeDocument/2006/relationships/hyperlink" Target="https://www.pkulaw.com/chl/f6b0744d27af6775bdfb.html?way=textSlc" TargetMode="External"/><Relationship Id="rId36" Type="http://schemas.openxmlformats.org/officeDocument/2006/relationships/hyperlink" Target="https://www.pkulaw.com/chl/f6b0744d27af6775bdfb.html?way=textSlc" TargetMode="External"/><Relationship Id="rId49" Type="http://schemas.openxmlformats.org/officeDocument/2006/relationships/hyperlink" Target="https://www.pkulaw.com/chl/6a88714068b3724dbdfb.html?way=textRightFblx" TargetMode="External"/><Relationship Id="rId57" Type="http://schemas.openxmlformats.org/officeDocument/2006/relationships/hyperlink" Target="https://www.pkulaw.com/pfnl/08df102e7c10f206da8812fb3583c13089cd00598f3ecd14bdfb.html?way=textRightFblx" TargetMode="External"/><Relationship Id="rId10" Type="http://schemas.openxmlformats.org/officeDocument/2006/relationships/hyperlink" Target="https://www.pkulaw.com/?Aggs.CategoryIntegration=002004001&amp;way=textBasic" TargetMode="External"/><Relationship Id="rId31" Type="http://schemas.openxmlformats.org/officeDocument/2006/relationships/hyperlink" Target="https://www.pkulaw.com/chl/12e67f26d4b80606bdfb.html?way=textSlc" TargetMode="External"/><Relationship Id="rId44" Type="http://schemas.openxmlformats.org/officeDocument/2006/relationships/hyperlink" Target="https://www.pkulaw.com/chl/d33df017c784876fbdfb.html?way=textRightFblx" TargetMode="External"/><Relationship Id="rId52" Type="http://schemas.openxmlformats.org/officeDocument/2006/relationships/hyperlink" Target="https://www.pkulaw.com/pfnl/c7ed112b8012f816e624de1bee544d63f7d3931e7eadb7b2bdfb.html?way=textRightFblx" TargetMode="External"/><Relationship Id="rId60" Type="http://schemas.openxmlformats.org/officeDocument/2006/relationships/hyperlink" Target="https://www.pkulaw.com/pfnl/c7ed112b8012f816df00285409f1a0f6bde7f01a587d51b0bdfb.html?way=textRightFblx" TargetMode="External"/><Relationship Id="rId65" Type="http://schemas.openxmlformats.org/officeDocument/2006/relationships/hyperlink" Target="https://www.pkulaw.com/pfnl/c7ed112b8012f816b983860af25190ca9595590689413e06bdfb.html?way=textRightFblx" TargetMode="External"/><Relationship Id="rId73" Type="http://schemas.openxmlformats.org/officeDocument/2006/relationships/hyperlink" Target="https://www.pkulaw.com/pfnl/95b2ca8d4055fce103df5746b4555bab4a6f99c69993b138bdfb.html"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3" Type="http://schemas.openxmlformats.org/officeDocument/2006/relationships/hyperlink" Target="https://www.pkulaw.com/?Aggs.DocumentAttr=002&amp;way=textBasic" TargetMode="External"/><Relationship Id="rId18" Type="http://schemas.openxmlformats.org/officeDocument/2006/relationships/hyperlink" Target="https://www.pkulaw.com/?ExtCondition.CriminalPunish=01010501&amp;way=textBasic" TargetMode="External"/><Relationship Id="rId39" Type="http://schemas.openxmlformats.org/officeDocument/2006/relationships/hyperlink" Target="https://www.pkulaw.com/chl/d33df017c784876fbdfb.html?way=textSlc" TargetMode="External"/><Relationship Id="rId34" Type="http://schemas.openxmlformats.org/officeDocument/2006/relationships/hyperlink" Target="https://www.pkulaw.com/chl/6a88714068b3724dbdfb.html?way=textSlc" TargetMode="External"/><Relationship Id="rId50" Type="http://schemas.openxmlformats.org/officeDocument/2006/relationships/hyperlink" Target="https://www.pkulaw.com/chl/12e67f26d4b80606bdfb.html?way=textRightFblx" TargetMode="External"/><Relationship Id="rId55" Type="http://schemas.openxmlformats.org/officeDocument/2006/relationships/hyperlink" Target="https://www.pkulaw.com/pfnl/08df102e7c10f2062e09f209dc10d254295f83e22b49deeabdfb.html?way=textRightFblx" TargetMode="External"/><Relationship Id="rId76" Type="http://schemas.openxmlformats.org/officeDocument/2006/relationships/fontTable" Target="fontTable.xml"/><Relationship Id="rId7" Type="http://schemas.openxmlformats.org/officeDocument/2006/relationships/hyperlink" Target="https://www.pkulaw.com/?Aggs.CategoryIntegration=002&amp;way=textBasic" TargetMode="External"/><Relationship Id="rId71" Type="http://schemas.openxmlformats.org/officeDocument/2006/relationships/hyperlink" Target="http://www.pkulaw.com/helps/69.html" TargetMode="External"/><Relationship Id="rId2" Type="http://schemas.openxmlformats.org/officeDocument/2006/relationships/styles" Target="styles.xml"/><Relationship Id="rId29" Type="http://schemas.openxmlformats.org/officeDocument/2006/relationships/hyperlink" Target="https://www.pkulaw.com/chl/12e67f26d4b80606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2939</Words>
  <Characters>3264</Characters>
  <Application>Microsoft Office Word</Application>
  <DocSecurity>0</DocSecurity>
  <Lines>135</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Tao</dc:creator>
  <cp:keywords/>
  <cp:lastModifiedBy>tao Tao</cp:lastModifiedBy>
  <cp:revision>2</cp:revision>
  <cp:lastPrinted>1601-01-01T00:00:00Z</cp:lastPrinted>
  <dcterms:created xsi:type="dcterms:W3CDTF">2026-04-04T17:08:00Z</dcterms:created>
  <dcterms:modified xsi:type="dcterms:W3CDTF">2026-04-04T17:08:00Z</dcterms:modified>
</cp:coreProperties>
</file>