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CEMS DT5 Advisory Board 최종 리뷰</w:t>
      </w:r>
    </w:p>
    <w:p>
      <w:pPr>
        <w:pStyle w:val="Heading2"/>
      </w:pPr>
      <w:r>
        <w:rPr>
          <w:sz w:val="22"/>
        </w:rPr>
        <w:t>국가대형과제 평가 대비 — 2026-03-02</w:t>
      </w:r>
    </w:p>
    <w:p>
      <w:pPr>
        <w:ind w:left="720"/>
        <w:shd w:val="clear" w:color="auto" w:fill="FFF3CD"/>
      </w:pPr>
      <w:r>
        <w:rPr>
          <w:sz w:val="22"/>
        </w:rPr>
        <w:t>92/92 테스트 통과 | 13개 모듈 + Expansion + Solar Battery</w:t>
      </w:r>
    </w:p>
    <w:p>
      <w:pPr>
        <w:ind w:left="720"/>
        <w:shd w:val="clear" w:color="auto" w:fill="FFF3CD"/>
      </w:pPr>
      <w:r>
        <w:rPr>
          <w:sz w:val="22"/>
        </w:rPr>
        <w:t>3월 둘째주 연구팀 시연 예정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2"/>
        </w:rPr>
        <w:t>🔴 PART 1: Skeptic (Reviewer 2) — 수학/물리/공학 펀더멘털 검증</w:t>
      </w:r>
    </w:p>
    <w:p>
      <w:pPr>
        <w:pStyle w:val="Heading2"/>
      </w:pPr>
      <w:r>
        <w:rPr>
          <w:sz w:val="22"/>
        </w:rPr>
        <w:t>MUST FIX (시연 전 반드시 수정)</w:t>
      </w:r>
    </w:p>
    <w:p>
      <w:pPr>
        <w:pStyle w:val="Heading3"/>
      </w:pPr>
      <w:r>
        <w:rPr>
          <w:sz w:val="22"/>
        </w:rPr>
        <w:t>MF-1. PV 온도계수 적용 오류 (m01_pv.py)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</w:t>
      </w:r>
      <w:r>
        <w:rPr>
          <w:rFonts w:ascii="Courier New" w:hAnsi="Courier New"/>
          <w:color w:val="800000"/>
          <w:sz w:val="20"/>
        </w:rPr>
        <w:t>_calculate_temperature_efficiency()</w:t>
      </w:r>
      <w:r>
        <w:rPr>
          <w:sz w:val="22"/>
        </w:rPr>
        <w:t xml:space="preserve"> line ~107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eta_temp = eta_stc * (1 + beta * (cell_temp - 25) / 100)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</w:t>
      </w:r>
      <w:r>
        <w:rPr>
          <w:rFonts w:ascii="Courier New" w:hAnsi="Courier New"/>
          <w:color w:val="800000"/>
          <w:sz w:val="20"/>
        </w:rPr>
        <w:t>beta</w:t>
      </w:r>
      <w:r>
        <w:rPr>
          <w:sz w:val="22"/>
        </w:rPr>
        <w:t xml:space="preserve">가 이미 </w:t>
      </w:r>
      <w:r>
        <w:rPr>
          <w:rFonts w:ascii="Courier New" w:hAnsi="Courier New"/>
          <w:color w:val="800000"/>
          <w:sz w:val="20"/>
        </w:rPr>
        <w:t>%/°C</w:t>
      </w:r>
      <w:r>
        <w:rPr>
          <w:sz w:val="22"/>
        </w:rPr>
        <w:t xml:space="preserve"> 단위인데 </w:t>
      </w:r>
      <w:r>
        <w:rPr>
          <w:rFonts w:ascii="Courier New" w:hAnsi="Courier New"/>
          <w:color w:val="800000"/>
          <w:sz w:val="20"/>
        </w:rPr>
        <w:t>/100</w:t>
      </w:r>
      <w:r>
        <w:rPr>
          <w:sz w:val="22"/>
        </w:rPr>
        <w:t>을 추가로 나눔. β = -0.35 %/°C이면 셀온도 60°C에서:</w:t>
      </w:r>
    </w:p>
    <w:p>
      <w:pPr>
        <w:pStyle w:val="ListBullet"/>
      </w:pPr>
      <w:r>
        <w:rPr>
          <w:sz w:val="22"/>
        </w:rPr>
        <w:t xml:space="preserve">현재 코드: η = 24.4 × (1 + (-0.35) × 35 / 100) = 24.4 × 0.8775 = </w:t>
      </w:r>
      <w:r>
        <w:rPr>
          <w:b/>
          <w:sz w:val="22"/>
        </w:rPr>
        <w:t>21.4%</w:t>
      </w:r>
      <w:r>
        <w:rPr>
          <w:sz w:val="22"/>
        </w:rPr>
        <w:t xml:space="preserve"> ← 거의 정상처럼 보이지만...</w:t>
      </w:r>
    </w:p>
    <w:p>
      <w:pPr>
        <w:pStyle w:val="ListBullet"/>
      </w:pPr>
      <w:r>
        <w:rPr>
          <w:sz w:val="22"/>
        </w:rPr>
        <w:t xml:space="preserve">실제 의도: η = 24.4 × (1 + (-0.0035) × 35) = 24.4 × 0.8775 = </w:t>
      </w:r>
      <w:r>
        <w:rPr>
          <w:b/>
          <w:sz w:val="22"/>
        </w:rPr>
        <w:t>21.4%</w:t>
      </w:r>
    </w:p>
    <w:p>
      <w:r>
        <w:rPr>
          <w:sz w:val="22"/>
        </w:rPr>
        <w:t>사실 수치적으로는 우연히 동일한 결과가 나옴 (</w:t>
      </w:r>
      <w:r>
        <w:rPr>
          <w:rFonts w:ascii="Courier New" w:hAnsi="Courier New"/>
          <w:color w:val="800000"/>
          <w:sz w:val="20"/>
        </w:rPr>
        <w:t>beta/100 * delta_T</w:t>
      </w:r>
      <w:r>
        <w:rPr>
          <w:sz w:val="22"/>
        </w:rPr>
        <w:t xml:space="preserve"> = </w:t>
      </w:r>
      <w:r>
        <w:rPr>
          <w:rFonts w:ascii="Courier New" w:hAnsi="Courier New"/>
          <w:color w:val="800000"/>
          <w:sz w:val="20"/>
        </w:rPr>
        <w:t>beta_fraction * delta_T</w:t>
      </w:r>
      <w:r>
        <w:rPr>
          <w:sz w:val="22"/>
        </w:rPr>
        <w:t xml:space="preserve">). 그러나 </w:t>
      </w:r>
      <w:r>
        <w:rPr>
          <w:b/>
          <w:sz w:val="22"/>
        </w:rPr>
        <w:t>코드의 의미론적 명확성</w:t>
      </w:r>
      <w:r>
        <w:rPr>
          <w:sz w:val="22"/>
        </w:rPr>
        <w:t>이 부족. β가 -0.35 (%/°C)이므로 분수 변환(</w:t>
      </w:r>
      <w:r>
        <w:rPr>
          <w:rFonts w:ascii="Courier New" w:hAnsi="Courier New"/>
          <w:color w:val="800000"/>
          <w:sz w:val="20"/>
        </w:rPr>
        <w:t>/100</w:t>
      </w:r>
      <w:r>
        <w:rPr>
          <w:sz w:val="22"/>
        </w:rPr>
        <w:t>)이 맞지만, 주석과 변수명이 혼동을 야기함. 평가위원이 "단위 오류 아닌가?"라고 질문할 수 있음.</w:t>
      </w:r>
    </w:p>
    <w:p>
      <w:r>
        <w:rPr>
          <w:b/>
          <w:sz w:val="22"/>
        </w:rPr>
        <w:t>수정</w:t>
      </w:r>
      <w:r>
        <w:rPr>
          <w:sz w:val="22"/>
        </w:rPr>
        <w:t xml:space="preserve">: 명시적으로 </w:t>
      </w:r>
      <w:r>
        <w:rPr>
          <w:rFonts w:ascii="Courier New" w:hAnsi="Courier New"/>
          <w:color w:val="800000"/>
          <w:sz w:val="20"/>
        </w:rPr>
        <w:t>beta_fraction = beta / 100</w:t>
      </w:r>
      <w:r>
        <w:rPr>
          <w:sz w:val="22"/>
        </w:rPr>
        <w:t xml:space="preserve"> 변환 후 사용하고 주석에 단위 변환 과정을 기술.</w:t>
      </w:r>
    </w:p>
    <w:p>
      <w:pPr>
        <w:pStyle w:val="Heading3"/>
      </w:pPr>
      <w:r>
        <w:rPr>
          <w:sz w:val="22"/>
        </w:rPr>
        <w:t>MF-2. HESS 주파수 배분 로직 — 미배분 전력 처리 불완전 (m02_hess.py)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</w:t>
      </w:r>
      <w:r>
        <w:rPr>
          <w:rFonts w:ascii="Courier New" w:hAnsi="Courier New"/>
          <w:color w:val="800000"/>
          <w:sz w:val="20"/>
        </w:rPr>
        <w:t>calculate_power_allocation()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주파수가 어떤 레이어의 범위에도 맞지 않으면 </w:t>
      </w:r>
      <w:r>
        <w:rPr>
          <w:rFonts w:ascii="Courier New" w:hAnsi="Courier New"/>
          <w:color w:val="800000"/>
          <w:sz w:val="20"/>
        </w:rPr>
        <w:t>remaining_power</w:t>
      </w:r>
      <w:r>
        <w:rPr>
          <w:sz w:val="22"/>
        </w:rPr>
        <w:t xml:space="preserve">가 그대로 남음. fallback 로직에서 </w:t>
      </w:r>
      <w:r>
        <w:rPr>
          <w:rFonts w:ascii="Courier New" w:hAnsi="Courier New"/>
          <w:color w:val="800000"/>
          <w:sz w:val="20"/>
        </w:rPr>
        <w:t>best_layer</w:t>
      </w:r>
      <w:r>
        <w:rPr>
          <w:sz w:val="22"/>
        </w:rPr>
        <w:t xml:space="preserve">를 찾지만, 모든 레이어의 </w:t>
      </w:r>
      <w:r>
        <w:rPr>
          <w:rFonts w:ascii="Courier New" w:hAnsi="Courier New"/>
          <w:color w:val="800000"/>
          <w:sz w:val="20"/>
        </w:rPr>
        <w:t>time_constant_range</w:t>
      </w:r>
      <w:r>
        <w:rPr>
          <w:sz w:val="22"/>
        </w:rPr>
        <w:t xml:space="preserve">를 벗어나는 주파수(예: 극저주파 &lt; 3.17e-8 Hz)에서 </w:t>
      </w:r>
      <w:r>
        <w:rPr>
          <w:rFonts w:ascii="Courier New" w:hAnsi="Courier New"/>
          <w:color w:val="800000"/>
          <w:sz w:val="20"/>
        </w:rPr>
        <w:t>best_layer = None</w:t>
      </w:r>
      <w:r>
        <w:rPr>
          <w:sz w:val="22"/>
        </w:rPr>
        <w:t xml:space="preserve"> → </w:t>
      </w:r>
      <w:r>
        <w:rPr>
          <w:b/>
          <w:sz w:val="22"/>
        </w:rPr>
        <w:t>전력이 소실됨</w:t>
      </w:r>
      <w:r>
        <w:rPr>
          <w:sz w:val="22"/>
        </w:rPr>
        <w:t>.</w:t>
      </w:r>
    </w:p>
    <w:p>
      <w:r>
        <w:rPr>
          <w:b/>
          <w:sz w:val="22"/>
        </w:rPr>
        <w:t>영향</w:t>
      </w:r>
      <w:r>
        <w:rPr>
          <w:sz w:val="22"/>
        </w:rPr>
        <w:t>: 시연 중 극단적 시나리오에서 에너지 보존 위반이 드러날 수 있음.</w:t>
      </w:r>
    </w:p>
    <w:p>
      <w:r>
        <w:rPr>
          <w:b/>
          <w:sz w:val="22"/>
        </w:rPr>
        <w:t>수정</w:t>
      </w:r>
      <w:r>
        <w:rPr>
          <w:sz w:val="22"/>
        </w:rPr>
        <w:t xml:space="preserve">: fallback에서 </w:t>
      </w:r>
      <w:r>
        <w:rPr>
          <w:rFonts w:ascii="Courier New" w:hAnsi="Courier New"/>
          <w:color w:val="800000"/>
          <w:sz w:val="20"/>
        </w:rPr>
        <w:t>best_layer</w:t>
      </w:r>
      <w:r>
        <w:rPr>
          <w:sz w:val="22"/>
        </w:rPr>
        <w:t xml:space="preserve">가 None일 때 </w:t>
      </w:r>
      <w:r>
        <w:rPr>
          <w:rFonts w:ascii="Courier New" w:hAnsi="Courier New"/>
          <w:color w:val="800000"/>
          <w:sz w:val="20"/>
        </w:rPr>
        <w:t>h2</w:t>
      </w:r>
      <w:r>
        <w:rPr>
          <w:sz w:val="22"/>
        </w:rPr>
        <w:t xml:space="preserve"> (최장 시간 상수) 레이어로 강제 배분하거나, 미배분 전력을 그리드로 전달하는 로직 추가.</w:t>
      </w:r>
    </w:p>
    <w:p>
      <w:pPr>
        <w:pStyle w:val="Heading3"/>
      </w:pPr>
      <w:r>
        <w:rPr>
          <w:sz w:val="22"/>
        </w:rPr>
        <w:t>MF-3. H₂ Round-Trip 효율 — config vs 실제 계산 불일치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config.py </w:t>
      </w:r>
      <w:r>
        <w:rPr>
          <w:rFonts w:ascii="Courier New" w:hAnsi="Courier New"/>
          <w:color w:val="800000"/>
          <w:sz w:val="20"/>
        </w:rPr>
        <w:t>H2_SYSTEM_CONFIG["round_trip_efficiency"]["electrical_only"] = 0.375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SOEC η=0.85 × SOFC η=0.60 = 0.51이 round-trip 전기효율이어야 하는데 config에는 0.375(37.5%)로 기재. 이는 IEA 2023 보고서 인용값이지만, </w:t>
      </w:r>
      <w:r>
        <w:rPr>
          <w:b/>
          <w:sz w:val="22"/>
        </w:rPr>
        <w:t>본 시스템의 모델 파라미터와 불일치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SOEC 0.85 × SOFC 0.60 = </w:t>
      </w:r>
      <w:r>
        <w:rPr>
          <w:b/>
          <w:sz w:val="22"/>
        </w:rPr>
        <w:t>0.51</w:t>
      </w:r>
      <w:r>
        <w:rPr>
          <w:sz w:val="22"/>
        </w:rPr>
        <w:t xml:space="preserve"> (51%)</w:t>
      </w:r>
    </w:p>
    <w:p>
      <w:pPr>
        <w:pStyle w:val="ListBullet"/>
      </w:pPr>
      <w:r>
        <w:rPr>
          <w:sz w:val="22"/>
        </w:rPr>
        <w:t>여기에 압축/저장 손실, 부분부하 효율 저하를 감안해도 0.375는 과도하게 보수적이거나, 모델 파라미터가 과도하게 낙관적.</w:t>
      </w:r>
    </w:p>
    <w:p>
      <w:r>
        <w:rPr>
          <w:b/>
          <w:sz w:val="22"/>
        </w:rPr>
        <w:t>영향</w:t>
      </w:r>
      <w:r>
        <w:rPr>
          <w:sz w:val="22"/>
        </w:rPr>
        <w:t>: 평가위원이 "모델 파라미터와 config 값이 왜 다르냐"고 물으면 일관성 부족 노출.</w:t>
      </w:r>
    </w:p>
    <w:p>
      <w:r>
        <w:rPr>
          <w:b/>
          <w:sz w:val="22"/>
        </w:rPr>
        <w:t>수정</w:t>
      </w:r>
      <w:r>
        <w:rPr>
          <w:sz w:val="22"/>
        </w:rPr>
        <w:t>: config 값을 모델 계산 결과와 정합시키거나, "시스템 레벨 효율 = 컴포넌트 효율 × 보조설비 손실 × 부분부하 보정" 공식을 문서화.</w:t>
      </w:r>
    </w:p>
    <w:p>
      <w:pPr>
        <w:pStyle w:val="Heading3"/>
      </w:pPr>
      <w:r>
        <w:rPr>
          <w:sz w:val="22"/>
        </w:rPr>
        <w:t>MF-4. 경제성 모델 — demand_charge 등 추가 수익의 하드코딩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m09_economics.py </w:t>
      </w:r>
      <w:r>
        <w:rPr>
          <w:rFonts w:ascii="Courier New" w:hAnsi="Courier New"/>
          <w:color w:val="800000"/>
          <w:sz w:val="20"/>
        </w:rPr>
        <w:t>run_base_case()</w:t>
      </w:r>
      <w:r>
        <w:rPr>
          <w:sz w:val="22"/>
        </w:rPr>
        <w:t xml:space="preserve"> default arguments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demand_charge_saving_billion_krw: float = 280.0,</w:t>
        <w:br/>
        <w:t>grid_reliability_benefit_billion_krw: float = 220.0,</w:t>
        <w:br/>
        <w:t>bess_arbitrage_billion_krw: float = 130.0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280+220+130 = </w:t>
      </w:r>
      <w:r>
        <w:rPr>
          <w:b/>
          <w:sz w:val="22"/>
        </w:rPr>
        <w:t>630억원/년</w:t>
      </w:r>
      <w:r>
        <w:rPr>
          <w:sz w:val="22"/>
        </w:rPr>
        <w:t>이 물리 모델에서 도출되지 않고 하드코딩됨. 이 숫자의 산출 근거가 코드에 없음. 평가위원이 "이 수치는 어디서 나왔나?"라고 물으면 답변 곤란.</w:t>
      </w:r>
    </w:p>
    <w:p>
      <w:r>
        <w:rPr>
          <w:b/>
          <w:sz w:val="22"/>
        </w:rPr>
        <w:t>수정</w:t>
      </w:r>
      <w:r>
        <w:rPr>
          <w:sz w:val="22"/>
        </w:rPr>
        <w:t>: 각 수치의 산출 로직을 구현하거나, 최소한 docstring에 계산 근거(전력요금 체계, 시간대별 SMP 차익 등)를 명시. 이상적으로는 M8 Grid 모듈의 SMP 시간대별 배율 데이터와 연동하여 계산.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SHOULD FIX (시연 품질 향상)</w:t>
      </w:r>
    </w:p>
    <w:p>
      <w:pPr>
        <w:pStyle w:val="Heading3"/>
      </w:pPr>
      <w:r>
        <w:rPr>
          <w:sz w:val="22"/>
        </w:rPr>
        <w:t>SF-1. PV 능동제어 — 랜덤 노이즈 모델의 물리적 근거 부재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</w:t>
      </w:r>
      <w:r>
        <w:rPr>
          <w:rFonts w:ascii="Courier New" w:hAnsi="Courier New"/>
          <w:color w:val="800000"/>
          <w:sz w:val="20"/>
        </w:rPr>
        <w:t>_calculate_controlled_power()</w:t>
      </w:r>
      <w:r>
        <w:rPr>
          <w:sz w:val="22"/>
        </w:rPr>
        <w:t xml:space="preserve"> in m01_pv.py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improvement_random = np.random.uniform(0, 0.02)</w:t>
      </w:r>
    </w:p>
    <w:p>
      <w:r>
        <w:rPr>
          <w:b/>
          <w:sz w:val="22"/>
        </w:rPr>
        <w:t>문제</w:t>
      </w:r>
      <w:r>
        <w:rPr>
          <w:sz w:val="22"/>
        </w:rPr>
        <w:t>: MPPT 최적화의 성능 향상을 uniform random으로 모델링하는 것은 물리적 근거 없음. 실제 MPPT 개선은 일사량 변동성, 부분 음영 패턴, 온도 변화율에 의존. 평가위원에게 "왜 random?"이라는 질문을 받을 수 있음.</w:t>
      </w:r>
    </w:p>
    <w:p>
      <w:r>
        <w:rPr>
          <w:b/>
          <w:sz w:val="22"/>
        </w:rPr>
        <w:t>수정</w:t>
      </w:r>
      <w:r>
        <w:rPr>
          <w:sz w:val="22"/>
        </w:rPr>
        <w:t>: 일사량 변동 표준편차나 부분 음영 확률에 기반한 모델로 교체하거나, 시연 시 "확률적 모델링으로 불확실성 반영"이라고 설명할 근거 문서 준비.</w:t>
      </w:r>
    </w:p>
    <w:p>
      <w:pPr>
        <w:pStyle w:val="Heading3"/>
      </w:pPr>
      <w:r>
        <w:rPr>
          <w:sz w:val="22"/>
        </w:rPr>
        <w:t>SF-2. Na-ion BESS CAPEX $80/kWh — 출처 필요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m02_hess.py Na-ion 레이어 </w:t>
      </w:r>
      <w:r>
        <w:rPr>
          <w:rFonts w:ascii="Courier New" w:hAnsi="Courier New"/>
          <w:color w:val="800000"/>
          <w:sz w:val="20"/>
        </w:rPr>
        <w:t>capex_per_kwh=80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2026년 기준 </w:t>
      </w:r>
      <w:r>
        <w:rPr>
          <w:i/>
          <w:sz w:val="22"/>
        </w:rPr>
        <w:t xml:space="preserve">80/kWh은 CATL의 공격적 목표치. 현재 실증 수준에서는 </w:t>
      </w:r>
      <w:r>
        <w:rPr>
          <w:sz w:val="22"/>
        </w:rPr>
        <w:t>100-120/kWh이 현실적. Nature Reviews Materials 2025 논문을 레퍼런스로 달았지만, 해당 논문이 CAPEX를 $80으로 제시했는지 확인 필요.</w:t>
      </w:r>
    </w:p>
    <w:p>
      <w:r>
        <w:rPr>
          <w:b/>
          <w:sz w:val="22"/>
        </w:rPr>
        <w:t>수정</w:t>
      </w:r>
      <w:r>
        <w:rPr>
          <w:sz w:val="22"/>
        </w:rPr>
        <w:t>: 출처를 정확히 명기하고, 낙관/보수 범위(</w:t>
      </w:r>
      <w:r>
        <w:rPr>
          <w:i/>
          <w:sz w:val="22"/>
        </w:rPr>
        <w:t>80-</w:t>
      </w:r>
      <w:r>
        <w:rPr>
          <w:sz w:val="22"/>
        </w:rPr>
        <w:t>120/kWh)로 제시.</w:t>
      </w:r>
    </w:p>
    <w:p>
      <w:pPr>
        <w:pStyle w:val="Heading3"/>
      </w:pPr>
      <w:r>
        <w:rPr>
          <w:sz w:val="22"/>
        </w:rPr>
        <w:t>SF-3. SOEC Nernst 전압 계산 — 열역학 상수 사용 오류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m05_h2.py </w:t>
      </w:r>
      <w:r>
        <w:rPr>
          <w:rFonts w:ascii="Courier New" w:hAnsi="Courier New"/>
          <w:color w:val="800000"/>
          <w:sz w:val="20"/>
        </w:rPr>
        <w:t>calculate_nernst_voltage()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delta_s = 0.0001334  # kJ/(mol·K)</w:t>
      </w:r>
    </w:p>
    <w:p>
      <w:r>
        <w:rPr>
          <w:b/>
          <w:sz w:val="22"/>
        </w:rPr>
        <w:t>문제</w:t>
      </w:r>
      <w:r>
        <w:rPr>
          <w:sz w:val="22"/>
        </w:rPr>
        <w:t xml:space="preserve">: 물 전기분해 표준 엔트로피 변화는 ΔS° ≈ +163.2 J/(mol·K) = 0.1632 kJ/(mol·K). 코드의 0.0001334 kJ/(mol·K)는 </w:t>
      </w:r>
      <w:r>
        <w:rPr>
          <w:b/>
          <w:sz w:val="22"/>
        </w:rPr>
        <w:t>3자리수 차이</w:t>
      </w:r>
      <w:r>
        <w:rPr>
          <w:sz w:val="22"/>
        </w:rPr>
        <w:t>. 단, 이 값이 Nernst 전압의 온도 보정항에서만 사용되므로 결과에 미치는 영향은 제한적(온도 보정이 거의 0이 됨 → 항상 ~1.229V 근처). 하지만 물리적으로 틀림.</w:t>
      </w:r>
    </w:p>
    <w:p>
      <w:r>
        <w:rPr>
          <w:b/>
          <w:sz w:val="22"/>
        </w:rPr>
        <w:t>영향</w:t>
      </w:r>
      <w:r>
        <w:rPr>
          <w:sz w:val="22"/>
        </w:rPr>
        <w:t>: 고온(800°C) SOEC에서 열역학적 전압 감소를 제대로 반영하지 못함. 실제로는 E(800°C) ≈ 0.95V여야 하는데 코드는 ~1.22V를 산출.</w:t>
      </w:r>
    </w:p>
    <w:p>
      <w:r>
        <w:rPr>
          <w:b/>
          <w:sz w:val="22"/>
        </w:rPr>
        <w:t>수정</w:t>
      </w:r>
      <w:r>
        <w:rPr>
          <w:sz w:val="22"/>
        </w:rPr>
        <w:t xml:space="preserve">: </w:t>
      </w:r>
      <w:r>
        <w:rPr>
          <w:rFonts w:ascii="Courier New" w:hAnsi="Courier New"/>
          <w:color w:val="800000"/>
          <w:sz w:val="20"/>
        </w:rPr>
        <w:t>delta_s = 0.1632</w:t>
      </w:r>
      <w:r>
        <w:rPr>
          <w:sz w:val="22"/>
        </w:rPr>
        <w:t>로 수정하고, 고온에서의 열중성전압(thermoneutral voltage, ~1.29V)도 함께 구현.</w:t>
      </w:r>
    </w:p>
    <w:p>
      <w:pPr>
        <w:pStyle w:val="Heading3"/>
      </w:pPr>
      <w:r>
        <w:rPr>
          <w:sz w:val="22"/>
        </w:rPr>
        <w:t>SF-4. Monte Carlo에서 정규분포 가정의 적절성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m09_economics.py </w:t>
      </w:r>
      <w:r>
        <w:rPr>
          <w:rFonts w:ascii="Courier New" w:hAnsi="Courier New"/>
          <w:color w:val="800000"/>
          <w:sz w:val="20"/>
        </w:rPr>
        <w:t>run_monte_carlo()</w:t>
      </w:r>
    </w:p>
    <w:p>
      <w:r>
        <w:rPr>
          <w:b/>
          <w:sz w:val="22"/>
        </w:rPr>
        <w:t>문제</w:t>
      </w:r>
      <w:r>
        <w:rPr>
          <w:sz w:val="22"/>
        </w:rPr>
        <w:t>: 전력가격, 탄소가격은 fat-tail(log-normal 또는 jump-diffusion)이 현실적. 정규분포 + clipping은 극단 시나리오를 과소평가. 평가위원 중 통계 전문가가 "왜 정규분포?"라고 물을 수 있음.</w:t>
      </w:r>
    </w:p>
    <w:p>
      <w:r>
        <w:rPr>
          <w:b/>
          <w:sz w:val="22"/>
        </w:rPr>
        <w:t>수정</w:t>
      </w:r>
      <w:r>
        <w:rPr>
          <w:sz w:val="22"/>
        </w:rPr>
        <w:t>: 최소한 log-normal 옵션을 추가하거나, 현재 정규분포 가정의 한계를 docstring에 명시하고 시연 시 "보수적 가정"으로 프레이밍.</w:t>
      </w:r>
    </w:p>
    <w:p>
      <w:pPr>
        <w:pStyle w:val="Heading3"/>
      </w:pPr>
      <w:r>
        <w:rPr>
          <w:sz w:val="22"/>
        </w:rPr>
        <w:t>SF-5. Solar Battery STH 효율 57.6% — 과도하게 낙관적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config.py </w:t>
      </w:r>
      <w:r>
        <w:rPr>
          <w:rFonts w:ascii="Courier New" w:hAnsi="Courier New"/>
          <w:color w:val="800000"/>
          <w:sz w:val="20"/>
        </w:rPr>
        <w:t>H2_SOLAR_BATTERY_CONFIG["sth_efficiency"] = 0.576</w:t>
      </w:r>
    </w:p>
    <w:p>
      <w:r>
        <w:rPr>
          <w:b/>
          <w:sz w:val="22"/>
        </w:rPr>
        <w:t>문제</w:t>
      </w:r>
      <w:r>
        <w:rPr>
          <w:sz w:val="22"/>
        </w:rPr>
        <w:t>: η_capture(0.80) × η_h2(0.72) = 0.576. 현재 최고 실험실 STH 효율은 ~20% (Nature 2023 기준). TRL 2-3 기술에 57.6%는 평가위원에게 "비현실적"으로 보일 수 있음.</w:t>
      </w:r>
    </w:p>
    <w:p>
      <w:r>
        <w:rPr>
          <w:b/>
          <w:sz w:val="22"/>
        </w:rPr>
        <w:t>수정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 xml:space="preserve">이것이 </w:t>
      </w:r>
      <w:r>
        <w:rPr>
          <w:b/>
          <w:sz w:val="22"/>
        </w:rPr>
        <w:t>광→화학에너지 포집 + 온디맨드 방출</w:t>
      </w:r>
      <w:r>
        <w:rPr>
          <w:sz w:val="22"/>
        </w:rPr>
        <w:t>이라는 2단계 프로세스의 각 단계 효율임을 명확히 구분</w:t>
      </w:r>
    </w:p>
    <w:p>
      <w:pPr>
        <w:pStyle w:val="ListBullet"/>
      </w:pPr>
      <w:r>
        <w:rPr>
          <w:sz w:val="22"/>
        </w:rPr>
        <w:t>기존 PEC/PV-electrolysis와의 차이점을 문서화</w:t>
      </w:r>
    </w:p>
    <w:p>
      <w:pPr>
        <w:pStyle w:val="ListBullet"/>
      </w:pPr>
      <w:r>
        <w:rPr>
          <w:sz w:val="22"/>
        </w:rPr>
        <w:t>"이상적 조건 하 이론값"이라고 명시하고 보수적 시나리오(30-40%)도 함께 제시</w:t>
      </w:r>
    </w:p>
    <w:p>
      <w:pPr>
        <w:pStyle w:val="Heading3"/>
      </w:pPr>
      <w:r>
        <w:rPr>
          <w:sz w:val="22"/>
        </w:rPr>
        <w:t>SF-6. 정책 시뮬레이터(M11) — circular import 위험</w:t>
      </w:r>
    </w:p>
    <w:p>
      <w:r>
        <w:rPr>
          <w:b/>
          <w:sz w:val="22"/>
        </w:rPr>
        <w:t>위치</w:t>
      </w:r>
      <w:r>
        <w:rPr>
          <w:sz w:val="22"/>
        </w:rPr>
        <w:t xml:space="preserve">: m11_policy.py </w:t>
      </w:r>
      <w:r>
        <w:rPr>
          <w:rFonts w:ascii="Courier New" w:hAnsi="Courier New"/>
          <w:color w:val="800000"/>
          <w:sz w:val="20"/>
        </w:rPr>
        <w:t>policy_combination_impact()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from modules.m09_economics import EconomicsModule</w:t>
      </w:r>
    </w:p>
    <w:p>
      <w:r>
        <w:rPr>
          <w:b/>
          <w:sz w:val="22"/>
        </w:rPr>
        <w:t>문제</w:t>
      </w:r>
      <w:r>
        <w:rPr>
          <w:sz w:val="22"/>
        </w:rPr>
        <w:t>: 함수 내부에서 모듈을 import하는 것은 circular dependency 위험 + 성능 저하. 시연 중 import 오류로 크래시할 수 있음.</w:t>
      </w:r>
    </w:p>
    <w:p>
      <w:r>
        <w:rPr>
          <w:b/>
          <w:sz w:val="22"/>
        </w:rPr>
        <w:t>수정</w:t>
      </w:r>
      <w:r>
        <w:rPr>
          <w:sz w:val="22"/>
        </w:rPr>
        <w:t>: 모듈 최상단에서 import하되 circular dependency를 해결하거나, M9를 의존성 주입 패턴으로 전달.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MINOR (문서화/코드 품질)</w:t>
      </w:r>
    </w:p>
    <w:p>
      <w:pPr>
        <w:pStyle w:val="Heading3"/>
      </w:pPr>
      <w:r>
        <w:rPr>
          <w:sz w:val="22"/>
        </w:rPr>
        <w:t>m-1. config.py 탄소 관련 값 중복</w:t>
      </w:r>
    </w:p>
    <w:p>
      <w:pPr>
        <w:pStyle w:val="ListBullet"/>
      </w:pPr>
      <w:r>
        <w:rPr>
          <w:rFonts w:ascii="Courier New" w:hAnsi="Courier New"/>
          <w:color w:val="800000"/>
          <w:sz w:val="20"/>
        </w:rPr>
        <w:t>ECONOMICS["k_ets_price_krw_per_tco2"] = 22500</w:t>
      </w:r>
    </w:p>
    <w:p>
      <w:pPr>
        <w:pStyle w:val="ListBullet"/>
      </w:pPr>
      <w:r>
        <w:rPr>
          <w:rFonts w:ascii="Courier New" w:hAnsi="Courier New"/>
          <w:color w:val="800000"/>
          <w:sz w:val="20"/>
        </w:rPr>
        <w:t>CARBON_CONFIG["k_ets_price_krw_per_tco2"] = 25000</w:t>
      </w:r>
    </w:p>
    <w:p>
      <w:pPr>
        <w:pStyle w:val="ListBullet"/>
      </w:pPr>
      <w:r>
        <w:rPr>
          <w:rFonts w:ascii="Courier New" w:hAnsi="Courier New"/>
          <w:color w:val="800000"/>
          <w:sz w:val="20"/>
        </w:rPr>
        <w:t>GRID_TARIFF_CONFIG["carbon_price_krw_per_ton"] = 22500</w:t>
      </w:r>
    </w:p>
    <w:p>
      <w:r>
        <w:rPr>
          <w:sz w:val="22"/>
        </w:rPr>
        <w:t>세 곳에서 다른 값. 어느 것이 정확한지 혼란.</w:t>
      </w:r>
    </w:p>
    <w:p>
      <w:pPr>
        <w:pStyle w:val="Heading3"/>
      </w:pPr>
      <w:r>
        <w:rPr>
          <w:sz w:val="22"/>
        </w:rPr>
        <w:t>m-2. HESS 6-layer인데 config.py에는 5-layer</w:t>
      </w:r>
    </w:p>
    <w:p>
      <w:r>
        <w:rPr>
          <w:sz w:val="22"/>
        </w:rPr>
        <w:t xml:space="preserve">config.py의 </w:t>
      </w:r>
      <w:r>
        <w:rPr>
          <w:rFonts w:ascii="Courier New" w:hAnsi="Courier New"/>
          <w:color w:val="800000"/>
          <w:sz w:val="20"/>
        </w:rPr>
        <w:t>HESS_LAYER_CONFIGS</w:t>
      </w:r>
      <w:r>
        <w:rPr>
          <w:sz w:val="22"/>
        </w:rPr>
        <w:t>에는 Na-ion이 없음. m02_hess.py에서 직접 생성. config와 코드의 정합성 부족.</w:t>
      </w:r>
    </w:p>
    <w:p>
      <w:pPr>
        <w:pStyle w:val="Heading3"/>
      </w:pPr>
      <w:r>
        <w:rPr>
          <w:sz w:val="22"/>
        </w:rPr>
        <w:t>m-3. GPU 50,000장 기본값의 현실성</w:t>
      </w:r>
    </w:p>
    <w:p>
      <w:r>
        <w:rPr>
          <w:sz w:val="22"/>
        </w:rPr>
        <w:t>H100 × 50,000 = 35MW IT → PUE 1.2 적용 시 42MW. 100MW AIDC와 불일치. GPU 수량을 ~140,000으로 조정하거나, 다른 IT 부하(CPU/Network/Storage)를 별도 모델링 필요.</w:t>
      </w:r>
    </w:p>
    <w:p>
      <w:pPr>
        <w:pStyle w:val="Heading3"/>
      </w:pPr>
      <w:r>
        <w:rPr>
          <w:sz w:val="22"/>
        </w:rPr>
        <w:t>m-4. BESS 용량 2,000MWh (2GWh) — 100MW AIDC 대비 과잉</w:t>
      </w:r>
    </w:p>
    <w:p>
      <w:r>
        <w:rPr>
          <w:sz w:val="22"/>
        </w:rPr>
        <w:t>100MW × 8h = 800MWh면 충분. 2GWh는 20시간 백업. 과잉 설계의 경제적 근거 필요.</w:t>
      </w:r>
    </w:p>
    <w:p>
      <w:pPr>
        <w:pStyle w:val="Heading3"/>
      </w:pPr>
      <w:r>
        <w:rPr>
          <w:sz w:val="22"/>
        </w:rPr>
        <w:t>m-5. 풍속 냉각 효과 모델이 비물리적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wind_factor = 1 - 0.04 * max(0, wind_speed - 2)</w:t>
      </w:r>
    </w:p>
    <w:p>
      <w:r>
        <w:rPr>
          <w:sz w:val="22"/>
        </w:rPr>
        <w:t xml:space="preserve">풍속 27m/s 이상에서 wind_factor ≤ 0 → cell_temp = ambient_temp. 실제로는 강풍에서도 일사에 의한 가열이 있음. </w:t>
      </w:r>
      <w:r>
        <w:rPr>
          <w:rFonts w:ascii="Courier New" w:hAnsi="Courier New"/>
          <w:color w:val="800000"/>
          <w:sz w:val="20"/>
        </w:rPr>
        <w:t>max(0.3, wind_factor)</w:t>
      </w:r>
      <w:r>
        <w:rPr>
          <w:sz w:val="22"/>
        </w:rPr>
        <w:t xml:space="preserve"> 정도의 하한 필요.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2"/>
        </w:rPr>
        <w:t>🟢 PART 2: Enterprise — 사업가 관점</w:t>
      </w:r>
    </w:p>
    <w:p>
      <w:pPr>
        <w:pStyle w:val="Heading2"/>
      </w:pPr>
      <w:r>
        <w:rPr>
          <w:sz w:val="22"/>
        </w:rPr>
        <w:t>Strengths (강점)</w:t>
      </w:r>
    </w:p>
    <w:p>
      <w:pPr>
        <w:pStyle w:val="Heading3"/>
      </w:pPr>
      <w:r>
        <w:rPr>
          <w:sz w:val="22"/>
        </w:rPr>
        <w:t>S-1. 포괄적 경제성 분석 프레임워크</w:t>
      </w:r>
    </w:p>
    <w:p>
      <w:r>
        <w:rPr>
          <w:sz w:val="22"/>
        </w:rPr>
        <w:t>M9+M11+M12+M13 조합이 투자자에게 필요한 모든 지표를 제공:</w:t>
      </w:r>
    </w:p>
    <w:p>
      <w:pPr>
        <w:pStyle w:val="ListBullet"/>
      </w:pPr>
      <w:r>
        <w:rPr>
          <w:sz w:val="22"/>
        </w:rPr>
        <w:t>NPV/IRR/LCOE/Payback — 기본 재무</w:t>
      </w:r>
    </w:p>
    <w:p>
      <w:pPr>
        <w:pStyle w:val="ListBullet"/>
      </w:pPr>
      <w:r>
        <w:rPr>
          <w:sz w:val="22"/>
        </w:rPr>
        <w:t>Monte Carlo 10,000회 — 불확실성 정량화</w:t>
      </w:r>
    </w:p>
    <w:p>
      <w:pPr>
        <w:pStyle w:val="ListBullet"/>
      </w:pPr>
      <w:r>
        <w:rPr>
          <w:sz w:val="22"/>
        </w:rPr>
        <w:t>토네이도 차트 — 핵심 변수 식별</w:t>
      </w:r>
    </w:p>
    <w:p>
      <w:pPr>
        <w:pStyle w:val="ListBullet"/>
      </w:pPr>
      <w:r>
        <w:rPr>
          <w:sz w:val="22"/>
        </w:rPr>
        <w:t>Go/No-Go 매트릭스 — 의사결정 프레임워크</w:t>
      </w:r>
    </w:p>
    <w:p>
      <w:pPr>
        <w:pStyle w:val="ListBullet"/>
      </w:pPr>
      <w:r>
        <w:rPr>
          <w:sz w:val="22"/>
        </w:rPr>
        <w:t>CSP별 맞춤 분석 — 고객별 가치 제안</w:t>
      </w:r>
    </w:p>
    <w:p>
      <w:r>
        <w:rPr>
          <w:b/>
          <w:sz w:val="22"/>
        </w:rPr>
        <w:t>평가</w:t>
      </w:r>
      <w:r>
        <w:rPr>
          <w:sz w:val="22"/>
        </w:rPr>
        <w:t>: 국내 에너지 DT 중 이 수준의 경제성 분석 모듈을 갖춘 사례는 드묾. 시연에서 강하게 부각할 것.</w:t>
      </w:r>
    </w:p>
    <w:p>
      <w:pPr>
        <w:pStyle w:val="Heading3"/>
      </w:pPr>
      <w:r>
        <w:rPr>
          <w:sz w:val="22"/>
        </w:rPr>
        <w:t>S-2. "과장 금지 원칙" — 신뢰성 확보</w:t>
      </w:r>
    </w:p>
    <w:p>
      <w:r>
        <w:rPr>
          <w:sz w:val="22"/>
        </w:rPr>
        <w:t>M9, M11, M12, M13 모든 모듈 docstring에 "과장 금지 원칙: 범위+신뢰구간 필수"가 명시됨. Base case IRR 4.5%를 솔직히 제시하고 복합 시나리오에서 12-15%를 제시하는 투 트랙 접근은 평가위원의 신뢰를 얻는 전략.</w:t>
      </w:r>
    </w:p>
    <w:p>
      <w:pPr>
        <w:pStyle w:val="Heading3"/>
      </w:pPr>
      <w:r>
        <w:rPr>
          <w:sz w:val="22"/>
        </w:rPr>
        <w:t>S-3. CSP별 차별화된 분석 (M12)</w:t>
      </w:r>
    </w:p>
    <w:p>
      <w:r>
        <w:rPr>
          <w:sz w:val="22"/>
        </w:rPr>
        <w:t>삼성 평택(500MW), SK 이천(300MW), 네이버 세종(200MW), 카카오 안산(100MW) — 실명 CSP 프로파일로 현실감 있는 분석. 글로벌 하이퍼스케일러(Google/Amazon/Meta/Microsoft) 전략 비교까지 포함하여 산업 이해도를 보여줌.</w:t>
      </w:r>
    </w:p>
    <w:p>
      <w:pPr>
        <w:pStyle w:val="Heading3"/>
      </w:pPr>
      <w:r>
        <w:rPr>
          <w:sz w:val="22"/>
        </w:rPr>
        <w:t>S-4. 국제 벤치마크 데이터 체계</w:t>
      </w:r>
    </w:p>
    <w:p>
      <w:r>
        <w:rPr>
          <w:sz w:val="22"/>
        </w:rPr>
        <w:t xml:space="preserve">config.py의 </w:t>
      </w:r>
      <w:r>
        <w:rPr>
          <w:rFonts w:ascii="Courier New" w:hAnsi="Courier New"/>
          <w:color w:val="800000"/>
          <w:sz w:val="20"/>
        </w:rPr>
        <w:t>INTERNATIONAL_BENCHMARKS</w:t>
      </w:r>
      <w:r>
        <w:rPr>
          <w:sz w:val="22"/>
        </w:rPr>
        <w:t xml:space="preserve">가 한국/미국/중국/일본/독일 5개국 비교, 출처까지 명시. </w:t>
      </w:r>
      <w:r>
        <w:rPr>
          <w:rFonts w:ascii="Courier New" w:hAnsi="Courier New"/>
          <w:color w:val="800000"/>
          <w:sz w:val="20"/>
        </w:rPr>
        <w:t>BENCHMARK_API_SOURCES</w:t>
      </w:r>
      <w:r>
        <w:rPr>
          <w:sz w:val="22"/>
        </w:rPr>
        <w:t>로 자동 업데이트 경로까지 설계. 국가과제에서 "국제 경쟁력"을 논할 때 강력한 근거.</w:t>
      </w:r>
    </w:p>
    <w:p>
      <w:pPr>
        <w:pStyle w:val="Heading3"/>
      </w:pPr>
      <w:r>
        <w:rPr>
          <w:sz w:val="22"/>
        </w:rPr>
        <w:t>S-5. Solar Battery — 미래 기술 포지셔닝</w:t>
      </w:r>
    </w:p>
    <w:p>
      <w:r>
        <w:rPr>
          <w:sz w:val="22"/>
        </w:rPr>
        <w:t>TRL 2-3이라 상용화는 멀지만, "2030+ Emerging Technology"로 명확히 분류하고 비용 전망을 시나리오별로 제시한 것은 기술 비전을 보여주는 좋은 카드. Nature Communications DOI까지 명시.</w:t>
      </w:r>
    </w:p>
    <w:p>
      <w:pPr>
        <w:pStyle w:val="Heading2"/>
      </w:pPr>
      <w:r>
        <w:rPr>
          <w:sz w:val="22"/>
        </w:rPr>
        <w:t>Weaknesses (약점)</w:t>
      </w:r>
    </w:p>
    <w:p>
      <w:pPr>
        <w:pStyle w:val="Heading3"/>
      </w:pPr>
      <w:r>
        <w:rPr>
          <w:sz w:val="22"/>
        </w:rPr>
        <w:t>W-1. Base Case IRR 4.5%는 투자 매력 부족</w:t>
      </w:r>
    </w:p>
    <w:p>
      <w:r>
        <w:rPr>
          <w:sz w:val="22"/>
        </w:rPr>
        <w:t>에너지 인프라 CAPEX 10,000억원에 IRR 4.5%는 민간 투자자 설득 불가. 정부 R&amp;D 과제이므로 "투자 유치용"이 아닌 것은 이해하지만, 평가위원이 "그래서 누가 이걸 짓나?"라고 물을 수 있음.</w:t>
      </w:r>
    </w:p>
    <w:p>
      <w:r>
        <w:rPr>
          <w:b/>
          <w:sz w:val="22"/>
        </w:rPr>
        <w:t>대응</w:t>
      </w:r>
      <w:r>
        <w:rPr>
          <w:sz w:val="22"/>
        </w:rPr>
        <w:t>: 복합 시나리오(IRR 12-15%)를 전면에 내세우되, base case가 보수적이라는 점을 강조. "배터리 CAPEX가 현재 속도로 하락하면 2028년에 base case도 IRR 8%+"라는 시간축 분석 추가 권장.</w:t>
      </w:r>
    </w:p>
    <w:p>
      <w:pPr>
        <w:pStyle w:val="Heading3"/>
      </w:pPr>
      <w:r>
        <w:rPr>
          <w:sz w:val="22"/>
        </w:rPr>
        <w:t>W-2. AIDC 시설비 12,500억원의 처리가 모호</w:t>
      </w:r>
    </w:p>
    <w:p>
      <w:r>
        <w:rPr>
          <w:sz w:val="22"/>
        </w:rPr>
        <w:t>CAPEX에서 "시설비 제외" 방식으로 에너지 인프라만 10,000억원을 기준으로 경제성을 분석하지만, 총 투자 22,500억원 중 시설비가 55%를 차지. 평가위원이 "시설비를 빼는 게 정당한가?"라고 질문할 수 있음.</w:t>
      </w:r>
    </w:p>
    <w:p>
      <w:r>
        <w:rPr>
          <w:b/>
          <w:sz w:val="22"/>
        </w:rPr>
        <w:t>대응</w:t>
      </w:r>
      <w:r>
        <w:rPr>
          <w:sz w:val="22"/>
        </w:rPr>
        <w:t xml:space="preserve">: BAU(기존 그리드 의존 AIDC) 대비 </w:t>
      </w:r>
      <w:r>
        <w:rPr>
          <w:b/>
          <w:sz w:val="22"/>
        </w:rPr>
        <w:t>추가 투자(incremental CAPEX)</w:t>
      </w:r>
      <w:r>
        <w:rPr>
          <w:sz w:val="22"/>
        </w:rPr>
        <w:t>로 프레이밍. "AIDC 시설은 어차피 지어야 하고, 에너지 인프라 10,000억원이 추가 투자"라는 논리를 명확히.</w:t>
      </w:r>
    </w:p>
    <w:p>
      <w:pPr>
        <w:pStyle w:val="Heading3"/>
      </w:pPr>
      <w:r>
        <w:rPr>
          <w:sz w:val="22"/>
        </w:rPr>
        <w:t>W-3. 수익 모델에서 전력 자급 절감의 이중 계산 위험</w:t>
      </w:r>
    </w:p>
    <w:p>
      <w:r>
        <w:rPr>
          <w:rFonts w:ascii="Courier New" w:hAnsi="Courier New"/>
          <w:color w:val="800000"/>
          <w:sz w:val="20"/>
        </w:rPr>
        <w:t>revenue_electricity_saving_krw_per_mwh = 80,000</w:t>
      </w:r>
      <w:r>
        <w:rPr>
          <w:sz w:val="22"/>
        </w:rPr>
        <w:t xml:space="preserve">으로 자가소비 전력의 절감 효과를 수익으로 잡는데, 동시에 </w:t>
      </w:r>
      <w:r>
        <w:rPr>
          <w:rFonts w:ascii="Courier New" w:hAnsi="Courier New"/>
          <w:color w:val="800000"/>
          <w:sz w:val="20"/>
        </w:rPr>
        <w:t>demand_charge_saving = 280억원</w:t>
      </w:r>
      <w:r>
        <w:rPr>
          <w:sz w:val="22"/>
        </w:rPr>
        <w:t>도 별도로 잡음. 수요요금 절감이 전력 단가 절감과 중복되지 않는지 검증 필요.</w:t>
      </w:r>
    </w:p>
    <w:p>
      <w:pPr>
        <w:pStyle w:val="Heading3"/>
      </w:pPr>
      <w:r>
        <w:rPr>
          <w:sz w:val="22"/>
        </w:rPr>
        <w:t>W-4. 학습곡선 반영이 CAPEX에만 적용</w:t>
      </w:r>
    </w:p>
    <w:p>
      <w:r>
        <w:rPr>
          <w:sz w:val="22"/>
        </w:rPr>
        <w:t xml:space="preserve">PV -7%/yr, BESS -10%/yr, H2 -8%/yr의 학습곡선이 </w:t>
      </w:r>
      <w:r>
        <w:rPr>
          <w:rFonts w:ascii="Courier New" w:hAnsi="Courier New"/>
          <w:color w:val="800000"/>
          <w:sz w:val="20"/>
        </w:rPr>
        <w:t>CAPEXModel.apply_learning_curve()</w:t>
      </w:r>
      <w:r>
        <w:rPr>
          <w:sz w:val="22"/>
        </w:rPr>
        <w:t>에만 있고, 실제 NPV/IRR 계산(</w:t>
      </w:r>
      <w:r>
        <w:rPr>
          <w:rFonts w:ascii="Courier New" w:hAnsi="Courier New"/>
          <w:color w:val="800000"/>
          <w:sz w:val="20"/>
        </w:rPr>
        <w:t>run_base_case</w:t>
      </w:r>
      <w:r>
        <w:rPr>
          <w:sz w:val="22"/>
        </w:rPr>
        <w:t xml:space="preserve">)에서는 </w:t>
      </w:r>
      <w:r>
        <w:rPr>
          <w:rFonts w:ascii="Courier New" w:hAnsi="Courier New"/>
          <w:color w:val="800000"/>
          <w:sz w:val="20"/>
        </w:rPr>
        <w:t>include_learning_curve=False</w:t>
      </w:r>
      <w:r>
        <w:rPr>
          <w:sz w:val="22"/>
        </w:rPr>
        <w:t>가 기본값. 시연 시 학습곡선 미반영 상태로 보여줄 위험.</w:t>
      </w:r>
    </w:p>
    <w:p>
      <w:pPr>
        <w:pStyle w:val="Heading2"/>
      </w:pPr>
      <w:r>
        <w:rPr>
          <w:sz w:val="22"/>
        </w:rPr>
        <w:t>Opportunities (기회)</w:t>
      </w:r>
    </w:p>
    <w:p>
      <w:pPr>
        <w:pStyle w:val="Heading3"/>
      </w:pPr>
      <w:r>
        <w:rPr>
          <w:sz w:val="22"/>
        </w:rPr>
        <w:t>O-1. K-ETS 탄소가격 상승 추세 활용</w:t>
      </w:r>
    </w:p>
    <w:p>
      <w:r>
        <w:rPr>
          <w:sz w:val="22"/>
        </w:rPr>
        <w:t xml:space="preserve">현재 ~25,000원/tCO₂ → 2030년 50,000-100,000원 전망. M11의 </w:t>
      </w:r>
      <w:r>
        <w:rPr>
          <w:rFonts w:ascii="Courier New" w:hAnsi="Courier New"/>
          <w:color w:val="800000"/>
          <w:sz w:val="20"/>
        </w:rPr>
        <w:t>k_ets_scenarios_compare()</w:t>
      </w:r>
      <w:r>
        <w:rPr>
          <w:sz w:val="22"/>
        </w:rPr>
        <w:t>가 이를 정확히 보여줌. 시연에서 탄소가격 ×2 슬라이더 → IRR이 어떻게 변하는지 실시간 데모하면 강력한 인상.</w:t>
      </w:r>
    </w:p>
    <w:p>
      <w:pPr>
        <w:pStyle w:val="Heading3"/>
      </w:pPr>
      <w:r>
        <w:rPr>
          <w:sz w:val="22"/>
        </w:rPr>
        <w:t>O-2. CBAM 대응 — 수출기업에 즉각적 가치</w:t>
      </w:r>
    </w:p>
    <w:p>
      <w:r>
        <w:rPr>
          <w:sz w:val="22"/>
        </w:rPr>
        <w:t xml:space="preserve">EU CBAM이 2026년 본격 시행. 반도체/배터리 수출 기업에게 "탄소발자국 추적 → CBAM 비용 절감"은 즉각적 비즈니스 가치. M11의 </w:t>
      </w:r>
      <w:r>
        <w:rPr>
          <w:rFonts w:ascii="Courier New" w:hAnsi="Courier New"/>
          <w:color w:val="800000"/>
          <w:sz w:val="20"/>
        </w:rPr>
        <w:t>cbam_impact()</w:t>
      </w:r>
      <w:r>
        <w:rPr>
          <w:sz w:val="22"/>
        </w:rPr>
        <w:t xml:space="preserve"> 함수가 이를 정량화.</w:t>
      </w:r>
    </w:p>
    <w:p>
      <w:pPr>
        <w:pStyle w:val="Heading3"/>
      </w:pPr>
      <w:r>
        <w:rPr>
          <w:sz w:val="22"/>
        </w:rPr>
        <w:t>O-3. Ratepayer Protection 정책 — 시의적절</w:t>
      </w:r>
    </w:p>
    <w:p>
      <w:r>
        <w:rPr>
          <w:sz w:val="22"/>
        </w:rPr>
        <w:t>config에 "2026 White House Hyperscaler Pledge" 반영. 글로벌 정책 트렌드를 반영한 것은 시의성 높은 분석.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2"/>
        </w:rPr>
        <w:t>🟡 PART 3: Arbiter — 종합 및 시연 전략</w:t>
      </w:r>
    </w:p>
    <w:p>
      <w:pPr>
        <w:pStyle w:val="Heading2"/>
      </w:pPr>
      <w:r>
        <w:rPr>
          <w:sz w:val="22"/>
        </w:rPr>
        <w:t>시연 전략</w:t>
      </w:r>
    </w:p>
    <w:p>
      <w:pPr>
        <w:pStyle w:val="Heading3"/>
      </w:pPr>
      <w:r>
        <w:rPr>
          <w:sz w:val="22"/>
        </w:rPr>
        <w:t>🎯 핵심 메시지 (3분 엘리베이터 피치)</w:t>
      </w:r>
    </w:p>
    <w:p>
      <w:pPr>
        <w:ind w:left="720"/>
        <w:shd w:val="clear" w:color="auto" w:fill="FFF3CD"/>
      </w:pPr>
      <w:r>
        <w:rPr>
          <w:sz w:val="22"/>
        </w:rPr>
        <w:t>"92개 테스트를 통과한 13+α 모듈 디지털 트윈으로, 100MW급 AIDC의 PV-HESS-H₂-Grid 통합 에너지 시스템을 1ms~1년 스케일로 시뮬레이션합니다. 4개 CSP 맞춤 분석과 10,000회 Monte Carlo로 투자 의사결정을 지원하며, K-ETS/CBAM/RE100 정책 대응을 자동화합니다."</w:t>
      </w:r>
    </w:p>
    <w:p>
      <w:pPr>
        <w:pStyle w:val="Heading3"/>
      </w:pPr>
      <w:r>
        <w:rPr>
          <w:sz w:val="22"/>
        </w:rPr>
        <w:t>✅ 시연에서 강조할 포인트</w:t>
      </w:r>
    </w:p>
    <w:p>
      <w:pPr>
        <w:pStyle w:val="ListNumber"/>
      </w:pPr>
      <w:r>
        <w:rPr>
          <w:b/>
          <w:sz w:val="22"/>
        </w:rPr>
        <w:t>6-Layer HESS의 주파수 분리 제어</w:t>
      </w:r>
      <w:r>
        <w:rPr>
          <w:sz w:val="22"/>
        </w:rPr>
        <w:t xml:space="preserve"> — 차별화의 핵심. Supercap(μs) → Li-ion(s) → Na-ion(hr) → RFB(day) → CAES(week) → H₂(season) 6단 계층은 학술적으로도 가치 있음. 시연에서 주파수별 전력 배분 시각화를 보여줄 것.</w:t>
      </w:r>
    </w:p>
    <w:p>
      <w:pPr>
        <w:pStyle w:val="ListNumber"/>
      </w:pPr>
      <w:r>
        <w:rPr>
          <w:b/>
          <w:sz w:val="22"/>
        </w:rPr>
        <w:t>Monte Carlo + 토네이도 차트</w:t>
      </w:r>
      <w:r>
        <w:rPr>
          <w:sz w:val="22"/>
        </w:rPr>
        <w:t xml:space="preserve"> — "과장하지 않고 불확실성을 정량화한다"는 메시지. P(NPV&gt;0) 확률을 보여주면 신뢰도 높음.</w:t>
      </w:r>
    </w:p>
    <w:p>
      <w:pPr>
        <w:pStyle w:val="ListNumber"/>
      </w:pPr>
      <w:r>
        <w:rPr>
          <w:b/>
          <w:sz w:val="22"/>
        </w:rPr>
        <w:t>CSP별 맞춤 분석 (M12)</w:t>
      </w:r>
      <w:r>
        <w:rPr>
          <w:sz w:val="22"/>
        </w:rPr>
        <w:t xml:space="preserve"> — 삼성/SK/네이버/카카오 실명으로 차별화된 전략을 제안하는 것은 "실용성"을 강조. 글로벌 CSP 전략 비교(Google BYPASS_QUEUE vs Amazon DEDICATED_GEN 등)까지 보여주면 산업 이해도 어필.</w:t>
      </w:r>
    </w:p>
    <w:p>
      <w:pPr>
        <w:pStyle w:val="ListNumber"/>
      </w:pPr>
      <w:r>
        <w:rPr>
          <w:b/>
          <w:sz w:val="22"/>
        </w:rPr>
        <w:t>92/92 테스트 통과</w:t>
      </w:r>
      <w:r>
        <w:rPr>
          <w:sz w:val="22"/>
        </w:rPr>
        <w:t xml:space="preserve"> — 숫자 자체가 강력한 메시지. 테스트 커버리지를 한 슬라이드로 보여줄 것.</w:t>
      </w:r>
    </w:p>
    <w:p>
      <w:pPr>
        <w:pStyle w:val="ListNumber"/>
      </w:pPr>
      <w:r>
        <w:rPr>
          <w:b/>
          <w:sz w:val="22"/>
        </w:rPr>
        <w:t>국제 벤치마크 5개국 비교</w:t>
      </w:r>
      <w:r>
        <w:rPr>
          <w:sz w:val="22"/>
        </w:rPr>
        <w:t xml:space="preserve"> — 한국의 위치를 글로벌 컨텍스트에서 보여주는 것은 평가위원에게 좋은 인상.</w:t>
      </w:r>
    </w:p>
    <w:p>
      <w:pPr>
        <w:pStyle w:val="Heading3"/>
      </w:pPr>
      <w:r>
        <w:rPr>
          <w:sz w:val="22"/>
        </w:rPr>
        <w:t>⛔ 시연에서 회피할 포인트</w:t>
      </w:r>
    </w:p>
    <w:p>
      <w:pPr>
        <w:pStyle w:val="ListNumber"/>
      </w:pPr>
      <w:r>
        <w:rPr>
          <w:b/>
          <w:sz w:val="22"/>
        </w:rPr>
        <w:t>Solar Battery STH 57.6%</w:t>
      </w:r>
      <w:r>
        <w:rPr>
          <w:sz w:val="22"/>
        </w:rPr>
        <w:t xml:space="preserve"> — TRL 2-3에 57.6%를 먼저 꺼내지 말 것. 질문이 오면 "이론적 상한이며 보수적 시나리오도 분석"이라고 답변.</w:t>
      </w:r>
    </w:p>
    <w:p>
      <w:pPr>
        <w:pStyle w:val="ListNumber"/>
      </w:pPr>
      <w:r>
        <w:rPr>
          <w:b/>
          <w:sz w:val="22"/>
        </w:rPr>
        <w:t>H₂ Round-Trip 효율 수치</w:t>
      </w:r>
      <w:r>
        <w:rPr>
          <w:sz w:val="22"/>
        </w:rPr>
        <w:t xml:space="preserve"> — config(37.5%) vs 모델(~51%) 불일치를 들키지 않도록, "시스템 레벨 효율은 보조설비 포함 37-40%"로 통일된 답변 준비.</w:t>
      </w:r>
    </w:p>
    <w:p>
      <w:pPr>
        <w:pStyle w:val="ListNumber"/>
      </w:pPr>
      <w:r>
        <w:rPr>
          <w:b/>
          <w:sz w:val="22"/>
        </w:rPr>
        <w:t>Base Case IRR 4.5%</w:t>
      </w:r>
      <w:r>
        <w:rPr>
          <w:sz w:val="22"/>
        </w:rPr>
        <w:t xml:space="preserve"> — 먼저 base case를 보여주되 즉시 복합 시나리오로 전환. "현재 기준 보수적, 2028-30년 시장 조건에서 12-15%"라는 스토리라인.</w:t>
      </w:r>
    </w:p>
    <w:p>
      <w:pPr>
        <w:pStyle w:val="ListNumber"/>
      </w:pPr>
      <w:r>
        <w:rPr>
          <w:b/>
          <w:sz w:val="22"/>
        </w:rPr>
        <w:t>BESS 2GWh 과잉 설계</w:t>
      </w:r>
      <w:r>
        <w:rPr>
          <w:sz w:val="22"/>
        </w:rPr>
        <w:t xml:space="preserve"> — 질문이 오면 "worst-case 72시간 독립 운전 + AIDC 99.99% 가용성 요구" 근거 제시.</w:t>
      </w:r>
    </w:p>
    <w:p>
      <w:pPr>
        <w:pStyle w:val="ListNumber"/>
      </w:pPr>
      <w:r>
        <w:rPr>
          <w:b/>
          <w:sz w:val="22"/>
        </w:rPr>
        <w:t>GPU 50,000장 vs 100MW 불일치</w:t>
      </w:r>
      <w:r>
        <w:rPr>
          <w:sz w:val="22"/>
        </w:rPr>
        <w:t xml:space="preserve"> — 시연 시 기본값으로 데모하지 말고, 용량에 맞는 GPU 수량으로 사전 설정.</w:t>
      </w:r>
    </w:p>
    <w:p>
      <w:pPr>
        <w:pStyle w:val="Heading2"/>
      </w:pPr>
      <w:r>
        <w:rPr>
          <w:sz w:val="22"/>
        </w:rPr>
        <w:t>수정 우선순위 (시연까지 D-7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우선순위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예상 소요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영향도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MF-4: 추가수익 630억 산출근거 문서화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🔴 질문 시 답변 불가 방지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MF-3: H₂ RT 효율 config↔모델 정합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🔴 일관성 확보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SF-3: SOEC Nernst ΔS 상수 수정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🟠 물리적 정확성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MF-1: PV 온도계수 주석/변수명 명확화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🟠 코드 리뷰 대비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m-3: GPU 수량 기본값 조정 (→ ~83,000장 B200 or ~119,000 H100)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🟠 시연 현실성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MF-2: HESS 미배분 전력 fallback 강화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🟡 극단 시나리오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SF-5: Solar Battery STH 보수적 시나리오 추가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🟡 질문 대비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SF-6: M11 circular import 해소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🟡 안정성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m-1: config 탄소가격 값 통일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🟢 코드 품질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m-2: Na-ion config 추가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🟢 정합성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SF-4: MC log-normal 옵션 or 한계 문서화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🟢 학술적 엄밀성</w:t>
            </w:r>
          </w:p>
        </w:tc>
      </w:tr>
    </w:tbl>
    <w:p>
      <w:pPr>
        <w:pStyle w:val="Heading2"/>
      </w:pPr>
      <w:r>
        <w:rPr>
          <w:sz w:val="22"/>
        </w:rPr>
        <w:t>종합 평가</w:t>
      </w:r>
    </w:p>
    <w:p>
      <w:pPr>
        <w:pStyle w:val="Heading3"/>
      </w:pPr>
      <w:r>
        <w:rPr>
          <w:sz w:val="22"/>
        </w:rPr>
        <w:t xml:space="preserve">전체 점수: </w:t>
      </w:r>
      <w:r>
        <w:rPr>
          <w:b/>
          <w:sz w:val="22"/>
        </w:rPr>
        <w:t>B+ → A- (수정 후)</w:t>
      </w:r>
    </w:p>
    <w:p>
      <w:r>
        <w:rPr>
          <w:b/>
          <w:sz w:val="22"/>
        </w:rPr>
        <w:t>강점 요약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13+α 모듈의 포괄성과 92/92 테스트 통과는 국가과제 수준에서 인상적</w:t>
      </w:r>
    </w:p>
    <w:p>
      <w:pPr>
        <w:pStyle w:val="ListBullet"/>
      </w:pPr>
      <w:r>
        <w:rPr>
          <w:sz w:val="22"/>
        </w:rPr>
        <w:t>"과장 금지 원칙"과 MC 기반 불확실성 분석은 학술적 성숙도를 보여줌</w:t>
      </w:r>
    </w:p>
    <w:p>
      <w:pPr>
        <w:pStyle w:val="ListBullet"/>
      </w:pPr>
      <w:r>
        <w:rPr>
          <w:sz w:val="22"/>
        </w:rPr>
        <w:t>CSP별 맞춤 분석 + 글로벌 벤치마크는 실용성과 국제 경쟁력을 동시에 어필</w:t>
      </w:r>
    </w:p>
    <w:p>
      <w:pPr>
        <w:pStyle w:val="ListBullet"/>
      </w:pPr>
      <w:r>
        <w:rPr>
          <w:sz w:val="22"/>
        </w:rPr>
        <w:t>6-Layer HESS 주파수 분리 제어는 학술적 독창성이 있음</w:t>
      </w:r>
    </w:p>
    <w:p>
      <w:r>
        <w:rPr>
          <w:b/>
          <w:sz w:val="22"/>
        </w:rPr>
        <w:t>약점 요약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물리 상수 오류(SOEC ΔS), config↔모델 불일치(H₂ RT효율)는 "시뮬레이션의 정확성"에 의문 제기 가능</w:t>
      </w:r>
    </w:p>
    <w:p>
      <w:pPr>
        <w:pStyle w:val="ListBullet"/>
      </w:pPr>
      <w:r>
        <w:rPr>
          <w:sz w:val="22"/>
        </w:rPr>
        <w:t>경제성 분석에서 하드코딩된 수치(630억 추가수익)는 투명성 부족</w:t>
      </w:r>
    </w:p>
    <w:p>
      <w:pPr>
        <w:pStyle w:val="ListBullet"/>
      </w:pPr>
      <w:r>
        <w:rPr>
          <w:sz w:val="22"/>
        </w:rPr>
        <w:t>Base case IRR 4.5%는 솔직하지만, 복합 시나리오로의 전환 논리가 더 명확해야 함</w:t>
      </w:r>
    </w:p>
    <w:p>
      <w:r>
        <w:rPr>
          <w:b/>
          <w:sz w:val="22"/>
        </w:rPr>
        <w:t>핵심 리스크</w:t>
      </w:r>
      <w:r>
        <w:rPr>
          <w:sz w:val="22"/>
        </w:rPr>
        <w:t>: 평가위원이 코드 수준까지 들여다보면(드물지만 가능) 물리 상수 오류가 전체 시뮬레이션 신뢰도를 훼손할 수 있음. P0/P1 항목 수정이 필수.</w:t>
      </w:r>
    </w:p>
    <w:p>
      <w:r>
        <w:rPr>
          <w:b/>
          <w:sz w:val="22"/>
        </w:rPr>
        <w:t>전략적 조언</w:t>
      </w:r>
      <w:r>
        <w:rPr>
          <w:sz w:val="22"/>
        </w:rPr>
        <w:t>: "완벽한 답보다 정직한 범위"를 일관되게 유지할 것. 이 DT의 가장 큰 강점은 포괄성과 투명성. 시연에서 MC 분석의 P5-P95 범위를 보여주며 "우리는 불확실성을 숨기지 않는다"는 메시지를 전달하면, 개별 파라미터의 사소한 오류보다 전체 프레임워크의 가치가 부각됨.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22"/>
        </w:rPr>
        <w:t>Advisory Board Review by Skeptic / Enterprise / Arbiter</w:t>
      </w:r>
    </w:p>
    <w:p>
      <w:r>
        <w:rPr>
          <w:i/>
          <w:sz w:val="22"/>
        </w:rPr>
        <w:t>Generated: 2026-03-02 00:10 UTC</w:t>
      </w:r>
    </w:p>
    <w:p>
      <w:r>
        <w:rPr>
          <w:i/>
          <w:sz w:val="22"/>
        </w:rPr>
        <w:t>Codebase: cems-dt/ (92/92 tests passing)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