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CEMS Digital Twin v5: A Multi-Scale Simulation Platform for 100 MW AI Data Center Renewable Microgrids</w:t>
      </w:r>
    </w:p>
    <w:p>
      <w:r>
        <w:rPr>
          <w:b/>
          <w:sz w:val="22"/>
        </w:rPr>
        <w:t>Technical Document — For Demonstration and Publication</w:t>
      </w:r>
    </w:p>
    <w:p>
      <w:pPr>
        <w:ind w:left="720"/>
        <w:shd w:val="clear" w:color="auto" w:fill="FFF3CD"/>
      </w:pPr>
      <w:r>
        <w:rPr>
          <w:sz w:val="22"/>
        </w:rPr>
        <w:t>Version: DT5 | Date: 2026-03-02 | Validation: 92/92 tests passing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Abstract</w:t>
      </w:r>
    </w:p>
    <w:p>
      <w:r>
        <w:rPr>
          <w:sz w:val="22"/>
        </w:rPr>
        <w:t>This document presents CEMS Digital Twin v5, a comprehensive simulation platform for the design, operation, and investment analysis of a 100 MW-class AI Data Center (AIDC) integrated with a renewable microgrid. The platform comprises 13 core modules and 3 expansion modules spanning photovoltaic (PV) generation, a 6-layer Hybrid Energy Storage System (HESS), hydrogen power-to-gas-to-power, a 3-tier AI Energy Management System (AI-EMS), carbon accounting (Scope 1/2/3), grid interface, and economic optimization. The system supports multi-scale temporal resolution from 1 ms (power electronics) to 1 year (economic analysis) using a lumped-parameter spatial model. Key innovations include: (i) frequency-based load separation across 6 storage technologies (supercapacitor through seasonal H₂ storage); (ii) LP-based optimal dispatch with SOC-adaptive merit order; and (iii) Monte Carlo sensitivity analysis (10,000 iterations) with explicit uncertainty quantification. Validation against an advisory board review achieved a B+ to A− rating with all 92 test cases passing. International benchmarking across 5 countries (Korea, USA, China, Japan, Germany) contextualizes the platform within the global AIDC energy landscape.</w:t>
      </w:r>
    </w:p>
    <w:p>
      <w:r>
        <w:rPr>
          <w:b/>
          <w:sz w:val="22"/>
        </w:rPr>
        <w:t>Keywords</w:t>
      </w:r>
      <w:r>
        <w:rPr>
          <w:sz w:val="22"/>
        </w:rPr>
        <w:t>: Digital Twin, AI Data Center, Renewable Microgrid, Hybrid Energy Storage, Hydrogen, Energy Management System, Techno-Economic Analysis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Table of Contents</w:t>
      </w:r>
    </w:p>
    <w:p>
      <w:pPr>
        <w:pStyle w:val="ListNumber"/>
      </w:pPr>
      <w:r>
        <w:rPr>
          <w:sz w:val="22"/>
        </w:rPr>
        <w:t>[Introduction](#1-introduction)</w:t>
      </w:r>
    </w:p>
    <w:p>
      <w:pPr>
        <w:pStyle w:val="ListNumber"/>
      </w:pPr>
      <w:r>
        <w:rPr>
          <w:sz w:val="22"/>
        </w:rPr>
        <w:t>[System Architecture](#2-system-architecture)</w:t>
      </w:r>
    </w:p>
    <w:p>
      <w:pPr>
        <w:pStyle w:val="ListNumber"/>
      </w:pPr>
      <w:r>
        <w:rPr>
          <w:sz w:val="22"/>
        </w:rPr>
        <w:t>[Methodology](#3-methodology)</w:t>
      </w:r>
    </w:p>
    <w:p>
      <w:pPr>
        <w:pStyle w:val="ListBullet"/>
      </w:pPr>
      <w:r>
        <w:rPr>
          <w:sz w:val="22"/>
        </w:rPr>
        <w:t>3.1 PV Generation Model (M1)</w:t>
      </w:r>
    </w:p>
    <w:p>
      <w:pPr>
        <w:pStyle w:val="ListBullet"/>
      </w:pPr>
      <w:r>
        <w:rPr>
          <w:sz w:val="22"/>
        </w:rPr>
        <w:t>3.2 Hybrid Energy Storage System (M2)</w:t>
      </w:r>
    </w:p>
    <w:p>
      <w:pPr>
        <w:pStyle w:val="ListBullet"/>
      </w:pPr>
      <w:r>
        <w:rPr>
          <w:sz w:val="22"/>
        </w:rPr>
        <w:t>3.3 AIDC Load Model (M3)</w:t>
      </w:r>
    </w:p>
    <w:p>
      <w:pPr>
        <w:pStyle w:val="ListBullet"/>
      </w:pPr>
      <w:r>
        <w:rPr>
          <w:sz w:val="22"/>
        </w:rPr>
        <w:t>3.4 DC Bus Power Distribution (M4)</w:t>
      </w:r>
    </w:p>
    <w:p>
      <w:pPr>
        <w:pStyle w:val="ListBullet"/>
      </w:pPr>
      <w:r>
        <w:rPr>
          <w:sz w:val="22"/>
        </w:rPr>
        <w:t>3.5 Hydrogen System (M5)</w:t>
      </w:r>
    </w:p>
    <w:p>
      <w:pPr>
        <w:pStyle w:val="ListBullet"/>
      </w:pPr>
      <w:r>
        <w:rPr>
          <w:sz w:val="22"/>
        </w:rPr>
        <w:t>3.6 AI Energy Management System (M6)</w:t>
      </w:r>
    </w:p>
    <w:p>
      <w:pPr>
        <w:pStyle w:val="ListBullet"/>
      </w:pPr>
      <w:r>
        <w:rPr>
          <w:sz w:val="22"/>
        </w:rPr>
        <w:t>3.7 Carbon Accounting (M7)</w:t>
      </w:r>
    </w:p>
    <w:p>
      <w:pPr>
        <w:pStyle w:val="ListBullet"/>
      </w:pPr>
      <w:r>
        <w:rPr>
          <w:sz w:val="22"/>
        </w:rPr>
        <w:t>3.8 Grid Interface (M8)</w:t>
      </w:r>
    </w:p>
    <w:p>
      <w:pPr>
        <w:pStyle w:val="ListBullet"/>
      </w:pPr>
      <w:r>
        <w:rPr>
          <w:sz w:val="22"/>
        </w:rPr>
        <w:t>3.9 Economic Optimization (M9)</w:t>
      </w:r>
    </w:p>
    <w:p>
      <w:pPr>
        <w:pStyle w:val="ListBullet"/>
      </w:pPr>
      <w:r>
        <w:rPr>
          <w:sz w:val="22"/>
        </w:rPr>
        <w:t>3.10 Weather Module (M10)</w:t>
      </w:r>
    </w:p>
    <w:p>
      <w:pPr>
        <w:pStyle w:val="ListBullet"/>
      </w:pPr>
      <w:r>
        <w:rPr>
          <w:sz w:val="22"/>
        </w:rPr>
        <w:t>3.11 Policy Simulator (M11)</w:t>
      </w:r>
    </w:p>
    <w:p>
      <w:pPr>
        <w:pStyle w:val="ListBullet"/>
      </w:pPr>
      <w:r>
        <w:rPr>
          <w:sz w:val="22"/>
        </w:rPr>
        <w:t>3.12 Industry Commercialization (M12)</w:t>
      </w:r>
    </w:p>
    <w:p>
      <w:pPr>
        <w:pStyle w:val="ListBullet"/>
      </w:pPr>
      <w:r>
        <w:rPr>
          <w:sz w:val="22"/>
        </w:rPr>
        <w:t>3.13 Investment Dashboard (M13)</w:t>
      </w:r>
    </w:p>
    <w:p>
      <w:pPr>
        <w:pStyle w:val="ListNumber"/>
      </w:pPr>
      <w:r>
        <w:rPr>
          <w:sz w:val="22"/>
        </w:rPr>
        <w:t>[Data Sources](#4-data-sources)</w:t>
      </w:r>
    </w:p>
    <w:p>
      <w:pPr>
        <w:pStyle w:val="ListNumber"/>
      </w:pPr>
      <w:r>
        <w:rPr>
          <w:sz w:val="22"/>
        </w:rPr>
        <w:t>[Validation and Results](#5-validation-and-results)</w:t>
      </w:r>
    </w:p>
    <w:p>
      <w:pPr>
        <w:pStyle w:val="ListNumber"/>
      </w:pPr>
      <w:r>
        <w:rPr>
          <w:sz w:val="22"/>
        </w:rPr>
        <w:t>[Discussion](#6-discussion)</w:t>
      </w:r>
    </w:p>
    <w:p>
      <w:pPr>
        <w:pStyle w:val="ListNumber"/>
      </w:pPr>
      <w:r>
        <w:rPr>
          <w:sz w:val="22"/>
        </w:rPr>
        <w:t>[Conclusions](#7-conclusions)</w:t>
      </w:r>
    </w:p>
    <w:p>
      <w:pPr>
        <w:pStyle w:val="ListNumber"/>
      </w:pPr>
      <w:r>
        <w:rPr>
          <w:sz w:val="22"/>
        </w:rPr>
        <w:t>[References](#8-references)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1. Introduction</w:t>
      </w:r>
    </w:p>
    <w:p>
      <w:r>
        <w:rPr>
          <w:sz w:val="22"/>
        </w:rPr>
        <w:t>The rapid expansion of AI data centers poses significant challenges to power grid infrastructure and sustainability targets. A single 100 MW AIDC consumes approximately 700 GWh annually — equivalent to a mid-sized city — while facing increasingly stringent RE100 commitments and emerging carbon border adjustment mechanisms (EU CBAM). This work presents CEMS Digital Twin v5, a simulation platform that integrates renewable generation, multi-technology energy storage, hydrogen power-to-gas-to-power, and AI-driven energy management to address these challenges.</w:t>
      </w:r>
    </w:p>
    <w:p>
      <w:r>
        <w:rPr>
          <w:sz w:val="22"/>
        </w:rPr>
        <w:t>The key contributions are:</w:t>
      </w:r>
    </w:p>
    <w:p>
      <w:pPr>
        <w:pStyle w:val="ListNumber"/>
      </w:pPr>
      <w:r>
        <w:rPr>
          <w:b/>
          <w:sz w:val="22"/>
        </w:rPr>
        <w:t>Multi-scale simulation</w:t>
      </w:r>
      <w:r>
        <w:rPr>
          <w:sz w:val="22"/>
        </w:rPr>
        <w:t>: 1 ms to 1 year temporal resolution within a unified framework</w:t>
      </w:r>
    </w:p>
    <w:p>
      <w:pPr>
        <w:pStyle w:val="ListNumber"/>
      </w:pPr>
      <w:r>
        <w:rPr>
          <w:b/>
          <w:sz w:val="22"/>
        </w:rPr>
        <w:t>6-layer HESS</w:t>
      </w:r>
      <w:r>
        <w:rPr>
          <w:sz w:val="22"/>
        </w:rPr>
        <w:t>: Frequency-based load separation across supercapacitor, Li-ion, Na-ion, vanadium RFB, CAES, and H₂ storage</w:t>
      </w:r>
    </w:p>
    <w:p>
      <w:pPr>
        <w:pStyle w:val="ListNumber"/>
      </w:pPr>
      <w:r>
        <w:rPr>
          <w:b/>
          <w:sz w:val="22"/>
        </w:rPr>
        <w:t>3-tier AI-EMS</w:t>
      </w:r>
      <w:r>
        <w:rPr>
          <w:sz w:val="22"/>
        </w:rPr>
        <w:t>: Real-time control (1 ms), predictive dispatch (15 min, LP-based), and strategic optimization (1 hr)</w:t>
      </w:r>
    </w:p>
    <w:p>
      <w:pPr>
        <w:pStyle w:val="ListNumber"/>
      </w:pPr>
      <w:r>
        <w:rPr>
          <w:b/>
          <w:sz w:val="22"/>
        </w:rPr>
        <w:t>Transparent economic analysis</w:t>
      </w:r>
      <w:r>
        <w:rPr>
          <w:sz w:val="22"/>
        </w:rPr>
        <w:t>: Monte Carlo (10,000 iterations) with explicit uncertainty bounds, adhering to a "no-exaggeration principle"</w:t>
      </w:r>
    </w:p>
    <w:p>
      <w:pPr>
        <w:pStyle w:val="ListNumber"/>
      </w:pPr>
      <w:r>
        <w:rPr>
          <w:b/>
          <w:sz w:val="22"/>
        </w:rPr>
        <w:t>International benchmarking</w:t>
      </w:r>
      <w:r>
        <w:rPr>
          <w:sz w:val="22"/>
        </w:rPr>
        <w:t>: 5-country comparison (KR, US, CN, JP, DE) with traceable data sources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2. System Architecture</w:t>
      </w:r>
    </w:p>
    <w:p>
      <w:r>
        <w:rPr>
          <w:sz w:val="22"/>
        </w:rPr>
        <w:t>The platform consists of 13 core modules organized in a hierarchical structure:</w:t>
      </w:r>
    </w:p>
    <w:p>
      <w:pPr>
        <w:pStyle w:val="ListBullet"/>
      </w:pPr>
      <w:r>
        <w:rPr>
          <w:b/>
          <w:sz w:val="22"/>
        </w:rPr>
        <w:t>Supply side</w:t>
      </w:r>
      <w:r>
        <w:rPr>
          <w:sz w:val="22"/>
        </w:rPr>
        <w:t>: M1 (PV), M10 (Weather)</w:t>
      </w:r>
    </w:p>
    <w:p>
      <w:pPr>
        <w:pStyle w:val="ListBullet"/>
      </w:pPr>
      <w:r>
        <w:rPr>
          <w:b/>
          <w:sz w:val="22"/>
        </w:rPr>
        <w:t>Demand side</w:t>
      </w:r>
      <w:r>
        <w:rPr>
          <w:sz w:val="22"/>
        </w:rPr>
        <w:t>: M3 (AIDC Load)</w:t>
      </w:r>
    </w:p>
    <w:p>
      <w:pPr>
        <w:pStyle w:val="ListBullet"/>
      </w:pPr>
      <w:r>
        <w:rPr>
          <w:b/>
          <w:sz w:val="22"/>
        </w:rPr>
        <w:t>Storage</w:t>
      </w:r>
      <w:r>
        <w:rPr>
          <w:sz w:val="22"/>
        </w:rPr>
        <w:t>: M2 (HESS), M5 (H₂)</w:t>
      </w:r>
    </w:p>
    <w:p>
      <w:pPr>
        <w:pStyle w:val="ListBullet"/>
      </w:pPr>
      <w:r>
        <w:rPr>
          <w:b/>
          <w:sz w:val="22"/>
        </w:rPr>
        <w:t>Distribution</w:t>
      </w:r>
      <w:r>
        <w:rPr>
          <w:sz w:val="22"/>
        </w:rPr>
        <w:t>: M4 (DC Bus), M8 (Grid Interface)</w:t>
      </w:r>
    </w:p>
    <w:p>
      <w:pPr>
        <w:pStyle w:val="ListBullet"/>
      </w:pPr>
      <w:r>
        <w:rPr>
          <w:b/>
          <w:sz w:val="22"/>
        </w:rPr>
        <w:t>Control</w:t>
      </w:r>
      <w:r>
        <w:rPr>
          <w:sz w:val="22"/>
        </w:rPr>
        <w:t>: M6 (AI-EMS)</w:t>
      </w:r>
    </w:p>
    <w:p>
      <w:pPr>
        <w:pStyle w:val="ListBullet"/>
      </w:pPr>
      <w:r>
        <w:rPr>
          <w:b/>
          <w:sz w:val="22"/>
        </w:rPr>
        <w:t>Analysis</w:t>
      </w:r>
      <w:r>
        <w:rPr>
          <w:sz w:val="22"/>
        </w:rPr>
        <w:t>: M7 (Carbon), M9 (Economics), M11 (Policy), M12 (Industry), M13 (Investment)</w:t>
      </w:r>
    </w:p>
    <w:p>
      <w:pPr>
        <w:pStyle w:val="Heading3"/>
      </w:pPr>
      <w:r>
        <w:rPr>
          <w:sz w:val="22"/>
        </w:rPr>
        <w:t>Simulation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Application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Minimum time resolution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 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Power electronics (HESS supercapacitor)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Control resolution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 s / 15 min / 1 hr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HESS / Tier 2 dispatch / Tier 3 strategy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Simulation horizon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8,760 hr (1 year)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energy balance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Spatial 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Lumped parameter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3. Methodology</w:t>
      </w:r>
    </w:p>
    <w:p>
      <w:pPr>
        <w:pStyle w:val="Heading3"/>
      </w:pPr>
      <w:r>
        <w:rPr>
          <w:sz w:val="22"/>
        </w:rPr>
        <w:t>3.1 PV Generation Model (M1)</w:t>
      </w:r>
    </w:p>
    <w:p>
      <w:r>
        <w:rPr>
          <w:sz w:val="22"/>
        </w:rPr>
        <w:t>The PV module supports four cell technologies: crystalline silicon (c-Si), tandem perovskite/Si, triple-junction III-V, and infinite-junction (theoretical). An emerging "Solar Battery" pathway for direct solar-to-hydrogen conversion is also included.</w:t>
      </w:r>
    </w:p>
    <w:p>
      <w:pPr>
        <w:pStyle w:val="Heading4"/>
      </w:pPr>
      <w:r>
        <w:rPr>
          <w:sz w:val="22"/>
        </w:rPr>
        <w:t>Cell Temperature (NOCT Model)</w:t>
      </w:r>
    </w:p>
    <w:p>
      <w:pPr>
        <w:jc w:val="center"/>
      </w:pPr>
      <w:r>
        <w:rPr>
          <w:i/>
          <w:sz w:val="22"/>
        </w:rPr>
        <w:t>T_{cell} = T_{amb} + \frac{NOCT - 20}{800} \cdot G \cdot f_{wind} where $f_{wind} = 1 - 0.04 \cdot \max(0, v_{wind} - 2)$ accounts for convective cooling, $G$ is the global horizontal irradiance (W/m²), and $NOCT$ is the nominal operating cell temperature (°C). #### Temperature-Dependent Efficiency (IEC 61215 / IEC 61853) \eta(T) = \eta_{STC} \left[1 + \beta_{rel} \cdot (T_{cell} - 25)\right]</w:t>
      </w:r>
    </w:p>
    <w:p>
      <w:r>
        <w:rPr>
          <w:sz w:val="22"/>
        </w:rPr>
        <w:t xml:space="preserve">where </w:t>
      </w:r>
      <w:r>
        <w:rPr>
          <w:i/>
          <w:sz w:val="22"/>
        </w:rPr>
        <w:t>\eta_{STC}</w:t>
      </w:r>
      <w:r>
        <w:rPr>
          <w:sz w:val="22"/>
        </w:rPr>
        <w:t xml:space="preserve"> is the efficiency at Standard Test Conditions (25°C, 1000 W/m², AM1.5G), and </w:t>
      </w:r>
      <w:r>
        <w:rPr>
          <w:i/>
          <w:sz w:val="22"/>
        </w:rPr>
        <w:t>\beta_{rel}</w:t>
      </w:r>
      <w:r>
        <w:rPr>
          <w:sz w:val="22"/>
        </w:rPr>
        <w:t xml:space="preserve"> is the </w:t>
      </w:r>
      <w:r>
        <w:rPr>
          <w:b/>
          <w:sz w:val="22"/>
        </w:rPr>
        <w:t>relative</w:t>
      </w:r>
      <w:r>
        <w:rPr>
          <w:sz w:val="22"/>
        </w:rPr>
        <w:t xml:space="preserve"> temperature coefficient (1/°C). The config parameter </w:t>
      </w:r>
      <w:r>
        <w:rPr>
          <w:rFonts w:ascii="Courier New" w:hAnsi="Courier New"/>
          <w:color w:val="800000"/>
          <w:sz w:val="20"/>
        </w:rPr>
        <w:t>beta</w:t>
      </w:r>
      <w:r>
        <w:rPr>
          <w:sz w:val="22"/>
        </w:rPr>
        <w:t xml:space="preserve"> is in %/°C, hence </w:t>
      </w:r>
      <w:r>
        <w:rPr>
          <w:i/>
          <w:sz w:val="22"/>
        </w:rPr>
        <w:t>\beta_{rel} = \beta / 100</w:t>
      </w:r>
      <w:r>
        <w:rPr>
          <w:sz w:val="22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i/>
                <w:sz w:val="20"/>
              </w:rPr>
              <w:t>\eta_{STC}</w:t>
            </w:r>
            <w:r>
              <w:rPr>
                <w:b/>
                <w:sz w:val="20"/>
              </w:rPr>
              <w:t xml:space="preserve"> (%)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i/>
                <w:sz w:val="20"/>
              </w:rPr>
              <w:t>\beta</w:t>
            </w:r>
            <w:r>
              <w:rPr>
                <w:b/>
                <w:sz w:val="20"/>
              </w:rPr>
              <w:t xml:space="preserve"> (%/°C)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NOCT (°C)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Degradation (%/yr)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Area (ha/100 MW)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24.4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−0.35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93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Tandem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34.85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−0.25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Triple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39.5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−0.20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48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Infinite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68.7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−0.15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</w:t>
            </w:r>
          </w:p>
        </w:tc>
      </w:tr>
    </w:tbl>
    <w:p>
      <w:r>
        <w:rPr>
          <w:sz w:val="22"/>
        </w:rPr>
        <w:t xml:space="preserve">Ref: De Soto et al., </w:t>
      </w:r>
      <w:r>
        <w:rPr>
          <w:i/>
          <w:sz w:val="22"/>
        </w:rPr>
        <w:t>Solar Energy</w:t>
      </w:r>
      <w:r>
        <w:rPr>
          <w:sz w:val="22"/>
        </w:rPr>
        <w:t xml:space="preserve"> 80(1), 2006; IEC 61215:2021; IEC 61853-1:2011.</w:t>
      </w:r>
    </w:p>
    <w:p>
      <w:pPr>
        <w:pStyle w:val="Heading4"/>
      </w:pPr>
      <w:r>
        <w:rPr>
          <w:sz w:val="22"/>
        </w:rPr>
        <w:t>Degradation Model</w:t>
      </w:r>
    </w:p>
    <w:p>
      <w:pPr>
        <w:jc w:val="center"/>
      </w:pPr>
      <w:r>
        <w:rPr>
          <w:i/>
          <w:sz w:val="22"/>
        </w:rPr>
        <w:t>\eta(t) = \eta_0 \cdot (1 - \delta/100)^t #### Power Output P_{PV} = \frac{\eta}{100} \cdot A_{total} \cdot G \cdot 10^{-6} \quad [\text{MW}]</w:t>
      </w:r>
    </w:p>
    <w:p>
      <w:r>
        <w:rPr>
          <w:sz w:val="22"/>
        </w:rPr>
        <w:t>With active control (MPPT optimization), an additional 5–15% improvement is modeled based on irradiance level.</w:t>
      </w:r>
    </w:p>
    <w:p>
      <w:pPr>
        <w:pStyle w:val="Heading4"/>
      </w:pPr>
      <w:r>
        <w:rPr>
          <w:sz w:val="22"/>
        </w:rPr>
        <w:t>Solar Battery H₂ Production (2030+ Emerging, TRL 2–3)</w:t>
      </w:r>
    </w:p>
    <w:p>
      <w:r>
        <w:rPr>
          <w:sz w:val="22"/>
        </w:rPr>
        <w:t xml:space="preserve">A water-soluble polymer captures sunlight as chemical energy and releases H₂ on demand (Ref: </w:t>
      </w:r>
      <w:r>
        <w:rPr>
          <w:i/>
          <w:sz w:val="22"/>
        </w:rPr>
        <w:t>Nature Communications</w:t>
      </w:r>
      <w:r>
        <w:rPr>
          <w:sz w:val="22"/>
        </w:rPr>
        <w:t>, DOI:10.1038/s41467-026-68342-2).</w:t>
      </w:r>
    </w:p>
    <w:p>
      <w:pPr>
        <w:jc w:val="center"/>
      </w:pPr>
      <w:r>
        <w:rPr>
          <w:i/>
          <w:sz w:val="22"/>
        </w:rPr>
        <w:t>\text{STH} = \eta_{capture} \times \eta_{H_2} \times (1 - 0.005d) \times (1 - 0.02t) where $\eta_{capture} = 0.80$, $\eta_{H_2} = 0.72$, yielding a theoretical STH of 57.6% under ideal conditions. This figure represents the product of two sequential process efficiencies and is not directly comparable to conventional PEC/PV-electrolysis STH (~20%). Conservative scenarios (30–40%) are included in the analysis. --- ### 3.2 Hybrid Energy Storage System (M2) #### 6-Layer Architecture | Layer | Technology | Capacity | Power Rating | Response Time | η (charge/discharge) | Time Constant | CAPEX ($/kWh) | |-------|-----------|----------|-------------|--------------|---------------------|---------------|---------------| | L1 | Supercapacitor | 50 kWh | 10 MW | 1 μs | 98/98% | μs–s | 10,000 | | L2 | Li-ion BESS | 2,000 MWh | 200 MW | 100 ms | 95/95% | s–hr | 200 | | L3 | Na-ion BESS | 1,000 MWh | 100 MW | 200 ms | 92/92% | hr–12 hr | 80 | | L4 | Vanadium RFB | 750 MWh | 50 MW | 1 s | 85/85% | hr–day | 300 | | L5 | CAES | 1,000 MWh | 100 MW | 30 s | 75/75% | day–week | 100 | | L6 | H₂ Storage | 5,000 MWh | 50 MW | 5 min | 40/40% | day–season | 20 | **Total storage capacity: ~10 GWh** Na-ion BESS (L3): Hard carbon anode, layered oxide cathode (CATL Naxtra architecture). Key advantages include wide operating temperature range (−40°C to +60°C) and ~10,000 cycle life (2× Li-ion). CAPEX of $80/kWh is a 2026 target; conservative range is $80–$120/kWh. Ref: *Nature Reviews Materials* (2025), doi:10.1038/s41578-025-00857-4. #### Frequency-Based Power Allocation Each layer $i$ is assigned a frequency band $[f_{min,i}, f_{max,i}]$ derived from its time constant range $[\tau_{min,i}, \tau_{max,i}]$: f_{min,i} = 1/\tau_{max,i}, \quad f_{max,i} = 1/\tau_{min,i}</w:t>
      </w:r>
    </w:p>
    <w:p>
      <w:r>
        <w:rPr>
          <w:sz w:val="22"/>
        </w:rPr>
        <w:t xml:space="preserve">Power requests are allocated in priority order: L1 → L2 → L3 → L4 → L5 → L6. Unallocated power (when the request frequency falls outside all layer bands) is explicitly tracked via </w:t>
      </w:r>
      <w:r>
        <w:rPr>
          <w:rFonts w:ascii="Courier New" w:hAnsi="Courier New"/>
          <w:color w:val="800000"/>
          <w:sz w:val="20"/>
        </w:rPr>
        <w:t>_unallocated_kw</w:t>
      </w:r>
      <w:r>
        <w:rPr>
          <w:sz w:val="22"/>
        </w:rPr>
        <w:t xml:space="preserve"> to ensure energy conservation.</w:t>
      </w:r>
    </w:p>
    <w:p>
      <w:pPr>
        <w:pStyle w:val="Heading4"/>
      </w:pPr>
      <w:r>
        <w:rPr>
          <w:sz w:val="22"/>
        </w:rPr>
        <w:t>SOC Update</w:t>
      </w:r>
    </w:p>
    <w:p>
      <w:r>
        <w:rPr>
          <w:sz w:val="22"/>
        </w:rPr>
        <w:t xml:space="preserve">Charging: </w:t>
      </w:r>
      <w:r>
        <w:rPr>
          <w:i/>
          <w:sz w:val="22"/>
        </w:rPr>
        <w:t>SOC_{new} = SOC + P \cdot \Delta t \cdot \eta_{ch} / (3600 \cdot C_{eff})</w:t>
      </w:r>
    </w:p>
    <w:p>
      <w:r>
        <w:rPr>
          <w:sz w:val="22"/>
        </w:rPr>
        <w:t xml:space="preserve">Discharging: </w:t>
      </w:r>
      <w:r>
        <w:rPr>
          <w:i/>
          <w:sz w:val="22"/>
        </w:rPr>
        <w:t>SOC_{new} = SOC - P \cdot \Delta t / (3600 \cdot C_{eff} \cdot \eta_{dis})</w:t>
      </w:r>
    </w:p>
    <w:p>
      <w:r>
        <w:rPr>
          <w:sz w:val="22"/>
        </w:rPr>
        <w:t xml:space="preserve">where </w:t>
      </w:r>
      <w:r>
        <w:rPr>
          <w:i/>
          <w:sz w:val="22"/>
        </w:rPr>
        <w:t>C_{eff} = C_{rated} \cdot D_f</w:t>
      </w:r>
      <w:r>
        <w:rPr>
          <w:sz w:val="22"/>
        </w:rPr>
        <w:t xml:space="preserve"> is the degradation-adjusted effective capacity. Self-discharge is applied multiplicatively: </w:t>
      </w:r>
      <w:r>
        <w:rPr>
          <w:i/>
          <w:sz w:val="22"/>
        </w:rPr>
        <w:t>SOC \leftarrow SOC \cdot (1 - \sigma \cdot \Delta t / 3600)</w:t>
      </w:r>
      <w:r>
        <w:rPr>
          <w:sz w:val="22"/>
        </w:rPr>
        <w:t>.</w:t>
      </w:r>
    </w:p>
    <w:p>
      <w:pPr>
        <w:pStyle w:val="Heading4"/>
      </w:pPr>
      <w:r>
        <w:rPr>
          <w:sz w:val="22"/>
        </w:rPr>
        <w:t>Degradation Model</w:t>
      </w:r>
    </w:p>
    <w:p>
      <w:pPr>
        <w:jc w:val="center"/>
      </w:pPr>
      <w:r>
        <w:rPr>
          <w:i/>
          <w:sz w:val="22"/>
        </w:rPr>
        <w:t>D_f = \max\left(0.5, \min(D_{cycle}, D_{temp})\right) - $D_{cycle} = 1 - k_{cycle} \cdot N_{cycle}$ (cycle degradation) - $D_{temp} = 1 - k_{temp} \cdot \max(0, (T - 25)/10)$ (Arrhenius temperature degradation) #### Energy Conservation Verification The `operate_hess()` method returns an energy conservation validation block: E_{requested} = E_{delivered} + E_{unallocated} + E_{loss}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3.3 AIDC Load Model (M3)</w:t>
      </w:r>
    </w:p>
    <w:p>
      <w:r>
        <w:rPr>
          <w:sz w:val="22"/>
        </w:rPr>
        <w:t>The AIDC load model generates stochastic hourly and minute-resolution power demand profiles based on GPU type, count, PUE tier, and workload mix.</w:t>
      </w:r>
    </w:p>
    <w:p>
      <w:r>
        <w:rPr>
          <w:b/>
          <w:sz w:val="22"/>
        </w:rPr>
        <w:t>Total facility power</w:t>
      </w:r>
      <w:r>
        <w:rPr>
          <w:sz w:val="22"/>
        </w:rPr>
        <w:t>:</w:t>
      </w:r>
    </w:p>
    <w:p>
      <w:pPr>
        <w:jc w:val="center"/>
      </w:pPr>
      <w:r>
        <w:rPr>
          <w:i/>
          <w:sz w:val="22"/>
        </w:rPr>
        <w:t>P_{total} = N_{GPU} \cdot P_{GPU} \cdot U(t) \cdot (1 + r_{IT}) \cdot PUE where $U(t)$ is the time-varying GPU utilization, $r_{IT} = 0.12$ (additional IT load ratio), and $PUE$ is the Power Usage Effectiveness. | Workload | Base Utilization | Peak | Burst Freq. (/hr) | Pattern | |----------|-----------------|------|-------------------|---------| | LLM Inference | 55% | 98% | 10 | Diurnal, Poisson arrival | | AI Training | 85% | 100% | 2 | Sustained + 30 min checkpoint | | MoE | 40% | 95% | 20 | Irregular expert activation | Ref: Google TPU workload characterization; Meta LLaMA 3 GPU failure analysis; MLPerf benchmark. --- ### 3.4 DC Bus Power Distribution (M4) The 380V DC Bus manages instantaneous power balance among all subsystems with SiC (default) or GaN (advanced) power converters. **Converter Efficiencies**: | Path | SiC | GaN | |------|-----|-----| | PV → DC Bus | 98.5% | 99.5% | | DC Bus ↔ BESS | 97.5% | 99.0% | | DC Bus → Electrolyzer | 97.0% | 98.5% | | Fuel Cell → DC Bus | 97.0% | 98.5% | | DC Bus → AIDC | 96.0% | 98.0% | | Grid (bidirectional) | 97.0% | 98.5% | **Merit order for surplus**: BESS charge → H₂ electrolysis → Grid export → Curtailment **Merit order for deficit**: BESS discharge → Fuel cell → Grid import → Load shedding (emergency) **Energy balance constraint**: \sum P_{supply,j} \cdot \eta_{supply,j} = \sum P_{demand,k} / \eta_{demand,k}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3.5 Hydrogen System (M5)</w:t>
      </w:r>
    </w:p>
    <w:p>
      <w:pPr>
        <w:pStyle w:val="Heading4"/>
      </w:pPr>
      <w:r>
        <w:rPr>
          <w:sz w:val="22"/>
        </w:rPr>
        <w:t>System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Rating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Efficiency (LHV)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Operating Temp.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Startup Time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PEM Electrolyzer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 MW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80°C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 min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PEM Fuel Cell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 MW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80°C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 Storage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150 ton, 350 bar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95% (compression)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r>
        <w:rPr>
          <w:sz w:val="22"/>
        </w:rPr>
        <w:t>Ref: IRENA Green Hydrogen Cost Reduction 2024 (electrolyzer); DOE Hydrogen Program Record 2024 (fuel cell).</w:t>
      </w:r>
    </w:p>
    <w:p>
      <w:pPr>
        <w:pStyle w:val="Heading4"/>
      </w:pPr>
      <w:r>
        <w:rPr>
          <w:sz w:val="22"/>
        </w:rPr>
        <w:t>Round-Trip Efficiency</w:t>
      </w:r>
    </w:p>
    <w:p>
      <w:pPr>
        <w:jc w:val="center"/>
      </w:pPr>
      <w:r>
        <w:rPr>
          <w:i/>
          <w:sz w:val="22"/>
        </w:rPr>
        <w:t>\eta_{RT} = \eta_{elec} \times \eta_{FC} = 0.65 \times 0.55 = 35.75\% The config value of 37.5% includes BOP (Balance of Plant) correction. Ref: IEA Global Hydrogen Review 2023. CHP mode: $\eta_{RT,CHP} = 82.5\%$ (with 80–85% waste heat recovery). #### Electrochemical Model Nernst voltage: E(T, p) = E_0 + \frac{\Delta S}{2F}(T - 298.15) + \frac{RT}{2F}\ln(p)</w:t>
      </w:r>
    </w:p>
    <w:p>
      <w:r>
        <w:rPr>
          <w:sz w:val="22"/>
        </w:rPr>
        <w:t xml:space="preserve">where </w:t>
      </w:r>
      <w:r>
        <w:rPr>
          <w:i/>
          <w:sz w:val="22"/>
        </w:rPr>
        <w:t>E_0 = 1.229</w:t>
      </w:r>
      <w:r>
        <w:rPr>
          <w:sz w:val="22"/>
        </w:rPr>
        <w:t xml:space="preserve"> V, </w:t>
      </w:r>
      <w:r>
        <w:rPr>
          <w:i/>
          <w:sz w:val="22"/>
        </w:rPr>
        <w:t>F = 96,485.33</w:t>
      </w:r>
      <w:r>
        <w:rPr>
          <w:sz w:val="22"/>
        </w:rPr>
        <w:t xml:space="preserve"> C/mol, </w:t>
      </w:r>
      <w:r>
        <w:rPr>
          <w:i/>
          <w:sz w:val="22"/>
        </w:rPr>
        <w:t>R = 8.3145</w:t>
      </w:r>
      <w:r>
        <w:rPr>
          <w:sz w:val="22"/>
        </w:rPr>
        <w:t xml:space="preserve"> J/(mol·K).</w:t>
      </w:r>
    </w:p>
    <w:p>
      <w:r>
        <w:rPr>
          <w:sz w:val="22"/>
        </w:rPr>
        <w:t>Electrolyzer efficiency:</w:t>
      </w:r>
    </w:p>
    <w:p>
      <w:pPr>
        <w:jc w:val="center"/>
      </w:pPr>
      <w:r>
        <w:rPr>
          <w:i/>
          <w:sz w:val="22"/>
        </w:rPr>
        <w:t>\eta_{elec} = \min\left(\eta_{nominal}, \; \eta_{Faraday} \cdot \eta_{voltage} \cdot f_{thermal} \cdot D_f\right) H₂ production: $m_{H_2} = P \cdot \Delta t \cdot \eta_{elec} / HHV_{H_2}$, where $HHV_{H_2} = 39.39$ kWh/kg. #### BNEF 2025 Green H₂ LCOH by Country ($/kg) | Country | LCOH | Country | LCOH | |---------|------|---------|------| | China | 3.2 | Texas, US | 6.5 | | Saudi Arabia | 3.9 | Germany | 8.0 | | India | 5.0 | **Korea** | **8.5** | | Spain | 5.9 | Japan | 10.2 | Source: BloombergNEF 2025 Hydrogen Levelized Cost Report. --- ### 3.6 AI Energy Management System (M6) #### 3-Tier Control Architecture | Tier | Function | Interval | Method | |------|----------|----------|--------| | Tier 1 | Real-time control | 1 ms | MPPT tracking (99%), DC bus stabilization (380V ±2%), HESS dispatch | | Tier 2 | Predictive dispatch | 15 min | LP optimization (scipy.optimize.linprog), 4-hr PV/load forecast | | Tier 3 | Strategic optimization | 1 hr | 24-hr schedule, economic dispatch, maintenance planning | #### Tier 2 LP Formulation **Decision variables** ($n = 8$): PV→AIDC ($x_0$), PV→HESS ($x_1$), PV→Grid ($x_2$), H₂ electrolyzer ($x_3$), HESS→AIDC ($x_4$), H₂ FC ($x_5$), Grid→AIDC ($x_6$), Curtailment ($x_7$). **Objective**: Minimize net cost $c^T x$ with SOC-adaptive cost coefficients: - $c_0 = -P_{grid}$ (self-consumption: maximum savings) - $c_1 = -P_{grid} \cdot \max(0, 1.2 - SOC_{HESS})$ (charge incentive inversely proportional to SOC) - $c_6 = P_{grid}$ (grid purchase: last resort) **Constraints**: - PV balance: $x_0 + x_1 + x_2 + x_3 + x_7 = P_{PV}$ - Load balance: $x_0 + x_4 + x_5 + x_6 = P_{load}$ The LP solver (HiGHS via scipy) ensures optimal dispatch under physical constraints. A rule-based fallback is provided for solver failure. --- ### 3.7 Carbon Accounting (M7) Following the GHG Protocol framework: **Scope 1** (Direct emissions): PEM electrolysis produces zero direct emissions. Diesel backup: $E_{S1} = V_{diesel} \times 2.68 \times 10^{-3}$ tCO₂. **Scope 2** (Indirect, electricity): $E_{S2} = Q_{grid} \times EF_{grid}$, where $EF_{grid} = 0.4594$ tCO₂/MWh (Korea, 2024). **Scope 3** (Supply chain): Annualized manufacturing emissions: E_{S3} = \frac{C_{PV} \times 40 + C_{BESS} \times 65 + C_{H_2} \times 30}{T_{life}} \quad [\text{tCO}_2/\text{yr}]</w:t>
      </w:r>
    </w:p>
    <w:p>
      <w:r>
        <w:rPr>
          <w:b/>
          <w:sz w:val="22"/>
        </w:rPr>
        <w:t>Avoided emissions</w:t>
      </w:r>
      <w:r>
        <w:rPr>
          <w:sz w:val="22"/>
        </w:rPr>
        <w:t xml:space="preserve">: </w:t>
      </w:r>
      <w:r>
        <w:rPr>
          <w:i/>
          <w:sz w:val="22"/>
        </w:rPr>
        <w:t>E_{avoided} = Q_{self} \times EF_{grid}</w:t>
      </w:r>
    </w:p>
    <w:p>
      <w:r>
        <w:rPr>
          <w:b/>
          <w:sz w:val="22"/>
        </w:rPr>
        <w:t>Net emissions</w:t>
      </w:r>
      <w:r>
        <w:rPr>
          <w:sz w:val="22"/>
        </w:rPr>
        <w:t xml:space="preserve">: </w:t>
      </w:r>
      <w:r>
        <w:rPr>
          <w:i/>
          <w:sz w:val="22"/>
        </w:rPr>
        <w:t>E_{net} = E_{S1} + E_{S2} + E_{S3} - E_{avoided}</w:t>
      </w:r>
    </w:p>
    <w:p>
      <w:r>
        <w:rPr>
          <w:sz w:val="22"/>
        </w:rPr>
        <w:t>K-ETS and EU CBAM cost calculations are integrated with scenario analysis for carbon prices ranging from 25,000 to 100,000 ₩/tCO₂.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3.8 Grid Interface (M8)</w:t>
      </w:r>
    </w:p>
    <w:p>
      <w:r>
        <w:rPr>
          <w:sz w:val="22"/>
        </w:rPr>
        <w:t>The grid interface module manages bidirectional power exchange with the Korean Electric Power Corporation (KEPCO) grid.</w:t>
      </w:r>
    </w:p>
    <w:p>
      <w:r>
        <w:rPr>
          <w:b/>
          <w:sz w:val="22"/>
        </w:rPr>
        <w:t>Protection settings</w:t>
      </w:r>
      <w:r>
        <w:rPr>
          <w:sz w:val="22"/>
        </w:rPr>
        <w:t>: Overvoltage 1.1 p.u., undervoltage 0.9 p.u., over-frequency 50.5 Hz, under-frequency 49.5 Hz, minimum power factor 0.95, reconnection delay 300 s.</w:t>
      </w:r>
    </w:p>
    <w:p>
      <w:r>
        <w:rPr>
          <w:b/>
          <w:sz w:val="22"/>
        </w:rPr>
        <w:t>Frequency response</w:t>
      </w:r>
      <w:r>
        <w:rPr>
          <w:sz w:val="22"/>
        </w:rPr>
        <w:t xml:space="preserve"> (droop control): </w:t>
      </w:r>
      <w:r>
        <w:rPr>
          <w:i/>
          <w:sz w:val="22"/>
        </w:rPr>
        <w:t>\Delta P = -(P_{rated}/(\delta \cdot f_0)) \cdot \Delta f</w:t>
      </w:r>
      <w:r>
        <w:rPr>
          <w:sz w:val="22"/>
        </w:rPr>
        <w:t xml:space="preserve">, with </w:t>
      </w:r>
      <w:r>
        <w:rPr>
          <w:i/>
          <w:sz w:val="22"/>
        </w:rPr>
        <w:t>\delta = 5\%</w:t>
      </w:r>
      <w:r>
        <w:rPr>
          <w:sz w:val="22"/>
        </w:rPr>
        <w:t>, deadband ±0.02 Hz.</w:t>
      </w:r>
    </w:p>
    <w:p>
      <w:r>
        <w:rPr>
          <w:b/>
          <w:sz w:val="22"/>
        </w:rPr>
        <w:t>SMP pricing</w:t>
      </w:r>
      <w:r>
        <w:rPr>
          <w:sz w:val="22"/>
        </w:rPr>
        <w:t>: Base 80,000 ₩/MWh with seasonal hourly multipliers (summer peak 1.50× at 15:00, off-peak 0.60× at 03:00).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3.9 Economic Optimization (M9)</w:t>
      </w:r>
    </w:p>
    <w:p>
      <w:pPr>
        <w:pStyle w:val="Heading4"/>
      </w:pPr>
      <w:r>
        <w:rPr>
          <w:sz w:val="22"/>
        </w:rPr>
        <w:t>CAPEX Structure</w:t>
      </w:r>
    </w:p>
    <w:p>
      <w:r>
        <w:rPr>
          <w:sz w:val="22"/>
        </w:rPr>
        <w:t>Energy infrastructure (incremental over BAU): 10,000 billion KRW (≈ $7.4B USD)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CAPEX (B KRW)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100 MW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1,500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BESS 2 GWh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Supercapacitor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 System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DC Bus + converters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interface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AI-EMS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Total (energy infra)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10,000</w:t>
            </w:r>
          </w:p>
        </w:tc>
      </w:tr>
    </w:tbl>
    <w:p>
      <w:r>
        <w:rPr>
          <w:sz w:val="22"/>
        </w:rPr>
        <w:t>Note: AIDC facility cost (12,500 B KRW) is excluded as it is identical in the BAU scenario.</w:t>
      </w:r>
    </w:p>
    <w:p>
      <w:pPr>
        <w:pStyle w:val="Heading4"/>
      </w:pPr>
      <w:r>
        <w:rPr>
          <w:sz w:val="22"/>
        </w:rPr>
        <w:t>Financial Metrics</w:t>
      </w:r>
    </w:p>
    <w:p>
      <w:pPr>
        <w:jc w:val="center"/>
      </w:pPr>
      <w:r>
        <w:rPr>
          <w:i/>
          <w:sz w:val="22"/>
        </w:rPr>
        <w:t>NPV = -CAPEX + \sum_{t=1}^{T} \frac{CF_t}{(1+r)^t}, \quad r = 5\%, \; T = 20 \text{ yr} LCOE = \frac{\sum_{t=0}^{T}(CAPEX_t + OPEX_t)/(1+r)^t}{\sum_{t=1}^{T}E_t/(1+r)^t}</w:t>
      </w:r>
    </w:p>
    <w:p>
      <w:pPr>
        <w:pStyle w:val="Heading4"/>
      </w:pPr>
      <w:r>
        <w:rPr>
          <w:sz w:val="22"/>
        </w:rPr>
        <w:t>Revenue Model</w:t>
      </w:r>
    </w:p>
    <w:p>
      <w:r>
        <w:rPr>
          <w:sz w:val="22"/>
        </w:rPr>
        <w:t>Base revenue streams: electricity self-consumption savings (80,000 ₩/MWh), surplus export at SMP (70,000 ₩/MWh), REC revenue (25,000 ₩/MWh × 1.2 weight), and carbon credits (25,000 ₩/tCO₂).</w:t>
      </w:r>
    </w:p>
    <w:p>
      <w:r>
        <w:rPr>
          <w:sz w:val="22"/>
        </w:rPr>
        <w:t>Additional revenue (630 B KRW/yr): demand charge reduction (280 B, Ref: KEPCO tariff 2024), grid reliability value (220 B, Ref: EPRI Value of DER 2023), and BESS arbitrage (130 B, Ref: Lazard LCOS 2024, KPX 2024). Detailed derivations are documented in the configuration file.</w:t>
      </w:r>
    </w:p>
    <w:p>
      <w:pPr>
        <w:pStyle w:val="Heading4"/>
      </w:pPr>
      <w:r>
        <w:rPr>
          <w:sz w:val="22"/>
        </w:rPr>
        <w:t>Learning Curves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Annual cost reduction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20-year cost ratio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−7%/yr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23%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−10%/yr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−8%/yr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19%</w:t>
            </w:r>
          </w:p>
        </w:tc>
      </w:tr>
    </w:tbl>
    <w:p>
      <w:pPr>
        <w:pStyle w:val="Heading4"/>
      </w:pPr>
      <w:r>
        <w:rPr>
          <w:sz w:val="22"/>
        </w:rPr>
        <w:t>Monte Carlo Simulation (10,000 iterations)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Std. Dev. (%)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Distribution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efficiency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Normal (clipped 50–150%)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Electricity price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Normal (clipped 50–200%)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Carbon price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Normal (clipped 30–300%)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Discount rate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Normal (clipped 50–200%)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Load variation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Normal (clipped 70–130%)</w:t>
            </w:r>
          </w:p>
        </w:tc>
      </w:tr>
    </w:tbl>
    <w:p>
      <w:pPr>
        <w:ind w:left="720"/>
        <w:shd w:val="clear" w:color="auto" w:fill="FFF3CD"/>
      </w:pPr>
      <w:r>
        <w:rPr>
          <w:b/>
          <w:sz w:val="22"/>
        </w:rPr>
        <w:t>Limitation</w:t>
      </w:r>
      <w:r>
        <w:rPr>
          <w:sz w:val="22"/>
        </w:rPr>
        <w:t>: Normal distribution with clipping may underestimate tail risks. Log-normal or jump-diffusion models would be more appropriate for energy/carbon prices. Current results should be interpreted as conservative.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3.10 Weather Module (M10)</w:t>
      </w:r>
    </w:p>
    <w:p>
      <w:r>
        <w:rPr>
          <w:sz w:val="22"/>
        </w:rPr>
        <w:t>Synthetic TMY data for central Korea (Seoul, 37.5°N, 127.0°E):</w:t>
      </w:r>
    </w:p>
    <w:p>
      <w:pPr>
        <w:pStyle w:val="ListBullet"/>
      </w:pPr>
      <w:r>
        <w:rPr>
          <w:sz w:val="22"/>
        </w:rPr>
        <w:t>Annual GHI: 1,350 kWh/m² (Ref: KMA TMY3)</w:t>
      </w:r>
    </w:p>
    <w:p>
      <w:pPr>
        <w:pStyle w:val="ListBullet"/>
      </w:pPr>
      <w:r>
        <w:rPr>
          <w:sz w:val="22"/>
        </w:rPr>
        <w:t>Monthly patterns: Peak in May (normalized 1.0), minimum in December (0.4)</w:t>
      </w:r>
    </w:p>
    <w:p>
      <w:pPr>
        <w:pStyle w:val="ListBullet"/>
      </w:pPr>
      <w:r>
        <w:rPr>
          <w:sz w:val="22"/>
        </w:rPr>
        <w:t>Monsoon effect: July cloud probability 70%</w:t>
      </w:r>
    </w:p>
    <w:p>
      <w:pPr>
        <w:pStyle w:val="ListBullet"/>
      </w:pPr>
      <w:r>
        <w:rPr>
          <w:sz w:val="22"/>
        </w:rPr>
        <w:t>Temperature range: −2°C (January) to +28°C (August)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3.11 Policy Simulator (M11)</w:t>
      </w:r>
    </w:p>
    <w:p>
      <w:r>
        <w:rPr>
          <w:sz w:val="22"/>
        </w:rPr>
        <w:t>Scenario analysis for: K-ETS carbon price (25k–100k ₩/tCO₂), REC market, EU CBAM, RE100 targets, national power plan renewable ratio, and the 2026 White House Ratepayer Protection Pledge (80% self-generation requirement).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3.12 Industry Commercialization (M12)</w:t>
      </w:r>
    </w:p>
    <w:p>
      <w:r>
        <w:rPr>
          <w:sz w:val="22"/>
        </w:rPr>
        <w:t>CSP-specific analysis for 4 Korean operators (Samsung Pyeongtaek 500 MW, SK Icheon 300 MW, Naver Sejong 200 MW, Kakao Ansan 100 MW) plus global hyperscaler strategy comparison (Google, Amazon, Meta, Microsoft).</w:t>
      </w:r>
    </w:p>
    <w:p>
      <w:r>
        <w:rPr>
          <w:sz w:val="22"/>
        </w:rPr>
        <w:t xml:space="preserve">Scaling model: </w:t>
      </w:r>
      <w:r>
        <w:rPr>
          <w:i/>
          <w:sz w:val="22"/>
        </w:rPr>
        <w:t>C(S) = C_{100} \cdot (S/100)^{0.85}</w:t>
      </w:r>
      <w:r>
        <w:rPr>
          <w:sz w:val="22"/>
        </w:rPr>
        <w:t xml:space="preserve"> (power law economies of scale).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3.13 Investment Dashboard (M13)</w:t>
      </w:r>
    </w:p>
    <w:p>
      <w:r>
        <w:rPr>
          <w:sz w:val="22"/>
        </w:rPr>
        <w:t>Go/No-Go decision matrix: IRR ≥ 5%, NPV ≥ 0, Payback ≤ 15 yr, P(NPV &gt; 0) ≥ 50%.</w:t>
      </w:r>
    </w:p>
    <w:p>
      <w:pPr>
        <w:pStyle w:val="ListBullet"/>
      </w:pPr>
      <w:r>
        <w:rPr>
          <w:sz w:val="22"/>
        </w:rPr>
        <w:t xml:space="preserve">4/4 Pass → </w:t>
      </w:r>
      <w:r>
        <w:rPr>
          <w:b/>
          <w:sz w:val="22"/>
        </w:rPr>
        <w:t>GO</w:t>
      </w:r>
    </w:p>
    <w:p>
      <w:pPr>
        <w:pStyle w:val="ListBullet"/>
      </w:pPr>
      <w:r>
        <w:rPr>
          <w:sz w:val="22"/>
        </w:rPr>
        <w:t xml:space="preserve">3/4 Pass → </w:t>
      </w:r>
      <w:r>
        <w:rPr>
          <w:b/>
          <w:sz w:val="22"/>
        </w:rPr>
        <w:t>CONDITIONAL GO</w:t>
      </w:r>
    </w:p>
    <w:p>
      <w:pPr>
        <w:pStyle w:val="ListBullet"/>
      </w:pPr>
      <w:r>
        <w:rPr>
          <w:sz w:val="22"/>
        </w:rPr>
        <w:t xml:space="preserve">≤ 2/4 Pass → </w:t>
      </w:r>
      <w:r>
        <w:rPr>
          <w:b/>
          <w:sz w:val="22"/>
        </w:rPr>
        <w:t>NO-GO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4. Data Sources</w:t>
      </w:r>
    </w:p>
    <w:p>
      <w:pPr>
        <w:pStyle w:val="Heading3"/>
      </w:pPr>
      <w:r>
        <w:rPr>
          <w:sz w:val="22"/>
        </w:rPr>
        <w:t>International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Weather/Solar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KMA TMY3 (Korea), NREL NSRDB (US), CMA TRY (China), JMA AMeDAS (Japan), DWD TRY (Germany)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Electricity prices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KEPCO (Korea), EIA (US), NDRC (China), METI (Japan), Destatis (Germany)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Carbon markets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K-ETS (Korea), EU-ETS/ICE ECX, Shanghai EEX, Ember Climate API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Technology costs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NREL ATB 2024, IRENA RENEWCOST, Fraunhofer ISE, BNEF H₂ LCOH, Lazard LCOS 2024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emission factors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KPX (Korea), EPA eGRID (US), MEE (China), MOE (Japan), UBA (Germany)</w:t>
            </w:r>
          </w:p>
        </w:tc>
      </w:tr>
    </w:tbl>
    <w:p>
      <w:r>
        <w:rPr>
          <w:sz w:val="22"/>
        </w:rPr>
        <w:t>Benchmark API sources support quarterly/annual automated updates (Ember Climate, NREL ATB, IRENA). Last updated: 2026-02-22.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5. Validation and Results</w:t>
      </w:r>
    </w:p>
    <w:p>
      <w:pPr>
        <w:pStyle w:val="Heading3"/>
      </w:pPr>
      <w:r>
        <w:rPr>
          <w:sz w:val="22"/>
        </w:rPr>
        <w:t>5.1 Test Coverage</w:t>
      </w:r>
    </w:p>
    <w:p>
      <w:r>
        <w:rPr>
          <w:b/>
          <w:sz w:val="22"/>
        </w:rPr>
        <w:t>92/92 tests passing</w:t>
      </w:r>
      <w:r>
        <w:rPr>
          <w:sz w:val="22"/>
        </w:rPr>
        <w:t xml:space="preserve"> across all 13 modules + expansion modules + Solar Battery pathway (as of 2026-03-02).</w:t>
      </w:r>
    </w:p>
    <w:p>
      <w:pPr>
        <w:pStyle w:val="Heading3"/>
      </w:pPr>
      <w:r>
        <w:rPr>
          <w:sz w:val="22"/>
        </w:rPr>
        <w:t>5.2 Advisory Board Review</w:t>
      </w:r>
    </w:p>
    <w:p>
      <w:r>
        <w:rPr>
          <w:sz w:val="22"/>
        </w:rPr>
        <w:t>An advisory board review was conducted with three perspectives: Skeptic (physics/engineering fundamentals), Enterprise (business viability), and Arbiter (synthesis).</w:t>
      </w:r>
    </w:p>
    <w:p>
      <w:r>
        <w:rPr>
          <w:b/>
          <w:sz w:val="22"/>
        </w:rPr>
        <w:t>Must-Fix items resolved</w:t>
      </w:r>
      <w:r>
        <w:rPr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temperature coefficient annotation ambiguity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Explicit relative vs. absolute coefficient documentation with IEC references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HESS unallocated power energy conservation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Added </w:t>
            </w:r>
            <w:r>
              <w:rPr>
                <w:rFonts w:ascii="Courier New" w:hAnsi="Courier New"/>
                <w:color w:val="800000"/>
                <w:sz w:val="20"/>
              </w:rPr>
              <w:t>_unallocated_kw</w:t>
            </w:r>
            <w:r>
              <w:rPr>
                <w:sz w:val="20"/>
              </w:rPr>
              <w:t xml:space="preserve"> tracking and energy balance verification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 RT efficiency config–model inconsistency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Unified to PEM basis (65% × 55% = 35.75%, config 37.5% with BOP)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Undocumented additional revenue (630 B KRW)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Detailed derivation with KEPCO, EPRI, KPX, Lazard references</w:t>
            </w:r>
          </w:p>
        </w:tc>
      </w:tr>
    </w:tbl>
    <w:p>
      <w:r>
        <w:rPr>
          <w:b/>
          <w:sz w:val="22"/>
        </w:rPr>
        <w:t>Overall rating</w:t>
      </w:r>
      <w:r>
        <w:rPr>
          <w:sz w:val="22"/>
        </w:rPr>
        <w:t>: B+ → A− (post-correction)</w:t>
      </w:r>
    </w:p>
    <w:p>
      <w:pPr>
        <w:pStyle w:val="Heading3"/>
      </w:pPr>
      <w:r>
        <w:rPr>
          <w:sz w:val="22"/>
        </w:rPr>
        <w:t>5.3 International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Country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PV Type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GHI (kWh/m²/yr)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Elec. Price ($/MWh)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Carbon Intensity (gCO₂/kWh)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Carbon Price ($/ton)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🇰🇷 Korea (this DT)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Tandem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1,340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415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🇺🇸 USA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 Bifacial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1,800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370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🇨🇳 China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1,500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🇯🇵 Japan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 + Perovskite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1,200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🇩🇪 Germany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 + Agri-PV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1,050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</w:t>
            </w:r>
          </w:p>
        </w:tc>
      </w:tr>
    </w:tbl>
    <w:p>
      <w:r>
        <w:rPr>
          <w:sz w:val="22"/>
        </w:rPr>
        <w:t>Sources: KMA, NREL NSRDB, CMA, JMA AMeDAS, DWD (weather); KEPCO, EIA, NDRC, METI, Destatis (prices); KPX, EPA eGRID, MEE, MOE, UBA (emission factors).</w:t>
      </w:r>
    </w:p>
    <w:p>
      <w:pPr>
        <w:pStyle w:val="Heading3"/>
      </w:pPr>
      <w:r>
        <w:rPr>
          <w:sz w:val="22"/>
        </w:rPr>
        <w:t>5.4 Global Hyperscaler Strategy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CSP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Energy Mix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LCOE (₩/kWh)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Carbon (tCO₂/MWh)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Grid Dependency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Google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Co-located Renewables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Solar 50%, Wind 30%, Grid 20%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64.0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0.092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Amazon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Dedicated Gas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Gas 65%, Battery 15%, Grid 20%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97.5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0.259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Meta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Behind-the-Meter Gas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Gas 70%, Grid 30%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0.259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30%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Partnership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60%, Wind 25%, Solar 15%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69.5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0.276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60%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Samsung SDS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Dependent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85%, Solar 10%, ESS 5%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79.0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0.391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85%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Naver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Hybrid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60%, FC 25%, Solar 15%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74.5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0.276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60%</w:t>
            </w:r>
          </w:p>
        </w:tc>
      </w:tr>
    </w:tbl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6. Discussion</w:t>
      </w:r>
    </w:p>
    <w:p>
      <w:pPr>
        <w:pStyle w:val="Heading3"/>
      </w:pPr>
      <w:r>
        <w:rPr>
          <w:sz w:val="22"/>
        </w:rPr>
        <w:t>Key Strengths</w:t>
      </w:r>
    </w:p>
    <w:p>
      <w:pPr>
        <w:pStyle w:val="ListNumber"/>
      </w:pPr>
      <w:r>
        <w:rPr>
          <w:b/>
          <w:sz w:val="22"/>
        </w:rPr>
        <w:t>Comprehensive framework</w:t>
      </w:r>
      <w:r>
        <w:rPr>
          <w:sz w:val="22"/>
        </w:rPr>
        <w:t>: 13+3 modules covering the full value chain from weather to investment decision</w:t>
      </w:r>
    </w:p>
    <w:p>
      <w:pPr>
        <w:pStyle w:val="ListNumber"/>
      </w:pPr>
      <w:r>
        <w:rPr>
          <w:b/>
          <w:sz w:val="22"/>
        </w:rPr>
        <w:t>Frequency-based HESS</w:t>
      </w:r>
      <w:r>
        <w:rPr>
          <w:sz w:val="22"/>
        </w:rPr>
        <w:t>: The 6-layer architecture with μs-to-seasonal time constants is academically novel and practically relevant for AIDC power quality requirements</w:t>
      </w:r>
    </w:p>
    <w:p>
      <w:pPr>
        <w:pStyle w:val="ListNumber"/>
      </w:pPr>
      <w:r>
        <w:rPr>
          <w:b/>
          <w:sz w:val="22"/>
        </w:rPr>
        <w:t>Transparent economics</w:t>
      </w:r>
      <w:r>
        <w:rPr>
          <w:sz w:val="22"/>
        </w:rPr>
        <w:t>: The "no-exaggeration principle" with Monte Carlo uncertainty quantification builds credibility with reviewers and investors</w:t>
      </w:r>
    </w:p>
    <w:p>
      <w:pPr>
        <w:pStyle w:val="ListNumber"/>
      </w:pPr>
      <w:r>
        <w:rPr>
          <w:b/>
          <w:sz w:val="22"/>
        </w:rPr>
        <w:t>Industry-specific analysis</w:t>
      </w:r>
      <w:r>
        <w:rPr>
          <w:sz w:val="22"/>
        </w:rPr>
        <w:t>: Named CSP profiles (Samsung, SK, Naver, Kakao) and global hyperscaler strategy comparison demonstrate practical applicability</w:t>
      </w:r>
    </w:p>
    <w:p>
      <w:pPr>
        <w:pStyle w:val="Heading3"/>
      </w:pPr>
      <w:r>
        <w:rPr>
          <w:sz w:val="22"/>
        </w:rPr>
        <w:t>Limitations</w:t>
      </w:r>
    </w:p>
    <w:p>
      <w:pPr>
        <w:pStyle w:val="ListNumber"/>
      </w:pPr>
      <w:r>
        <w:rPr>
          <w:b/>
          <w:sz w:val="22"/>
        </w:rPr>
        <w:t>Lumped-parameter model</w:t>
      </w:r>
      <w:r>
        <w:rPr>
          <w:sz w:val="22"/>
        </w:rPr>
        <w:t>: Spatial distribution effects (e.g., partial shading, cable losses) are not captured</w:t>
      </w:r>
    </w:p>
    <w:p>
      <w:pPr>
        <w:pStyle w:val="ListNumber"/>
      </w:pPr>
      <w:r>
        <w:rPr>
          <w:b/>
          <w:sz w:val="22"/>
        </w:rPr>
        <w:t>Deterministic LP dispatch</w:t>
      </w:r>
      <w:r>
        <w:rPr>
          <w:sz w:val="22"/>
        </w:rPr>
        <w:t>: Stochastic MPC or robust optimization would better handle forecast uncertainty</w:t>
      </w:r>
    </w:p>
    <w:p>
      <w:pPr>
        <w:pStyle w:val="ListNumber"/>
      </w:pPr>
      <w:r>
        <w:rPr>
          <w:b/>
          <w:sz w:val="22"/>
        </w:rPr>
        <w:t>Normal distribution assumption in MC</w:t>
      </w:r>
      <w:r>
        <w:rPr>
          <w:sz w:val="22"/>
        </w:rPr>
        <w:t>: Fat-tailed distributions (log-normal, jump-diffusion) are more appropriate for energy/carbon prices</w:t>
      </w:r>
    </w:p>
    <w:p>
      <w:pPr>
        <w:pStyle w:val="ListNumber"/>
      </w:pPr>
      <w:r>
        <w:rPr>
          <w:b/>
          <w:sz w:val="22"/>
        </w:rPr>
        <w:t>Base case IRR ~4.5%</w:t>
      </w:r>
      <w:r>
        <w:rPr>
          <w:sz w:val="22"/>
        </w:rPr>
        <w:t>: Below typical private investment thresholds; the combined scenario (12–15%) relies on favorable policy assumptions</w:t>
      </w:r>
    </w:p>
    <w:p>
      <w:pPr>
        <w:pStyle w:val="ListNumber"/>
      </w:pPr>
      <w:r>
        <w:rPr>
          <w:b/>
          <w:sz w:val="22"/>
        </w:rPr>
        <w:t>Solar Battery STH 57.6%</w:t>
      </w:r>
      <w:r>
        <w:rPr>
          <w:sz w:val="22"/>
        </w:rPr>
        <w:t>: Theoretical ideal; laboratory state-of-the-art is ~20% for conventional pathways</w:t>
      </w:r>
    </w:p>
    <w:p>
      <w:pPr>
        <w:pStyle w:val="Heading3"/>
      </w:pPr>
      <w:r>
        <w:rPr>
          <w:sz w:val="22"/>
        </w:rPr>
        <w:t>Future Work</w:t>
      </w:r>
    </w:p>
    <w:p>
      <w:pPr>
        <w:pStyle w:val="ListBullet"/>
      </w:pPr>
      <w:r>
        <w:rPr>
          <w:sz w:val="22"/>
        </w:rPr>
        <w:t>PINN (Physics-Informed Neural Network) integration for Tier 2 dispatch</w:t>
      </w:r>
    </w:p>
    <w:p>
      <w:pPr>
        <w:pStyle w:val="ListBullet"/>
      </w:pPr>
      <w:r>
        <w:rPr>
          <w:sz w:val="22"/>
        </w:rPr>
        <w:t>LSTM/Transformer-based PV and load forecasting</w:t>
      </w:r>
    </w:p>
    <w:p>
      <w:pPr>
        <w:pStyle w:val="ListBullet"/>
      </w:pPr>
      <w:r>
        <w:rPr>
          <w:sz w:val="22"/>
        </w:rPr>
        <w:t>Stochastic MPC for Tier 2 optimization</w:t>
      </w:r>
    </w:p>
    <w:p>
      <w:pPr>
        <w:pStyle w:val="ListBullet"/>
      </w:pPr>
      <w:r>
        <w:rPr>
          <w:sz w:val="22"/>
        </w:rPr>
        <w:t>Log-normal/jump-diffusion Monte Carlo</w:t>
      </w:r>
    </w:p>
    <w:p>
      <w:pPr>
        <w:pStyle w:val="ListBullet"/>
      </w:pPr>
      <w:r>
        <w:rPr>
          <w:sz w:val="22"/>
        </w:rPr>
        <w:t>Detailed partial shading and cable loss models</w:t>
      </w:r>
    </w:p>
    <w:p>
      <w:pPr>
        <w:pStyle w:val="ListBullet"/>
      </w:pPr>
      <w:r>
        <w:rPr>
          <w:sz w:val="22"/>
        </w:rPr>
        <w:t>SOEC/SOFC high-temperature pathway as alternative to PEM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7. Conclusions</w:t>
      </w:r>
    </w:p>
    <w:p>
      <w:r>
        <w:rPr>
          <w:sz w:val="22"/>
        </w:rPr>
        <w:t xml:space="preserve">CEMS Digital Twin v5 provides a validated, multi-scale simulation platform for 100 MW AIDC renewable microgrids. The 6-layer HESS with frequency-based dispatch, 3-tier AI-EMS with LP optimization, and Monte Carlo economic analysis constitute a comprehensive toolkit for system design, operation, and investment decisions. With 92/92 tests passing and an advisory board rating of A−, the platform is ready for demonstration to a 10-member faculty panel and serves as a foundation for subsequent publications targeting </w:t>
      </w:r>
      <w:r>
        <w:rPr>
          <w:i/>
          <w:sz w:val="22"/>
        </w:rPr>
        <w:t>Applied Energy</w:t>
      </w:r>
      <w:r>
        <w:rPr>
          <w:sz w:val="22"/>
        </w:rPr>
        <w:t xml:space="preserve"> or </w:t>
      </w:r>
      <w:r>
        <w:rPr>
          <w:i/>
          <w:sz w:val="22"/>
        </w:rPr>
        <w:t>IEEE Transactions on Smart Grid</w:t>
      </w:r>
      <w:r>
        <w:rPr>
          <w:sz w:val="22"/>
        </w:rP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8. References</w:t>
      </w:r>
    </w:p>
    <w:p>
      <w:pPr>
        <w:pStyle w:val="ListNumber"/>
      </w:pPr>
      <w:r>
        <w:rPr>
          <w:sz w:val="22"/>
        </w:rPr>
        <w:t xml:space="preserve">De Soto, W., Klein, S. A., &amp; Beckman, W. A. (2006). Improvement and validation of a model for photovoltaic array performance. </w:t>
      </w:r>
      <w:r>
        <w:rPr>
          <w:i/>
          <w:sz w:val="22"/>
        </w:rPr>
        <w:t>Solar Energy</w:t>
      </w:r>
      <w:r>
        <w:rPr>
          <w:sz w:val="22"/>
        </w:rPr>
        <w:t>, 80(1), 78–88.</w:t>
      </w:r>
    </w:p>
    <w:p>
      <w:pPr>
        <w:pStyle w:val="ListNumber"/>
      </w:pPr>
      <w:r>
        <w:rPr>
          <w:sz w:val="22"/>
        </w:rPr>
        <w:t>IEC 61215:2021. Terrestrial photovoltaic (PV) modules — Design qualification and type approval.</w:t>
      </w:r>
    </w:p>
    <w:p>
      <w:pPr>
        <w:pStyle w:val="ListNumber"/>
      </w:pPr>
      <w:r>
        <w:rPr>
          <w:sz w:val="22"/>
        </w:rPr>
        <w:t>IEC 61853-1:2011. Photovoltaic (PV) module performance testing and energy rating.</w:t>
      </w:r>
    </w:p>
    <w:p>
      <w:pPr>
        <w:pStyle w:val="ListNumber"/>
      </w:pPr>
      <w:r>
        <w:rPr>
          <w:sz w:val="22"/>
        </w:rPr>
        <w:t>IRENA (2024). Green Hydrogen Cost Reduction: Scaling Up Electrolysers to Meet the 1.5°C Climate Goal.</w:t>
      </w:r>
    </w:p>
    <w:p>
      <w:pPr>
        <w:pStyle w:val="ListNumber"/>
      </w:pPr>
      <w:r>
        <w:rPr>
          <w:sz w:val="22"/>
        </w:rPr>
        <w:t>U.S. DOE (2024). Hydrogen Program Record: PEM Fuel Cell System Cost.</w:t>
      </w:r>
    </w:p>
    <w:p>
      <w:pPr>
        <w:pStyle w:val="ListNumber"/>
      </w:pPr>
      <w:r>
        <w:rPr>
          <w:sz w:val="22"/>
        </w:rPr>
        <w:t>IEA (2023). Global Hydrogen Review 2023.</w:t>
      </w:r>
    </w:p>
    <w:p>
      <w:pPr>
        <w:pStyle w:val="ListNumber"/>
      </w:pPr>
      <w:r>
        <w:rPr>
          <w:sz w:val="22"/>
        </w:rPr>
        <w:t>BloombergNEF (2025). Hydrogen Levelized Cost Report.</w:t>
      </w:r>
    </w:p>
    <w:p>
      <w:pPr>
        <w:pStyle w:val="ListNumber"/>
      </w:pPr>
      <w:r>
        <w:rPr>
          <w:i/>
          <w:sz w:val="22"/>
        </w:rPr>
        <w:t>Nature Reviews Materials</w:t>
      </w:r>
      <w:r>
        <w:rPr>
          <w:sz w:val="22"/>
        </w:rPr>
        <w:t xml:space="preserve"> (2025). Next-generation anodes for sodium-ion batteries. doi:10.1038/s41578-025-00857-4.</w:t>
      </w:r>
    </w:p>
    <w:p>
      <w:pPr>
        <w:pStyle w:val="ListNumber"/>
      </w:pPr>
      <w:r>
        <w:rPr>
          <w:i/>
          <w:sz w:val="22"/>
        </w:rPr>
        <w:t>Nature Communications</w:t>
      </w:r>
      <w:r>
        <w:rPr>
          <w:sz w:val="22"/>
        </w:rPr>
        <w:t xml:space="preserve"> (2026). Solar battery for on-demand hydrogen production. doi:10.1038/s41467-026-68342-2.</w:t>
      </w:r>
    </w:p>
    <w:p>
      <w:pPr>
        <w:pStyle w:val="ListNumber"/>
      </w:pPr>
      <w:r>
        <w:rPr>
          <w:sz w:val="22"/>
        </w:rPr>
        <w:t>NREL (2024). Annual Technology Baseline (ATB).</w:t>
      </w:r>
    </w:p>
    <w:p>
      <w:pPr>
        <w:pStyle w:val="ListNumber"/>
      </w:pPr>
      <w:r>
        <w:rPr>
          <w:sz w:val="22"/>
        </w:rPr>
        <w:t>IRENA (2024). Renewable Power Generation Costs in 2023.</w:t>
      </w:r>
    </w:p>
    <w:p>
      <w:pPr>
        <w:pStyle w:val="ListNumber"/>
      </w:pPr>
      <w:r>
        <w:rPr>
          <w:sz w:val="22"/>
        </w:rPr>
        <w:t>Fraunhofer ISE (2024). Levelized Cost of Electricity — Renewable Energy Technologies.</w:t>
      </w:r>
    </w:p>
    <w:p>
      <w:pPr>
        <w:pStyle w:val="ListNumber"/>
      </w:pPr>
      <w:r>
        <w:rPr>
          <w:sz w:val="22"/>
        </w:rPr>
        <w:t>Lazard (2024). Levelized Cost of Storage Analysis — Version 9.0.</w:t>
      </w:r>
    </w:p>
    <w:p>
      <w:pPr>
        <w:pStyle w:val="ListNumber"/>
      </w:pPr>
      <w:r>
        <w:rPr>
          <w:sz w:val="22"/>
        </w:rPr>
        <w:t>KEPCO (2024). 전기요금표 — 산업용(갑) II.</w:t>
      </w:r>
    </w:p>
    <w:p>
      <w:pPr>
        <w:pStyle w:val="ListNumber"/>
      </w:pPr>
      <w:r>
        <w:rPr>
          <w:sz w:val="22"/>
        </w:rPr>
        <w:t>KPX (2024). 전력시장 운영 실적 및 보조서비스 시장 보고서.</w:t>
      </w:r>
    </w:p>
    <w:p>
      <w:pPr>
        <w:pStyle w:val="ListNumber"/>
      </w:pPr>
      <w:r>
        <w:rPr>
          <w:sz w:val="22"/>
        </w:rPr>
        <w:t>EPRI (2023). The Value of Distributed Energy Resources.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sz w:val="22"/>
        </w:rPr>
        <w:t>CEMS Digital Twin v5 Technical Document (English)</w:t>
      </w:r>
    </w:p>
    <w:p>
      <w:r>
        <w:rPr>
          <w:i/>
          <w:sz w:val="22"/>
        </w:rPr>
        <w:t>Generated: 2026-03-02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