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u w:val="single"/>
        </w:rPr>
        <w:t xml:space="preserve">  </w:t>
      </w:r>
      <w:r>
        <w:rPr>
          <w:rFonts w:ascii="Verdana" w:hAnsi="Verdana"/>
          <w:sz w:val="18"/>
          <w:szCs w:val="18"/>
          <w:u w:val="single"/>
        </w:rPr>
        <w:t>Mapping van Chemische waterkwaliteitsdashboard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</w:t>
      </w:r>
      <w:r>
        <w:rPr>
          <w:rFonts w:ascii="Verdana" w:hAnsi="Verdana"/>
          <w:sz w:val="18"/>
          <w:szCs w:val="18"/>
        </w:rPr>
        <w:t>'Bestrijdingsmiddelen': [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'glyfosaat', 'ampa', 'metolachloor', 'imidacloprid', 'mcpa', 'mecoprop', 'terbutylazine',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'abamectine', 'aclonifen', 'alachloor', 'aldrin', 'endosulfan', 'hexachloor', 'atrazine',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'bentazon', 'bifenox', 'chloorfenvinfos', 'chloortoluron', 'chloridazon', 'heptachloor',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'cumafos', 'cypermethrin', 'diazinon', 'dichloorvos', 'dicofol', 'dieldrin', 'dimethenamid',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'dimethoaat', 'dinoseb', 'diuron', 'dodine', 'endrin', 'azinfos', 'chloorpyrifos',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'fenamifos', 'fenoxycarb', 'irgarol', 'isodrin', 'isoproturon', 'linuron', 'malathion',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'methabenzthiazuron', 'metazachloor', 'metsulfuron', 'pirimifos', 'mevinfos', 'monolinuron',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'pirimicarb', 'propazine', 'propiconazol', 'pyrazofos', 'pyridaben', 'pyriproxyfen',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'quinoxyfen', 'simazine', 'teflubenzuron', 'terbutrin', 'thiacloprid', 'tolclofos',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'triazofos', 'fenoxyazijnzuur', 'fenoxyboterzuur', 'fenoxypropionzuur', 'ddt', 'ddd', 'dde',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'dinitro-o-cresol', 'aminomethyl', 'amisulpride', 'deltamethrin', 'diflufenican',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'esfenvaleraat', 'parathion', 'fenitrothion', 'fenthion', 'fipronil', 'fluconazol',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'glufosinaat', 'cyhalothrin', 'trifluraline', 'triazool', '3-(hydroxymethylfosfinoyl)propionzuur',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'dinoterb', 'heptenofos', 'metabenzthiazuron', "4,4'-dichloordifenyltrichloorethaan",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       </w:t>
      </w:r>
      <w:r>
        <w:rPr>
          <w:rFonts w:ascii="Verdana" w:hAnsi="Verdana"/>
          <w:sz w:val="18"/>
          <w:szCs w:val="18"/>
        </w:rPr>
        <w:t>"2,4'-dichloordifenyltrichloorethaan"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u w:val="single"/>
        </w:rPr>
        <w:t>Herbiciden</w:t>
      </w:r>
    </w:p>
    <w:p>
      <w:pPr>
        <w:pStyle w:val="Normal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lang w:val="en-US"/>
        </w:rPr>
        <w:t>Glyfosaat, metolachloor, MCPA (metaxon), mecoprop,  terbutylazine,  aclonifen, alachloor, atrazine, bentazon, bifenox, chloortoluron, chloridazon, dimethanamide, dimethenamide-P, dinoseb, diuron, isoproturon, linuron, methabenzthiazuron, metazachloor, metsulfuron, metsulfuron-methyl, monolinuron, propazine, simazine, terbutrin, diflufenican, glufosinaat, trifluralin, dinoterb</w:t>
      </w:r>
    </w:p>
    <w:p>
      <w:pPr>
        <w:pStyle w:val="Normal"/>
        <w:spacing w:before="0" w:after="16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  <w:lang w:val="en-US"/>
        </w:rPr>
        <w:t>*bron: https://sitem.herts.ac.uk/aeru/ppdb/en/atoz_herb.htm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4"/>
        <w:szCs w:val="24"/>
        <w:lang w:val="nl-N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nl-N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Geenlijst" w:default="1">
    <w:name w:val="Geen lij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LibreOffice/26.2.0.3$Windows_X86_64 LibreOffice_project/620$Build-3</Application>
  <AppVersion>15.0000</AppVersion>
  <Pages>1</Pages>
  <Words>127</Words>
  <Characters>1671</Characters>
  <CharactersWithSpaces>1904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2026-02-11T10:40:00Z</dcterms:created>
  <dc:creator>Bildirici, Ben (RWS MN)</dc:creator>
  <dc:description/>
  <dc:language>nl-NL</dc:language>
  <cp:lastModifiedBy/>
  <dcterms:modified xsi:type="dcterms:W3CDTF">2026-02-11T14:21:01Z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