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0"/>
        <w:rPr/>
      </w:pPr>
      <w:r>
        <w:rPr/>
      </w:r>
    </w:p>
    <w:tbl>
      <w:tblPr>
        <w:tblW w:w="9360" w:type="dxa"/>
        <w:jc w:val="left"/>
        <w:tblInd w:w="0" w:type="dxa"/>
        <w:tblLayout w:type="fixed"/>
        <w:tblCellMar>
          <w:top w:w="200" w:type="dxa"/>
          <w:left w:w="300" w:type="dxa"/>
          <w:bottom w:w="200" w:type="dxa"/>
          <w:right w:w="300" w:type="dxa"/>
        </w:tblCellMar>
      </w:tblPr>
      <w:tblGrid>
        <w:gridCol w:w="9360"/>
      </w:tblGrid>
      <w:tr>
        <w:trPr/>
        <w:tc>
          <w:tcPr>
            <w:tcW w:w="9360" w:type="dxa"/>
            <w:tcBorders/>
            <w:shd w:fill="1B3A6B" w:val="clear"/>
          </w:tcPr>
          <w:p>
            <w:pPr>
              <w:pStyle w:val="Normal"/>
              <w:jc w:val="center"/>
              <w:rPr/>
            </w:pPr>
            <w:r>
              <w:rPr>
                <w:rFonts w:eastAsia="Arial" w:cs="Arial"/>
                <w:b/>
                <w:bCs/>
                <w:color w:val="FFFFFF"/>
                <w:sz w:val="36"/>
                <w:szCs w:val="36"/>
              </w:rPr>
              <w:t>OE-MODULE-INSTITUTIONAL</w:t>
            </w:r>
          </w:p>
        </w:tc>
      </w:tr>
    </w:tbl>
    <w:p>
      <w:pPr>
        <w:pStyle w:val="Normal"/>
        <w:spacing w:before="0" w:after="40"/>
        <w:rPr/>
      </w:pPr>
      <w:r>
        <w:rPr/>
      </w:r>
    </w:p>
    <w:tbl>
      <w:tblPr>
        <w:tblW w:w="9360" w:type="dxa"/>
        <w:jc w:val="left"/>
        <w:tblInd w:w="0" w:type="dxa"/>
        <w:tblLayout w:type="fixed"/>
        <w:tblCellMar>
          <w:top w:w="200" w:type="dxa"/>
          <w:left w:w="300" w:type="dxa"/>
          <w:bottom w:w="200" w:type="dxa"/>
          <w:right w:w="300" w:type="dxa"/>
        </w:tblCellMar>
      </w:tblPr>
      <w:tblGrid>
        <w:gridCol w:w="9360"/>
      </w:tblGrid>
      <w:tr>
        <w:trPr/>
        <w:tc>
          <w:tcPr>
            <w:tcW w:w="9360" w:type="dxa"/>
            <w:tcBorders/>
            <w:shd w:fill="0D6E6E" w:val="clear"/>
          </w:tcPr>
          <w:p>
            <w:pPr>
              <w:pStyle w:val="Normal"/>
              <w:jc w:val="center"/>
              <w:rPr/>
            </w:pPr>
            <w:r>
              <w:rPr>
                <w:rFonts w:eastAsia="Arial" w:cs="Arial"/>
                <w:b/>
                <w:bCs/>
                <w:color w:val="FFFFFF"/>
                <w:sz w:val="36"/>
                <w:szCs w:val="36"/>
              </w:rPr>
              <w:t xml:space="preserve">Submodule Reference  |  </w:t>
            </w:r>
            <w:r>
              <w:rPr>
                <w:rFonts w:eastAsia="Arial" w:cs="Arial"/>
                <w:b/>
                <w:bCs/>
                <w:color w:val="FFFFFF"/>
                <w:sz w:val="36"/>
                <w:szCs w:val="36"/>
              </w:rPr>
              <w:t>Sponsor/Dev</w:t>
            </w:r>
            <w:r>
              <w:rPr>
                <w:rFonts w:eastAsia="Arial" w:cs="Arial"/>
                <w:b/>
                <w:bCs/>
                <w:color w:val="FFFFFF"/>
                <w:sz w:val="36"/>
                <w:szCs w:val="36"/>
              </w:rPr>
              <w:t xml:space="preserve"> Edition</w:t>
            </w:r>
          </w:p>
        </w:tc>
      </w:tr>
    </w:tbl>
    <w:p>
      <w:pPr>
        <w:pStyle w:val="Normal"/>
        <w:spacing w:before="0" w:after="200"/>
        <w:rPr/>
      </w:pPr>
      <w:r>
        <w:rPr/>
      </w:r>
    </w:p>
    <w:p>
      <w:pPr>
        <w:pStyle w:val="Normal"/>
        <w:spacing w:before="0" w:after="60"/>
        <w:jc w:val="center"/>
        <w:rPr/>
      </w:pPr>
      <w:r>
        <w:rPr>
          <w:rFonts w:eastAsia="Arial" w:cs="Arial"/>
          <w:b/>
          <w:bCs/>
          <w:color w:val="1A2B3C"/>
          <w:sz w:val="36"/>
          <w:szCs w:val="36"/>
        </w:rPr>
        <w:t>Health System Operations Platform</w:t>
      </w:r>
    </w:p>
    <w:p>
      <w:pPr>
        <w:pStyle w:val="Normal"/>
        <w:spacing w:before="0" w:after="60"/>
        <w:jc w:val="center"/>
        <w:rPr/>
      </w:pPr>
      <w:r>
        <w:rPr>
          <w:rFonts w:eastAsia="Arial" w:cs="Arial"/>
          <w:color w:val="6C7A8D"/>
          <w:sz w:val="22"/>
          <w:szCs w:val="22"/>
        </w:rPr>
        <w:t>Built on OpenEMR  —  32 Submodules  —  v0.10.0</w:t>
      </w:r>
    </w:p>
    <w:p>
      <w:pPr>
        <w:pStyle w:val="Normal"/>
        <w:spacing w:before="0" w:after="80"/>
        <w:rPr/>
      </w:pPr>
      <w:r>
        <w:rPr/>
      </w:r>
    </w:p>
    <w:p>
      <w:pPr>
        <w:pStyle w:val="Normal"/>
        <w:pBdr>
          <w:bottom w:val="single" w:sz="4" w:space="1" w:color="0D6E6E"/>
        </w:pBdr>
        <w:spacing w:before="0" w:after="160"/>
        <w:rPr/>
      </w:pPr>
      <w:r>
        <w:rPr/>
      </w:r>
    </w:p>
    <w:p>
      <w:pPr>
        <w:pStyle w:val="Normal"/>
        <w:spacing w:before="0" w:after="60"/>
        <w:jc w:val="center"/>
        <w:rPr/>
      </w:pPr>
      <w:r>
        <w:rPr>
          <w:rFonts w:eastAsia="Arial" w:cs="Arial"/>
          <w:color w:val="6C7A8D"/>
          <w:sz w:val="20"/>
          <w:szCs w:val="20"/>
        </w:rPr>
        <w:t xml:space="preserve">This document describes each submodule, its clinical purpose, and how it connects to </w:t>
      </w:r>
      <w:r>
        <w:rPr>
          <w:rFonts w:eastAsia="Arial" w:cs="Arial"/>
          <w:i/>
          <w:iCs/>
          <w:color w:val="6C7A8D"/>
          <w:sz w:val="20"/>
          <w:szCs w:val="20"/>
        </w:rPr>
        <w:t>real institutional workflows</w:t>
      </w:r>
      <w:r>
        <w:rPr>
          <w:rFonts w:eastAsia="Arial" w:cs="Arial"/>
          <w:color w:val="6C7A8D"/>
          <w:sz w:val="20"/>
          <w:szCs w:val="20"/>
        </w:rPr>
        <w:t xml:space="preserve"> in emergency departments and behavioral health facilities.</w:t>
      </w:r>
    </w:p>
    <w:p>
      <w:pPr>
        <w:pStyle w:val="Normal"/>
        <w:spacing w:before="0" w:after="280"/>
        <w:rPr/>
      </w:pPr>
      <w:r>
        <w:rPr/>
      </w:r>
    </w:p>
    <w:tbl>
      <w:tblPr>
        <w:tblW w:w="9360" w:type="dxa"/>
        <w:jc w:val="left"/>
        <w:tblInd w:w="0" w:type="dxa"/>
        <w:tblLayout w:type="fixed"/>
        <w:tblCellMar>
          <w:top w:w="160" w:type="dxa"/>
          <w:left w:w="120" w:type="dxa"/>
          <w:bottom w:w="160" w:type="dxa"/>
          <w:right w:w="120" w:type="dxa"/>
        </w:tblCellMar>
      </w:tblPr>
      <w:tblGrid>
        <w:gridCol w:w="2340"/>
        <w:gridCol w:w="2340"/>
        <w:gridCol w:w="2340"/>
        <w:gridCol w:w="2339"/>
      </w:tblGrid>
      <w:tr>
        <w:trPr/>
        <w:tc>
          <w:tcPr>
            <w:tcW w:w="2340" w:type="dxa"/>
            <w:tcBorders>
              <w:top w:val="single" w:sz="2" w:space="0" w:color="0D6E6E"/>
              <w:left w:val="single" w:sz="2" w:space="0" w:color="0D6E6E"/>
              <w:bottom w:val="single" w:sz="2" w:space="0" w:color="0D6E6E"/>
              <w:right w:val="single" w:sz="2" w:space="0" w:color="0D6E6E"/>
            </w:tcBorders>
            <w:shd w:fill="E8F4F4" w:val="clear"/>
          </w:tcPr>
          <w:p>
            <w:pPr>
              <w:pStyle w:val="Normal"/>
              <w:spacing w:before="0" w:after="30"/>
              <w:jc w:val="center"/>
              <w:rPr/>
            </w:pPr>
            <w:r>
              <w:rPr>
                <w:rFonts w:eastAsia="Arial" w:cs="Arial"/>
                <w:b/>
                <w:bCs/>
                <w:color w:val="1B3A6B"/>
                <w:sz w:val="48"/>
                <w:szCs w:val="48"/>
              </w:rPr>
              <w:t>32</w:t>
            </w:r>
          </w:p>
          <w:p>
            <w:pPr>
              <w:pStyle w:val="Normal"/>
              <w:spacing w:before="0" w:after="0"/>
              <w:jc w:val="center"/>
              <w:rPr/>
            </w:pPr>
            <w:r>
              <w:rPr>
                <w:rFonts w:eastAsia="Arial" w:cs="Arial"/>
                <w:color w:val="0D6E6E"/>
                <w:sz w:val="18"/>
                <w:szCs w:val="18"/>
              </w:rPr>
              <w:t>Submodules</w:t>
            </w:r>
          </w:p>
        </w:tc>
        <w:tc>
          <w:tcPr>
            <w:tcW w:w="2340" w:type="dxa"/>
            <w:tcBorders>
              <w:top w:val="single" w:sz="2" w:space="0" w:color="0D6E6E"/>
              <w:left w:val="single" w:sz="2" w:space="0" w:color="0D6E6E"/>
              <w:bottom w:val="single" w:sz="2" w:space="0" w:color="0D6E6E"/>
              <w:right w:val="single" w:sz="2" w:space="0" w:color="0D6E6E"/>
            </w:tcBorders>
            <w:shd w:fill="E8F4F4" w:val="clear"/>
          </w:tcPr>
          <w:p>
            <w:pPr>
              <w:pStyle w:val="Normal"/>
              <w:spacing w:before="0" w:after="30"/>
              <w:jc w:val="center"/>
              <w:rPr/>
            </w:pPr>
            <w:r>
              <w:rPr>
                <w:rFonts w:eastAsia="Arial" w:cs="Arial"/>
                <w:b/>
                <w:bCs/>
                <w:color w:val="1B3A6B"/>
                <w:sz w:val="48"/>
                <w:szCs w:val="48"/>
              </w:rPr>
              <w:t>5</w:t>
            </w:r>
          </w:p>
          <w:p>
            <w:pPr>
              <w:pStyle w:val="Normal"/>
              <w:spacing w:before="0" w:after="0"/>
              <w:jc w:val="center"/>
              <w:rPr/>
            </w:pPr>
            <w:r>
              <w:rPr>
                <w:rFonts w:eastAsia="Arial" w:cs="Arial"/>
                <w:color w:val="0D6E6E"/>
                <w:sz w:val="18"/>
                <w:szCs w:val="18"/>
              </w:rPr>
              <w:t>Clinical Contexts</w:t>
            </w:r>
          </w:p>
        </w:tc>
        <w:tc>
          <w:tcPr>
            <w:tcW w:w="2340" w:type="dxa"/>
            <w:tcBorders>
              <w:top w:val="single" w:sz="2" w:space="0" w:color="0D6E6E"/>
              <w:left w:val="single" w:sz="2" w:space="0" w:color="0D6E6E"/>
              <w:bottom w:val="single" w:sz="2" w:space="0" w:color="0D6E6E"/>
              <w:right w:val="single" w:sz="2" w:space="0" w:color="0D6E6E"/>
            </w:tcBorders>
            <w:shd w:fill="E8F4F4" w:val="clear"/>
          </w:tcPr>
          <w:p>
            <w:pPr>
              <w:pStyle w:val="Normal"/>
              <w:spacing w:before="0" w:after="30"/>
              <w:jc w:val="center"/>
              <w:rPr/>
            </w:pPr>
            <w:r>
              <w:rPr>
                <w:rFonts w:eastAsia="Arial" w:cs="Arial"/>
                <w:b/>
                <w:bCs/>
                <w:color w:val="1B3A6B"/>
                <w:sz w:val="48"/>
                <w:szCs w:val="48"/>
              </w:rPr>
              <w:t>24</w:t>
            </w:r>
          </w:p>
          <w:p>
            <w:pPr>
              <w:pStyle w:val="Normal"/>
              <w:spacing w:before="0" w:after="0"/>
              <w:jc w:val="center"/>
              <w:rPr/>
            </w:pPr>
            <w:r>
              <w:rPr>
                <w:rFonts w:eastAsia="Arial" w:cs="Arial"/>
                <w:color w:val="0D6E6E"/>
                <w:sz w:val="18"/>
                <w:szCs w:val="18"/>
              </w:rPr>
              <w:t>DB Tables</w:t>
            </w:r>
          </w:p>
        </w:tc>
        <w:tc>
          <w:tcPr>
            <w:tcW w:w="2339" w:type="dxa"/>
            <w:tcBorders>
              <w:top w:val="single" w:sz="2" w:space="0" w:color="0D6E6E"/>
              <w:left w:val="single" w:sz="2" w:space="0" w:color="0D6E6E"/>
              <w:bottom w:val="single" w:sz="2" w:space="0" w:color="0D6E6E"/>
              <w:right w:val="single" w:sz="2" w:space="0" w:color="0D6E6E"/>
            </w:tcBorders>
            <w:shd w:fill="E8F4F4" w:val="clear"/>
          </w:tcPr>
          <w:p>
            <w:pPr>
              <w:pStyle w:val="Normal"/>
              <w:spacing w:before="0" w:after="30"/>
              <w:jc w:val="center"/>
              <w:rPr/>
            </w:pPr>
            <w:r>
              <w:rPr>
                <w:rFonts w:eastAsia="Arial" w:cs="Arial"/>
                <w:b/>
                <w:bCs/>
                <w:color w:val="1B3A6B"/>
                <w:sz w:val="48"/>
                <w:szCs w:val="48"/>
              </w:rPr>
              <w:t>10+</w:t>
            </w:r>
          </w:p>
          <w:p>
            <w:pPr>
              <w:pStyle w:val="Normal"/>
              <w:spacing w:before="0" w:after="0"/>
              <w:jc w:val="center"/>
              <w:rPr/>
            </w:pPr>
            <w:r>
              <w:rPr>
                <w:rFonts w:eastAsia="Arial" w:cs="Arial"/>
                <w:color w:val="0D6E6E"/>
                <w:sz w:val="18"/>
                <w:szCs w:val="18"/>
              </w:rPr>
              <w:t>Workflow Groups</w:t>
            </w:r>
          </w:p>
        </w:tc>
      </w:tr>
    </w:tbl>
    <w:p>
      <w:pPr>
        <w:pStyle w:val="Normal"/>
        <w:spacing w:before="0" w:after="200"/>
        <w:rPr/>
      </w:pPr>
      <w:r>
        <w:rPr/>
      </w:r>
    </w:p>
    <w:p>
      <w:pPr>
        <w:pStyle w:val="Normal"/>
        <w:spacing w:before="0" w:after="60"/>
        <w:rPr/>
      </w:pPr>
      <w:r>
        <w:rPr>
          <w:rFonts w:eastAsia="Arial" w:cs="Arial"/>
          <w:color w:val="6C7A8D"/>
          <w:sz w:val="18"/>
          <w:szCs w:val="18"/>
        </w:rPr>
        <w:t xml:space="preserve">Prepared for </w:t>
      </w:r>
      <w:r>
        <w:rPr>
          <w:rFonts w:eastAsia="Arial" w:cs="Arial"/>
          <w:color w:val="6C7A8D"/>
          <w:sz w:val="18"/>
          <w:szCs w:val="18"/>
        </w:rPr>
        <w:t>sponsor</w:t>
      </w:r>
      <w:r>
        <w:rPr>
          <w:rFonts w:eastAsia="Arial" w:cs="Arial"/>
          <w:color w:val="6C7A8D"/>
          <w:sz w:val="18"/>
          <w:szCs w:val="18"/>
        </w:rPr>
        <w:t xml:space="preserve"> review  —  February 25, 2026</w:t>
      </w:r>
    </w:p>
    <w:p>
      <w:pPr>
        <w:pStyle w:val="Normal"/>
        <w:rPr/>
      </w:pPr>
      <w:r>
        <w:rPr/>
      </w:r>
      <w:r>
        <w:br w:type="page"/>
      </w:r>
    </w:p>
    <w:p>
      <w:pPr>
        <w:pStyle w:val="Heading1"/>
        <w:spacing w:before="0" w:after="120"/>
        <w:rPr/>
      </w:pPr>
      <w:r>
        <w:rPr>
          <w:rFonts w:eastAsia="Arial" w:cs="Arial" w:ascii="Arial" w:hAnsi="Arial"/>
          <w:b/>
          <w:bCs/>
          <w:color w:val="1B3A6B"/>
          <w:sz w:val="26"/>
          <w:szCs w:val="26"/>
        </w:rPr>
        <w:t>What Is This Module?</w:t>
      </w:r>
    </w:p>
    <w:p>
      <w:pPr>
        <w:pStyle w:val="Normal"/>
        <w:pBdr>
          <w:bottom w:val="single" w:sz="4" w:space="1" w:color="D0DDE8"/>
        </w:pBdr>
        <w:spacing w:before="0" w:after="160"/>
        <w:rPr/>
      </w:pPr>
      <w:r>
        <w:rPr/>
      </w:r>
    </w:p>
    <w:p>
      <w:pPr>
        <w:pStyle w:val="Normal"/>
        <w:spacing w:before="0" w:after="100"/>
        <w:rPr/>
      </w:pPr>
      <w:r>
        <w:rPr>
          <w:rFonts w:eastAsia="Arial" w:cs="Arial"/>
          <w:b w:val="false"/>
          <w:bCs w:val="false"/>
          <w:i w:val="false"/>
          <w:iCs w:val="false"/>
          <w:color w:val="1A2B3C"/>
          <w:sz w:val="20"/>
          <w:szCs w:val="20"/>
        </w:rPr>
        <w:t>The Institutional Workflow Module is a comprehensive clinical operations extension for OpenEMR — the world's most widely deployed open-source electronic medical record, used in over 100 countries and 100,000+ clinical sites.</w:t>
      </w:r>
    </w:p>
    <w:p>
      <w:pPr>
        <w:pStyle w:val="Normal"/>
        <w:spacing w:before="0" w:after="60"/>
        <w:rPr/>
      </w:pPr>
      <w:r>
        <w:rPr/>
      </w:r>
    </w:p>
    <w:p>
      <w:pPr>
        <w:pStyle w:val="Normal"/>
        <w:spacing w:before="0" w:after="100"/>
        <w:rPr/>
      </w:pPr>
      <w:r>
        <w:rPr>
          <w:rFonts w:eastAsia="Arial" w:cs="Arial"/>
          <w:b w:val="false"/>
          <w:bCs w:val="false"/>
          <w:i w:val="false"/>
          <w:iCs w:val="false"/>
          <w:color w:val="1A2B3C"/>
          <w:sz w:val="20"/>
          <w:szCs w:val="20"/>
        </w:rPr>
        <w:t>Most EMRs, including OpenEMR, are built around ambulatory outpatient workflows: scheduling appointments, documenting SOAP notes, and billing. They were not designed for the real-time, high-stakes environment of an emergency department or inpatient behavioral health unit.</w:t>
      </w:r>
    </w:p>
    <w:p>
      <w:pPr>
        <w:pStyle w:val="Normal"/>
        <w:spacing w:before="0" w:after="60"/>
        <w:rPr/>
      </w:pPr>
      <w:r>
        <w:rPr/>
      </w:r>
    </w:p>
    <w:p>
      <w:pPr>
        <w:pStyle w:val="Normal"/>
        <w:spacing w:before="0" w:after="100"/>
        <w:rPr/>
      </w:pPr>
      <w:r>
        <w:rPr>
          <w:rFonts w:eastAsia="Arial" w:cs="Arial"/>
          <w:b w:val="false"/>
          <w:bCs w:val="false"/>
          <w:i w:val="false"/>
          <w:iCs w:val="false"/>
          <w:color w:val="1A2B3C"/>
          <w:sz w:val="20"/>
          <w:szCs w:val="20"/>
        </w:rPr>
        <w:t>This module transforms OpenEMR into a full health system operations platform by adding 32 tightly integrated submodules organized around the actual moment-to-moment workflows of clinical staff — charge nurses, ED physicians, social workers, case managers, and nursing directors.</w:t>
      </w:r>
    </w:p>
    <w:p>
      <w:pPr>
        <w:pStyle w:val="Normal"/>
        <w:spacing w:before="0" w:after="120"/>
        <w:rPr/>
      </w:pPr>
      <w:r>
        <w:rPr/>
      </w:r>
    </w:p>
    <w:tbl>
      <w:tblPr>
        <w:tblW w:w="9360" w:type="dxa"/>
        <w:jc w:val="left"/>
        <w:tblInd w:w="0" w:type="dxa"/>
        <w:tblLayout w:type="fixed"/>
        <w:tblCellMar>
          <w:top w:w="140" w:type="dxa"/>
          <w:left w:w="200" w:type="dxa"/>
          <w:bottom w:w="140" w:type="dxa"/>
          <w:right w:w="200" w:type="dxa"/>
        </w:tblCellMar>
      </w:tblPr>
      <w:tblGrid>
        <w:gridCol w:w="4680"/>
        <w:gridCol w:w="4679"/>
      </w:tblGrid>
      <w:tr>
        <w:trPr/>
        <w:tc>
          <w:tcPr>
            <w:tcW w:w="4680" w:type="dxa"/>
            <w:tcBorders>
              <w:top w:val="single" w:sz="2" w:space="0" w:color="D0DDE8"/>
              <w:left w:val="single" w:sz="2" w:space="0" w:color="D0DDE8"/>
              <w:bottom w:val="single" w:sz="2" w:space="0" w:color="D0DDE8"/>
              <w:right w:val="single" w:sz="2" w:space="0" w:color="D0DDE8"/>
            </w:tcBorders>
            <w:shd w:fill="F4F7FA" w:val="clear"/>
          </w:tcPr>
          <w:p>
            <w:pPr>
              <w:pStyle w:val="Normal"/>
              <w:spacing w:before="0" w:after="60"/>
              <w:rPr/>
            </w:pPr>
            <w:r>
              <w:rPr>
                <w:rFonts w:eastAsia="Arial" w:cs="Arial"/>
                <w:b/>
                <w:bCs/>
                <w:color w:val="1B3A6B"/>
                <w:sz w:val="19"/>
                <w:szCs w:val="19"/>
              </w:rPr>
              <w:t>What hospitals pay today</w:t>
            </w:r>
          </w:p>
          <w:p>
            <w:pPr>
              <w:pStyle w:val="Normal"/>
              <w:rPr/>
            </w:pPr>
            <w:r>
              <w:rPr>
                <w:rFonts w:eastAsia="Arial" w:cs="Arial"/>
                <w:color w:val="6C7A8D"/>
                <w:sz w:val="18"/>
                <w:szCs w:val="18"/>
              </w:rPr>
              <w:t>Epic, Cerner, or T-System charge $200K–$2M/year for ED information system licenses, implementation, and maintenance — costs that exclude most community and safety-net hospitals.</w:t>
            </w:r>
          </w:p>
        </w:tc>
        <w:tc>
          <w:tcPr>
            <w:tcW w:w="4679" w:type="dxa"/>
            <w:tcBorders>
              <w:top w:val="single" w:sz="2" w:space="0" w:color="0D6E6E"/>
              <w:left w:val="single" w:sz="2" w:space="0" w:color="0D6E6E"/>
              <w:bottom w:val="single" w:sz="2" w:space="0" w:color="0D6E6E"/>
              <w:right w:val="single" w:sz="2" w:space="0" w:color="0D6E6E"/>
            </w:tcBorders>
            <w:shd w:fill="E8F4F4" w:val="clear"/>
          </w:tcPr>
          <w:p>
            <w:pPr>
              <w:pStyle w:val="Normal"/>
              <w:spacing w:before="0" w:after="60"/>
              <w:rPr/>
            </w:pPr>
            <w:r>
              <w:rPr>
                <w:rFonts w:eastAsia="Arial" w:cs="Arial"/>
                <w:b/>
                <w:bCs/>
                <w:color w:val="0D6E6E"/>
                <w:sz w:val="19"/>
                <w:szCs w:val="19"/>
              </w:rPr>
              <w:t>What this module provides</w:t>
            </w:r>
          </w:p>
          <w:p>
            <w:pPr>
              <w:pStyle w:val="Normal"/>
              <w:rPr/>
            </w:pPr>
            <w:r>
              <w:rPr>
                <w:rFonts w:eastAsia="Arial" w:cs="Arial"/>
                <w:color w:val="1A2B3C"/>
                <w:sz w:val="18"/>
                <w:szCs w:val="18"/>
              </w:rPr>
              <w:t>Enterprise-grade ED and BH workflow automation at a fraction of the cost, deployable on infrastructure the hospital already owns and on an EMR it already runs.</w:t>
            </w:r>
          </w:p>
        </w:tc>
      </w:tr>
    </w:tbl>
    <w:p>
      <w:pPr>
        <w:pStyle w:val="Normal"/>
        <w:spacing w:before="0" w:after="40"/>
        <w:rPr/>
      </w:pPr>
      <w:r>
        <w:rPr/>
      </w:r>
    </w:p>
    <w:p>
      <w:pPr>
        <w:pStyle w:val="Normal"/>
        <w:rPr/>
      </w:pPr>
      <w:r>
        <w:rPr/>
      </w:r>
      <w:r>
        <w:br w:type="page"/>
      </w:r>
    </w:p>
    <w:p>
      <w:pPr>
        <w:pStyle w:val="Heading1"/>
        <w:spacing w:before="0" w:after="120"/>
        <w:rPr/>
      </w:pPr>
      <w:r>
        <w:rPr>
          <w:rFonts w:eastAsia="Arial" w:cs="Arial" w:ascii="Arial" w:hAnsi="Arial"/>
          <w:b/>
          <w:bCs/>
          <w:color w:val="1B3A6B"/>
          <w:sz w:val="26"/>
          <w:szCs w:val="26"/>
        </w:rPr>
        <w:t>Clinical Contexts: Role-Based Views</w:t>
      </w:r>
    </w:p>
    <w:p>
      <w:pPr>
        <w:pStyle w:val="Normal"/>
        <w:pBdr>
          <w:bottom w:val="single" w:sz="4" w:space="1" w:color="D0DDE8"/>
        </w:pBdr>
        <w:spacing w:before="0" w:after="160"/>
        <w:rPr/>
      </w:pPr>
      <w:r>
        <w:rPr/>
      </w:r>
    </w:p>
    <w:p>
      <w:pPr>
        <w:pStyle w:val="Normal"/>
        <w:spacing w:before="0" w:after="100"/>
        <w:rPr/>
      </w:pPr>
      <w:r>
        <w:rPr>
          <w:rFonts w:eastAsia="Arial" w:cs="Arial"/>
          <w:b w:val="false"/>
          <w:bCs w:val="false"/>
          <w:i w:val="false"/>
          <w:iCs w:val="false"/>
          <w:color w:val="1A2B3C"/>
          <w:sz w:val="20"/>
          <w:szCs w:val="20"/>
        </w:rPr>
        <w:t>One of the module’s core differentiators is its Care Context system. Rather than overwhelming every user with all 32 submodules, the module presents a filtered, role-appropriate view. Each context surfaces exactly the tools relevant to that clinician’s moment-to-moment responsibilities.</w:t>
      </w:r>
    </w:p>
    <w:p>
      <w:pPr>
        <w:pStyle w:val="Normal"/>
        <w:spacing w:before="0" w:after="100"/>
        <w:rPr/>
      </w:pPr>
      <w:r>
        <w:rPr/>
      </w:r>
    </w:p>
    <w:tbl>
      <w:tblPr>
        <w:tblW w:w="9360" w:type="dxa"/>
        <w:jc w:val="left"/>
        <w:tblInd w:w="0" w:type="dxa"/>
        <w:tblLayout w:type="fixed"/>
        <w:tblCellMar>
          <w:top w:w="100" w:type="dxa"/>
          <w:left w:w="140" w:type="dxa"/>
          <w:bottom w:w="100" w:type="dxa"/>
          <w:right w:w="140" w:type="dxa"/>
        </w:tblCellMar>
      </w:tblPr>
      <w:tblGrid>
        <w:gridCol w:w="1599"/>
        <w:gridCol w:w="2201"/>
        <w:gridCol w:w="5560"/>
      </w:tblGrid>
      <w:tr>
        <w:trPr/>
        <w:tc>
          <w:tcPr>
            <w:tcW w:w="1599" w:type="dxa"/>
            <w:tcBorders>
              <w:top w:val="single" w:sz="2" w:space="0" w:color="1B3A6B"/>
              <w:left w:val="single" w:sz="2" w:space="0" w:color="1B3A6B"/>
              <w:bottom w:val="single" w:sz="2" w:space="0" w:color="1B3A6B"/>
              <w:right w:val="single" w:sz="2" w:space="0" w:color="1B3A6B"/>
            </w:tcBorders>
            <w:shd w:fill="1B3A6B" w:val="clear"/>
          </w:tcPr>
          <w:p>
            <w:pPr>
              <w:pStyle w:val="Normal"/>
              <w:rPr/>
            </w:pPr>
            <w:r>
              <w:rPr>
                <w:rFonts w:eastAsia="Arial" w:cs="Arial"/>
                <w:b/>
                <w:bCs/>
                <w:color w:val="FFFFFF"/>
                <w:sz w:val="18"/>
                <w:szCs w:val="18"/>
              </w:rPr>
              <w:t>Context</w:t>
            </w:r>
          </w:p>
        </w:tc>
        <w:tc>
          <w:tcPr>
            <w:tcW w:w="2201" w:type="dxa"/>
            <w:tcBorders>
              <w:top w:val="single" w:sz="2" w:space="0" w:color="1B3A6B"/>
              <w:left w:val="single" w:sz="2" w:space="0" w:color="1B3A6B"/>
              <w:bottom w:val="single" w:sz="2" w:space="0" w:color="1B3A6B"/>
              <w:right w:val="single" w:sz="2" w:space="0" w:color="1B3A6B"/>
            </w:tcBorders>
            <w:shd w:fill="1B3A6B" w:val="clear"/>
          </w:tcPr>
          <w:p>
            <w:pPr>
              <w:pStyle w:val="Normal"/>
              <w:rPr/>
            </w:pPr>
            <w:r>
              <w:rPr>
                <w:rFonts w:eastAsia="Arial" w:cs="Arial"/>
                <w:b/>
                <w:bCs/>
                <w:color w:val="FFFFFF"/>
                <w:sz w:val="18"/>
                <w:szCs w:val="18"/>
              </w:rPr>
              <w:t>Audience</w:t>
            </w:r>
          </w:p>
        </w:tc>
        <w:tc>
          <w:tcPr>
            <w:tcW w:w="5560" w:type="dxa"/>
            <w:tcBorders>
              <w:top w:val="single" w:sz="2" w:space="0" w:color="1B3A6B"/>
              <w:left w:val="single" w:sz="2" w:space="0" w:color="1B3A6B"/>
              <w:bottom w:val="single" w:sz="2" w:space="0" w:color="1B3A6B"/>
              <w:right w:val="single" w:sz="2" w:space="0" w:color="1B3A6B"/>
            </w:tcBorders>
            <w:shd w:fill="1B3A6B" w:val="clear"/>
          </w:tcPr>
          <w:p>
            <w:pPr>
              <w:pStyle w:val="Normal"/>
              <w:rPr/>
            </w:pPr>
            <w:r>
              <w:rPr>
                <w:rFonts w:eastAsia="Arial" w:cs="Arial"/>
                <w:b/>
                <w:bCs/>
                <w:color w:val="FFFFFF"/>
                <w:sz w:val="18"/>
                <w:szCs w:val="18"/>
              </w:rPr>
              <w:t>Submodules surfaced</w:t>
            </w:r>
          </w:p>
        </w:tc>
      </w:tr>
      <w:tr>
        <w:trPr/>
        <w:tc>
          <w:tcPr>
            <w:tcW w:w="1599" w:type="dxa"/>
            <w:tcBorders>
              <w:top w:val="single" w:sz="2" w:space="0" w:color="D0DDE8"/>
              <w:left w:val="single" w:sz="2" w:space="0" w:color="D0DDE8"/>
              <w:bottom w:val="single" w:sz="2" w:space="0" w:color="D0DDE8"/>
              <w:right w:val="single" w:sz="2" w:space="0" w:color="D0DDE8"/>
            </w:tcBorders>
            <w:shd w:fill="F4F7FA" w:val="clear"/>
            <w:tcMar>
              <w:top w:w="90" w:type="dxa"/>
              <w:bottom w:w="90" w:type="dxa"/>
            </w:tcMar>
          </w:tcPr>
          <w:p>
            <w:pPr>
              <w:pStyle w:val="Normal"/>
              <w:rPr/>
            </w:pPr>
            <w:r>
              <w:rPr>
                <w:rFonts w:eastAsia="Arial" w:cs="Arial"/>
                <w:b/>
                <w:bCs/>
                <w:color w:val="1B3A6B"/>
                <w:sz w:val="18"/>
                <w:szCs w:val="18"/>
              </w:rPr>
              <w:t>ED Acute Care</w:t>
            </w:r>
          </w:p>
        </w:tc>
        <w:tc>
          <w:tcPr>
            <w:tcW w:w="2201" w:type="dxa"/>
            <w:tcBorders>
              <w:top w:val="single" w:sz="2" w:space="0" w:color="D0DDE8"/>
              <w:left w:val="single" w:sz="2" w:space="0" w:color="D0DDE8"/>
              <w:bottom w:val="single" w:sz="2" w:space="0" w:color="D0DDE8"/>
              <w:right w:val="single" w:sz="2" w:space="0" w:color="D0DDE8"/>
            </w:tcBorders>
            <w:tcMar>
              <w:top w:w="90" w:type="dxa"/>
              <w:bottom w:w="90" w:type="dxa"/>
            </w:tcMar>
          </w:tcPr>
          <w:p>
            <w:pPr>
              <w:pStyle w:val="Normal"/>
              <w:rPr/>
            </w:pPr>
            <w:r>
              <w:rPr>
                <w:rFonts w:eastAsia="Arial" w:cs="Arial"/>
                <w:color w:val="1A2B3C"/>
                <w:sz w:val="18"/>
                <w:szCs w:val="18"/>
              </w:rPr>
              <w:t>Charge nurse, ED physician</w:t>
            </w:r>
          </w:p>
        </w:tc>
        <w:tc>
          <w:tcPr>
            <w:tcW w:w="5560" w:type="dxa"/>
            <w:tcBorders>
              <w:top w:val="single" w:sz="2" w:space="0" w:color="D0DDE8"/>
              <w:left w:val="single" w:sz="2" w:space="0" w:color="D0DDE8"/>
              <w:bottom w:val="single" w:sz="2" w:space="0" w:color="D0DDE8"/>
              <w:right w:val="single" w:sz="2" w:space="0" w:color="D0DDE8"/>
            </w:tcBorders>
            <w:tcMar>
              <w:top w:w="90" w:type="dxa"/>
              <w:bottom w:w="90" w:type="dxa"/>
            </w:tcMar>
          </w:tcPr>
          <w:p>
            <w:pPr>
              <w:pStyle w:val="Normal"/>
              <w:rPr/>
            </w:pPr>
            <w:r>
              <w:rPr>
                <w:rFonts w:eastAsia="Arial" w:cs="Arial"/>
                <w:color w:val="6C7A8D"/>
                <w:sz w:val="17"/>
                <w:szCs w:val="17"/>
              </w:rPr>
              <w:t>ED Board, Triage, Intake, Tasks, Alerts, MAR, Assignments, Handoff, Disposition, BH Safety, Transfers, eReferral, Bed Mgmt</w:t>
            </w:r>
          </w:p>
        </w:tc>
      </w:tr>
      <w:tr>
        <w:trPr/>
        <w:tc>
          <w:tcPr>
            <w:tcW w:w="1599" w:type="dxa"/>
            <w:tcBorders>
              <w:top w:val="single" w:sz="2" w:space="0" w:color="D0DDE8"/>
              <w:left w:val="single" w:sz="2" w:space="0" w:color="D0DDE8"/>
              <w:bottom w:val="single" w:sz="2" w:space="0" w:color="D0DDE8"/>
              <w:right w:val="single" w:sz="2" w:space="0" w:color="D0DDE8"/>
            </w:tcBorders>
            <w:shd w:fill="F4F7FA" w:val="clear"/>
            <w:tcMar>
              <w:top w:w="90" w:type="dxa"/>
              <w:bottom w:w="90" w:type="dxa"/>
            </w:tcMar>
          </w:tcPr>
          <w:p>
            <w:pPr>
              <w:pStyle w:val="Normal"/>
              <w:rPr/>
            </w:pPr>
            <w:r>
              <w:rPr>
                <w:rFonts w:eastAsia="Arial" w:cs="Arial"/>
                <w:b/>
                <w:bCs/>
                <w:color w:val="1B3A6B"/>
                <w:sz w:val="18"/>
                <w:szCs w:val="18"/>
              </w:rPr>
              <w:t>OBS / Inpatient</w:t>
            </w:r>
          </w:p>
        </w:tc>
        <w:tc>
          <w:tcPr>
            <w:tcW w:w="2201" w:type="dxa"/>
            <w:tcBorders>
              <w:top w:val="single" w:sz="2" w:space="0" w:color="D0DDE8"/>
              <w:left w:val="single" w:sz="2" w:space="0" w:color="D0DDE8"/>
              <w:bottom w:val="single" w:sz="2" w:space="0" w:color="D0DDE8"/>
              <w:right w:val="single" w:sz="2" w:space="0" w:color="D0DDE8"/>
            </w:tcBorders>
            <w:tcMar>
              <w:top w:w="90" w:type="dxa"/>
              <w:bottom w:w="90" w:type="dxa"/>
            </w:tcMar>
          </w:tcPr>
          <w:p>
            <w:pPr>
              <w:pStyle w:val="Normal"/>
              <w:rPr/>
            </w:pPr>
            <w:r>
              <w:rPr>
                <w:rFonts w:eastAsia="Arial" w:cs="Arial"/>
                <w:color w:val="1A2B3C"/>
                <w:sz w:val="18"/>
                <w:szCs w:val="18"/>
              </w:rPr>
              <w:t>Observation nurse, hospitalist</w:t>
            </w:r>
          </w:p>
        </w:tc>
        <w:tc>
          <w:tcPr>
            <w:tcW w:w="5560" w:type="dxa"/>
            <w:tcBorders>
              <w:top w:val="single" w:sz="2" w:space="0" w:color="D0DDE8"/>
              <w:left w:val="single" w:sz="2" w:space="0" w:color="D0DDE8"/>
              <w:bottom w:val="single" w:sz="2" w:space="0" w:color="D0DDE8"/>
              <w:right w:val="single" w:sz="2" w:space="0" w:color="D0DDE8"/>
            </w:tcBorders>
            <w:tcMar>
              <w:top w:w="90" w:type="dxa"/>
              <w:bottom w:w="90" w:type="dxa"/>
            </w:tcMar>
          </w:tcPr>
          <w:p>
            <w:pPr>
              <w:pStyle w:val="Normal"/>
              <w:rPr/>
            </w:pPr>
            <w:r>
              <w:rPr>
                <w:rFonts w:eastAsia="Arial" w:cs="Arial"/>
                <w:color w:val="6C7A8D"/>
                <w:sz w:val="17"/>
                <w:szCs w:val="17"/>
              </w:rPr>
              <w:t>OBS Stay, OBS Protocols, OBS Billing, MAR, Tasks, Alerts, Disposition, eReferral, Timeline, Documents</w:t>
            </w:r>
          </w:p>
        </w:tc>
      </w:tr>
      <w:tr>
        <w:trPr/>
        <w:tc>
          <w:tcPr>
            <w:tcW w:w="1599" w:type="dxa"/>
            <w:tcBorders>
              <w:top w:val="single" w:sz="2" w:space="0" w:color="D0DDE8"/>
              <w:left w:val="single" w:sz="2" w:space="0" w:color="D0DDE8"/>
              <w:bottom w:val="single" w:sz="2" w:space="0" w:color="D0DDE8"/>
              <w:right w:val="single" w:sz="2" w:space="0" w:color="D0DDE8"/>
            </w:tcBorders>
            <w:shd w:fill="F4F7FA" w:val="clear"/>
            <w:tcMar>
              <w:top w:w="90" w:type="dxa"/>
              <w:bottom w:w="90" w:type="dxa"/>
            </w:tcMar>
          </w:tcPr>
          <w:p>
            <w:pPr>
              <w:pStyle w:val="Normal"/>
              <w:rPr/>
            </w:pPr>
            <w:r>
              <w:rPr>
                <w:rFonts w:eastAsia="Arial" w:cs="Arial"/>
                <w:b/>
                <w:bCs/>
                <w:color w:val="1B3A6B"/>
                <w:sz w:val="18"/>
                <w:szCs w:val="18"/>
              </w:rPr>
              <w:t>Behavioral Health</w:t>
            </w:r>
          </w:p>
        </w:tc>
        <w:tc>
          <w:tcPr>
            <w:tcW w:w="2201" w:type="dxa"/>
            <w:tcBorders>
              <w:top w:val="single" w:sz="2" w:space="0" w:color="D0DDE8"/>
              <w:left w:val="single" w:sz="2" w:space="0" w:color="D0DDE8"/>
              <w:bottom w:val="single" w:sz="2" w:space="0" w:color="D0DDE8"/>
              <w:right w:val="single" w:sz="2" w:space="0" w:color="D0DDE8"/>
            </w:tcBorders>
            <w:tcMar>
              <w:top w:w="90" w:type="dxa"/>
              <w:bottom w:w="90" w:type="dxa"/>
            </w:tcMar>
          </w:tcPr>
          <w:p>
            <w:pPr>
              <w:pStyle w:val="Normal"/>
              <w:rPr/>
            </w:pPr>
            <w:r>
              <w:rPr>
                <w:rFonts w:eastAsia="Arial" w:cs="Arial"/>
                <w:color w:val="1A2B3C"/>
                <w:sz w:val="18"/>
                <w:szCs w:val="18"/>
              </w:rPr>
              <w:t>Social worker, BH nurse, psych MD</w:t>
            </w:r>
          </w:p>
        </w:tc>
        <w:tc>
          <w:tcPr>
            <w:tcW w:w="5560" w:type="dxa"/>
            <w:tcBorders>
              <w:top w:val="single" w:sz="2" w:space="0" w:color="D0DDE8"/>
              <w:left w:val="single" w:sz="2" w:space="0" w:color="D0DDE8"/>
              <w:bottom w:val="single" w:sz="2" w:space="0" w:color="D0DDE8"/>
              <w:right w:val="single" w:sz="2" w:space="0" w:color="D0DDE8"/>
            </w:tcBorders>
            <w:tcMar>
              <w:top w:w="90" w:type="dxa"/>
              <w:bottom w:w="90" w:type="dxa"/>
            </w:tcMar>
          </w:tcPr>
          <w:p>
            <w:pPr>
              <w:pStyle w:val="Normal"/>
              <w:rPr/>
            </w:pPr>
            <w:r>
              <w:rPr>
                <w:rFonts w:eastAsia="Arial" w:cs="Arial"/>
                <w:color w:val="6C7A8D"/>
                <w:sz w:val="17"/>
                <w:szCs w:val="17"/>
              </w:rPr>
              <w:t>BH Safety, BH Boarding, Triage, Tasks, Alerts, Intake, Disposition, eReferral, Transfers</w:t>
            </w:r>
          </w:p>
        </w:tc>
      </w:tr>
      <w:tr>
        <w:trPr/>
        <w:tc>
          <w:tcPr>
            <w:tcW w:w="1599" w:type="dxa"/>
            <w:tcBorders>
              <w:top w:val="single" w:sz="2" w:space="0" w:color="D0DDE8"/>
              <w:left w:val="single" w:sz="2" w:space="0" w:color="D0DDE8"/>
              <w:bottom w:val="single" w:sz="2" w:space="0" w:color="D0DDE8"/>
              <w:right w:val="single" w:sz="2" w:space="0" w:color="D0DDE8"/>
            </w:tcBorders>
            <w:shd w:fill="F4F7FA" w:val="clear"/>
            <w:tcMar>
              <w:top w:w="90" w:type="dxa"/>
              <w:bottom w:w="90" w:type="dxa"/>
            </w:tcMar>
          </w:tcPr>
          <w:p>
            <w:pPr>
              <w:pStyle w:val="Normal"/>
              <w:rPr/>
            </w:pPr>
            <w:r>
              <w:rPr>
                <w:rFonts w:eastAsia="Arial" w:cs="Arial"/>
                <w:b/>
                <w:bCs/>
                <w:color w:val="1B3A6B"/>
                <w:sz w:val="18"/>
                <w:szCs w:val="18"/>
              </w:rPr>
              <w:t>Operations</w:t>
            </w:r>
          </w:p>
        </w:tc>
        <w:tc>
          <w:tcPr>
            <w:tcW w:w="2201" w:type="dxa"/>
            <w:tcBorders>
              <w:top w:val="single" w:sz="2" w:space="0" w:color="D0DDE8"/>
              <w:left w:val="single" w:sz="2" w:space="0" w:color="D0DDE8"/>
              <w:bottom w:val="single" w:sz="2" w:space="0" w:color="D0DDE8"/>
              <w:right w:val="single" w:sz="2" w:space="0" w:color="D0DDE8"/>
            </w:tcBorders>
            <w:tcMar>
              <w:top w:w="90" w:type="dxa"/>
              <w:bottom w:w="90" w:type="dxa"/>
            </w:tcMar>
          </w:tcPr>
          <w:p>
            <w:pPr>
              <w:pStyle w:val="Normal"/>
              <w:rPr/>
            </w:pPr>
            <w:r>
              <w:rPr>
                <w:rFonts w:eastAsia="Arial" w:cs="Arial"/>
                <w:color w:val="1A2B3C"/>
                <w:sz w:val="18"/>
                <w:szCs w:val="18"/>
              </w:rPr>
              <w:t>Nursing director, admin, quality</w:t>
            </w:r>
          </w:p>
        </w:tc>
        <w:tc>
          <w:tcPr>
            <w:tcW w:w="5560" w:type="dxa"/>
            <w:tcBorders>
              <w:top w:val="single" w:sz="2" w:space="0" w:color="D0DDE8"/>
              <w:left w:val="single" w:sz="2" w:space="0" w:color="D0DDE8"/>
              <w:bottom w:val="single" w:sz="2" w:space="0" w:color="D0DDE8"/>
              <w:right w:val="single" w:sz="2" w:space="0" w:color="D0DDE8"/>
            </w:tcBorders>
            <w:tcMar>
              <w:top w:w="90" w:type="dxa"/>
              <w:bottom w:w="90" w:type="dxa"/>
            </w:tcMar>
          </w:tcPr>
          <w:p>
            <w:pPr>
              <w:pStyle w:val="Normal"/>
              <w:rPr/>
            </w:pPr>
            <w:r>
              <w:rPr>
                <w:rFonts w:eastAsia="Arial" w:cs="Arial"/>
                <w:color w:val="6C7A8D"/>
                <w:sz w:val="17"/>
                <w:szCs w:val="17"/>
              </w:rPr>
              <w:t>ED Board, Throughput, Scorecard, Alerts, Command Center, Multi-Facility, OBS Billing, CMS Quality, Diversion, Exports</w:t>
            </w:r>
          </w:p>
        </w:tc>
      </w:tr>
      <w:tr>
        <w:trPr/>
        <w:tc>
          <w:tcPr>
            <w:tcW w:w="1599" w:type="dxa"/>
            <w:tcBorders>
              <w:top w:val="single" w:sz="2" w:space="0" w:color="D0DDE8"/>
              <w:left w:val="single" w:sz="2" w:space="0" w:color="D0DDE8"/>
              <w:bottom w:val="single" w:sz="2" w:space="0" w:color="D0DDE8"/>
              <w:right w:val="single" w:sz="2" w:space="0" w:color="D0DDE8"/>
            </w:tcBorders>
            <w:shd w:fill="F4F7FA" w:val="clear"/>
            <w:tcMar>
              <w:top w:w="90" w:type="dxa"/>
              <w:bottom w:w="90" w:type="dxa"/>
            </w:tcMar>
          </w:tcPr>
          <w:p>
            <w:pPr>
              <w:pStyle w:val="Normal"/>
              <w:rPr/>
            </w:pPr>
            <w:r>
              <w:rPr>
                <w:rFonts w:eastAsia="Arial" w:cs="Arial"/>
                <w:b/>
                <w:bCs/>
                <w:color w:val="1B3A6B"/>
                <w:sz w:val="18"/>
                <w:szCs w:val="18"/>
              </w:rPr>
              <w:t>Full Access</w:t>
            </w:r>
          </w:p>
        </w:tc>
        <w:tc>
          <w:tcPr>
            <w:tcW w:w="2201" w:type="dxa"/>
            <w:tcBorders>
              <w:top w:val="single" w:sz="2" w:space="0" w:color="D0DDE8"/>
              <w:left w:val="single" w:sz="2" w:space="0" w:color="D0DDE8"/>
              <w:bottom w:val="single" w:sz="2" w:space="0" w:color="D0DDE8"/>
              <w:right w:val="single" w:sz="2" w:space="0" w:color="D0DDE8"/>
            </w:tcBorders>
            <w:tcMar>
              <w:top w:w="90" w:type="dxa"/>
              <w:bottom w:w="90" w:type="dxa"/>
            </w:tcMar>
          </w:tcPr>
          <w:p>
            <w:pPr>
              <w:pStyle w:val="Normal"/>
              <w:rPr/>
            </w:pPr>
            <w:r>
              <w:rPr>
                <w:rFonts w:eastAsia="Arial" w:cs="Arial"/>
                <w:color w:val="1A2B3C"/>
                <w:sz w:val="18"/>
                <w:szCs w:val="18"/>
              </w:rPr>
              <w:t>Superuser, module administrator</w:t>
            </w:r>
          </w:p>
        </w:tc>
        <w:tc>
          <w:tcPr>
            <w:tcW w:w="5560" w:type="dxa"/>
            <w:tcBorders>
              <w:top w:val="single" w:sz="2" w:space="0" w:color="D0DDE8"/>
              <w:left w:val="single" w:sz="2" w:space="0" w:color="D0DDE8"/>
              <w:bottom w:val="single" w:sz="2" w:space="0" w:color="D0DDE8"/>
              <w:right w:val="single" w:sz="2" w:space="0" w:color="D0DDE8"/>
            </w:tcBorders>
            <w:tcMar>
              <w:top w:w="90" w:type="dxa"/>
              <w:bottom w:w="90" w:type="dxa"/>
            </w:tcMar>
          </w:tcPr>
          <w:p>
            <w:pPr>
              <w:pStyle w:val="Normal"/>
              <w:rPr/>
            </w:pPr>
            <w:r>
              <w:rPr>
                <w:rFonts w:eastAsia="Arial" w:cs="Arial"/>
                <w:color w:val="6C7A8D"/>
                <w:sz w:val="17"/>
                <w:szCs w:val="17"/>
              </w:rPr>
              <w:t>All 32 submodules, no filtering</w:t>
            </w:r>
          </w:p>
        </w:tc>
      </w:tr>
    </w:tbl>
    <w:p>
      <w:pPr>
        <w:pStyle w:val="Normal"/>
        <w:rPr/>
      </w:pPr>
      <w:r>
        <w:rPr/>
      </w:r>
      <w:r>
        <w:br w:type="page"/>
      </w:r>
    </w:p>
    <w:p>
      <w:pPr>
        <w:pStyle w:val="Heading1"/>
        <w:spacing w:before="0" w:after="120"/>
        <w:rPr/>
      </w:pPr>
      <w:r>
        <w:rPr>
          <w:rFonts w:eastAsia="Arial" w:cs="Arial" w:ascii="Arial" w:hAnsi="Arial"/>
          <w:b/>
          <w:bCs/>
          <w:color w:val="1B3A6B"/>
          <w:sz w:val="26"/>
          <w:szCs w:val="26"/>
        </w:rPr>
        <w:t>Submodule Reference</w:t>
      </w:r>
    </w:p>
    <w:p>
      <w:pPr>
        <w:pStyle w:val="Normal"/>
        <w:pBdr>
          <w:bottom w:val="single" w:sz="4" w:space="1" w:color="D0DDE8"/>
        </w:pBdr>
        <w:spacing w:before="0" w:after="160"/>
        <w:rPr/>
      </w:pPr>
      <w:r>
        <w:rPr/>
      </w:r>
    </w:p>
    <w:p>
      <w:pPr>
        <w:pStyle w:val="Normal"/>
        <w:spacing w:before="0" w:after="100"/>
        <w:rPr/>
      </w:pPr>
      <w:r>
        <w:rPr>
          <w:rFonts w:eastAsia="Arial" w:cs="Arial"/>
          <w:b w:val="false"/>
          <w:bCs w:val="false"/>
          <w:i w:val="false"/>
          <w:iCs w:val="false"/>
          <w:color w:val="1A2B3C"/>
          <w:sz w:val="20"/>
          <w:szCs w:val="20"/>
        </w:rPr>
        <w:t>Each submodule is independently feature-flagged via manifest.json and can be enabled or disabled per deployment without affecting other submodules. All submodules share a common domain layer (episodes, locations, patients) through the Core repository.</w:t>
      </w:r>
    </w:p>
    <w:p>
      <w:pPr>
        <w:pStyle w:val="Normal"/>
        <w:spacing w:before="0" w:after="100"/>
        <w:rPr/>
      </w:pPr>
      <w:r>
        <w:rPr/>
      </w:r>
    </w:p>
    <w:tbl>
      <w:tblPr>
        <w:tblW w:w="9360" w:type="dxa"/>
        <w:jc w:val="left"/>
        <w:tblInd w:w="0" w:type="dxa"/>
        <w:tblLayout w:type="fixed"/>
        <w:tblCellMar>
          <w:top w:w="160" w:type="dxa"/>
          <w:left w:w="260" w:type="dxa"/>
          <w:bottom w:w="160" w:type="dxa"/>
          <w:right w:w="260" w:type="dxa"/>
        </w:tblCellMar>
      </w:tblPr>
      <w:tblGrid>
        <w:gridCol w:w="9360"/>
      </w:tblGrid>
      <w:tr>
        <w:trPr/>
        <w:tc>
          <w:tcPr>
            <w:tcW w:w="9360" w:type="dxa"/>
            <w:tcBorders/>
            <w:shd w:fill="1B3A6B" w:val="clear"/>
          </w:tcPr>
          <w:p>
            <w:pPr>
              <w:pStyle w:val="Normal"/>
              <w:spacing w:before="0" w:after="30"/>
              <w:rPr/>
            </w:pPr>
            <w:r>
              <w:rPr>
                <w:rFonts w:eastAsia="Arial" w:cs="Arial"/>
                <w:b/>
                <w:bCs/>
                <w:color w:val="FFFFFF"/>
                <w:sz w:val="22"/>
                <w:szCs w:val="22"/>
              </w:rPr>
              <w:t>GROUP A  —  Patient Flow</w:t>
            </w:r>
          </w:p>
          <w:p>
            <w:pPr>
              <w:pStyle w:val="Normal"/>
              <w:spacing w:before="0" w:after="0"/>
              <w:rPr/>
            </w:pPr>
            <w:r>
              <w:rPr>
                <w:rFonts w:eastAsia="Arial" w:cs="Arial"/>
                <w:color w:val="A8C4D0"/>
                <w:sz w:val="17"/>
                <w:szCs w:val="17"/>
              </w:rPr>
              <w:t>How patients move from arrival to disposition</w:t>
            </w:r>
          </w:p>
        </w:tc>
      </w:tr>
    </w:tbl>
    <w:p>
      <w:pPr>
        <w:pStyle w:val="Normal"/>
        <w:spacing w:before="0" w:after="40"/>
        <w:rPr/>
      </w:pPr>
      <w:r>
        <w:rPr/>
      </w:r>
    </w:p>
    <w:tbl>
      <w:tblPr>
        <w:tblW w:w="9360" w:type="dxa"/>
        <w:jc w:val="left"/>
        <w:tblInd w:w="0" w:type="dxa"/>
        <w:tblLayout w:type="fixed"/>
        <w:tblCellMar>
          <w:top w:w="120" w:type="dxa"/>
          <w:left w:w="180" w:type="dxa"/>
          <w:bottom w:w="120" w:type="dxa"/>
          <w:right w:w="180" w:type="dxa"/>
        </w:tblCellMar>
      </w:tblPr>
      <w:tblGrid>
        <w:gridCol w:w="2700"/>
        <w:gridCol w:w="6659"/>
      </w:tblGrid>
      <w:tr>
        <w:trPr/>
        <w:tc>
          <w:tcPr>
            <w:tcW w:w="2700" w:type="dxa"/>
            <w:tcBorders>
              <w:top w:val="single" w:sz="2" w:space="0" w:color="D0DDE8"/>
              <w:left w:val="single" w:sz="2" w:space="0" w:color="D0DDE8"/>
              <w:bottom w:val="single" w:sz="2" w:space="0" w:color="D0DDE8"/>
              <w:right w:val="single" w:sz="2" w:space="0" w:color="D0DDE8"/>
            </w:tcBorders>
            <w:shd w:fill="F4F7FA" w:val="clear"/>
          </w:tcPr>
          <w:p>
            <w:pPr>
              <w:pStyle w:val="Normal"/>
              <w:spacing w:before="0" w:after="40"/>
              <w:rPr/>
            </w:pPr>
            <w:r>
              <w:rPr>
                <w:rFonts w:eastAsia="Arial" w:cs="Arial"/>
                <w:b w:val="false"/>
                <w:bCs w:val="false"/>
                <w:color w:val="6C7A8D"/>
                <w:sz w:val="16"/>
                <w:szCs w:val="16"/>
              </w:rPr>
              <w:t>01</w:t>
            </w:r>
          </w:p>
          <w:p>
            <w:pPr>
              <w:pStyle w:val="Normal"/>
              <w:spacing w:before="0" w:after="60"/>
              <w:rPr/>
            </w:pPr>
            <w:r>
              <w:rPr>
                <w:rFonts w:eastAsia="Arial" w:cs="Arial"/>
                <w:b/>
                <w:bCs/>
                <w:color w:val="1B3A6B"/>
                <w:sz w:val="20"/>
                <w:szCs w:val="20"/>
              </w:rPr>
              <w:t>Intake</w:t>
            </w:r>
          </w:p>
          <w:p>
            <w:pPr>
              <w:pStyle w:val="Normal"/>
              <w:spacing w:before="0" w:after="0"/>
              <w:rPr/>
            </w:pPr>
            <w:r>
              <w:rPr>
                <w:rFonts w:eastAsia="Arial" w:cs="Arial"/>
                <w:b w:val="false"/>
                <w:bCs w:val="false"/>
                <w:color w:val="0D6E6E"/>
                <w:sz w:val="15"/>
                <w:szCs w:val="15"/>
              </w:rPr>
              <w:t>PATIENT FLOW</w:t>
            </w:r>
          </w:p>
        </w:tc>
        <w:tc>
          <w:tcPr>
            <w:tcW w:w="6659" w:type="dxa"/>
            <w:tcBorders>
              <w:top w:val="single" w:sz="2" w:space="0" w:color="D0DDE8"/>
              <w:left w:val="single" w:sz="2" w:space="0" w:color="D0DDE8"/>
              <w:bottom w:val="single" w:sz="2" w:space="0" w:color="D0DDE8"/>
              <w:right w:val="single" w:sz="2" w:space="0" w:color="D0DDE8"/>
            </w:tcBorders>
            <w:shd w:fill="FFFFFF" w:val="clear"/>
            <w:tcMar>
              <w:left w:w="200" w:type="dxa"/>
            </w:tcMar>
          </w:tcPr>
          <w:p>
            <w:pPr>
              <w:pStyle w:val="Normal"/>
              <w:spacing w:before="0" w:after="60"/>
              <w:rPr/>
            </w:pPr>
            <w:r>
              <w:rPr>
                <w:rFonts w:eastAsia="Arial" w:cs="Arial"/>
                <w:b/>
                <w:bCs/>
                <w:color w:val="1A2B3C"/>
                <w:sz w:val="19"/>
                <w:szCs w:val="19"/>
              </w:rPr>
              <w:t>Structured patient registration at ED arrival</w:t>
            </w:r>
          </w:p>
          <w:p>
            <w:pPr>
              <w:pStyle w:val="Normal"/>
              <w:spacing w:before="0" w:after="80"/>
              <w:rPr/>
            </w:pPr>
            <w:r>
              <w:rPr>
                <w:rFonts w:eastAsia="Arial" w:cs="Arial"/>
                <w:color w:val="6C7A8D"/>
                <w:sz w:val="18"/>
                <w:szCs w:val="18"/>
              </w:rPr>
              <w:t>Captures the chief complaint, arrival mode, and initial demographics at the point of entry, creating the episode record that all other submodules operate against.</w:t>
            </w:r>
          </w:p>
          <w:p>
            <w:pPr>
              <w:pStyle w:val="Normal"/>
              <w:spacing w:before="0" w:after="50"/>
              <w:rPr/>
            </w:pPr>
            <w:r>
              <w:rPr>
                <w:rFonts w:eastAsia="Arial" w:cs="Arial"/>
                <w:color w:val="1A2B3C"/>
                <w:sz w:val="18"/>
                <w:szCs w:val="18"/>
              </w:rPr>
              <w:t xml:space="preserve">•  </w:t>
            </w:r>
            <w:r>
              <w:rPr>
                <w:rFonts w:eastAsia="Arial" w:cs="Arial"/>
                <w:color w:val="1A2B3C"/>
                <w:sz w:val="18"/>
                <w:szCs w:val="18"/>
              </w:rPr>
              <w:t>Triage nurse opens Intake to register a walk-in or EMS arrival in under 60 seconds</w:t>
            </w:r>
          </w:p>
          <w:p>
            <w:pPr>
              <w:pStyle w:val="Normal"/>
              <w:spacing w:before="0" w:after="50"/>
              <w:rPr/>
            </w:pPr>
            <w:r>
              <w:rPr>
                <w:rFonts w:eastAsia="Arial" w:cs="Arial"/>
                <w:color w:val="1A2B3C"/>
                <w:sz w:val="18"/>
                <w:szCs w:val="18"/>
              </w:rPr>
              <w:t xml:space="preserve">•  </w:t>
            </w:r>
            <w:r>
              <w:rPr>
                <w:rFonts w:eastAsia="Arial" w:cs="Arial"/>
                <w:color w:val="1A2B3C"/>
                <w:sz w:val="18"/>
                <w:szCs w:val="18"/>
              </w:rPr>
              <w:t>Episode is immediately visible on the ED Board for charge nurse assignment</w:t>
            </w:r>
          </w:p>
          <w:p>
            <w:pPr>
              <w:pStyle w:val="Normal"/>
              <w:spacing w:before="0" w:after="50"/>
              <w:rPr/>
            </w:pPr>
            <w:r>
              <w:rPr>
                <w:rFonts w:eastAsia="Arial" w:cs="Arial"/>
                <w:color w:val="1A2B3C"/>
                <w:sz w:val="18"/>
                <w:szCs w:val="18"/>
              </w:rPr>
              <w:t xml:space="preserve">•  </w:t>
            </w:r>
            <w:r>
              <w:rPr>
                <w:rFonts w:eastAsia="Arial" w:cs="Arial"/>
                <w:color w:val="1A2B3C"/>
                <w:sz w:val="18"/>
                <w:szCs w:val="18"/>
              </w:rPr>
              <w:t>Arrival triggers HL7 ADT A04 message to downstream systems automatically</w:t>
            </w:r>
          </w:p>
          <w:p>
            <w:pPr>
              <w:pStyle w:val="Normal"/>
              <w:spacing w:before="0" w:after="50"/>
              <w:rPr/>
            </w:pPr>
            <w:r>
              <w:rPr>
                <w:rFonts w:eastAsia="Arial" w:cs="Arial"/>
                <w:color w:val="1A2B3C"/>
                <w:sz w:val="18"/>
                <w:szCs w:val="18"/>
              </w:rPr>
              <w:t xml:space="preserve">•  </w:t>
            </w:r>
            <w:r>
              <w:rPr>
                <w:rFonts w:eastAsia="Arial" w:cs="Arial"/>
                <w:color w:val="1A2B3C"/>
                <w:sz w:val="18"/>
                <w:szCs w:val="18"/>
              </w:rPr>
              <w:t>Supports EMS, walk-in, transfer, and psychiatric arrival pathways</w:t>
            </w:r>
          </w:p>
        </w:tc>
      </w:tr>
    </w:tbl>
    <w:p>
      <w:pPr>
        <w:pStyle w:val="Normal"/>
        <w:spacing w:before="0" w:after="30"/>
        <w:rPr/>
      </w:pPr>
      <w:r>
        <w:rPr/>
      </w:r>
    </w:p>
    <w:tbl>
      <w:tblPr>
        <w:tblW w:w="9360" w:type="dxa"/>
        <w:jc w:val="left"/>
        <w:tblInd w:w="0" w:type="dxa"/>
        <w:tblLayout w:type="fixed"/>
        <w:tblCellMar>
          <w:top w:w="120" w:type="dxa"/>
          <w:left w:w="180" w:type="dxa"/>
          <w:bottom w:w="120" w:type="dxa"/>
          <w:right w:w="180" w:type="dxa"/>
        </w:tblCellMar>
      </w:tblPr>
      <w:tblGrid>
        <w:gridCol w:w="2700"/>
        <w:gridCol w:w="6659"/>
      </w:tblGrid>
      <w:tr>
        <w:trPr/>
        <w:tc>
          <w:tcPr>
            <w:tcW w:w="2700" w:type="dxa"/>
            <w:tcBorders>
              <w:top w:val="single" w:sz="2" w:space="0" w:color="D0DDE8"/>
              <w:left w:val="single" w:sz="2" w:space="0" w:color="D0DDE8"/>
              <w:bottom w:val="single" w:sz="2" w:space="0" w:color="D0DDE8"/>
              <w:right w:val="single" w:sz="2" w:space="0" w:color="D0DDE8"/>
            </w:tcBorders>
            <w:shd w:fill="F4F7FA" w:val="clear"/>
          </w:tcPr>
          <w:p>
            <w:pPr>
              <w:pStyle w:val="Normal"/>
              <w:spacing w:before="0" w:after="40"/>
              <w:rPr/>
            </w:pPr>
            <w:r>
              <w:rPr>
                <w:rFonts w:eastAsia="Arial" w:cs="Arial"/>
                <w:b w:val="false"/>
                <w:bCs w:val="false"/>
                <w:color w:val="6C7A8D"/>
                <w:sz w:val="16"/>
                <w:szCs w:val="16"/>
              </w:rPr>
              <w:t>02</w:t>
            </w:r>
          </w:p>
          <w:p>
            <w:pPr>
              <w:pStyle w:val="Normal"/>
              <w:spacing w:before="0" w:after="60"/>
              <w:rPr/>
            </w:pPr>
            <w:r>
              <w:rPr>
                <w:rFonts w:eastAsia="Arial" w:cs="Arial"/>
                <w:b/>
                <w:bCs/>
                <w:color w:val="1B3A6B"/>
                <w:sz w:val="20"/>
                <w:szCs w:val="20"/>
              </w:rPr>
              <w:t>Triage</w:t>
            </w:r>
          </w:p>
          <w:p>
            <w:pPr>
              <w:pStyle w:val="Normal"/>
              <w:spacing w:before="0" w:after="0"/>
              <w:rPr/>
            </w:pPr>
            <w:r>
              <w:rPr>
                <w:rFonts w:eastAsia="Arial" w:cs="Arial"/>
                <w:b w:val="false"/>
                <w:bCs w:val="false"/>
                <w:color w:val="0D6E6E"/>
                <w:sz w:val="15"/>
                <w:szCs w:val="15"/>
              </w:rPr>
              <w:t>PATIENT FLOW</w:t>
            </w:r>
          </w:p>
        </w:tc>
        <w:tc>
          <w:tcPr>
            <w:tcW w:w="6659" w:type="dxa"/>
            <w:tcBorders>
              <w:top w:val="single" w:sz="2" w:space="0" w:color="D0DDE8"/>
              <w:left w:val="single" w:sz="2" w:space="0" w:color="D0DDE8"/>
              <w:bottom w:val="single" w:sz="2" w:space="0" w:color="D0DDE8"/>
              <w:right w:val="single" w:sz="2" w:space="0" w:color="D0DDE8"/>
            </w:tcBorders>
            <w:shd w:fill="FFFFFF" w:val="clear"/>
            <w:tcMar>
              <w:left w:w="200" w:type="dxa"/>
            </w:tcMar>
          </w:tcPr>
          <w:p>
            <w:pPr>
              <w:pStyle w:val="Normal"/>
              <w:spacing w:before="0" w:after="60"/>
              <w:rPr/>
            </w:pPr>
            <w:r>
              <w:rPr>
                <w:rFonts w:eastAsia="Arial" w:cs="Arial"/>
                <w:b/>
                <w:bCs/>
                <w:color w:val="1A2B3C"/>
                <w:sz w:val="19"/>
                <w:szCs w:val="19"/>
              </w:rPr>
              <w:t>Clinical assessment and ESI acuity scoring at the bedside</w:t>
            </w:r>
          </w:p>
          <w:p>
            <w:pPr>
              <w:pStyle w:val="Normal"/>
              <w:spacing w:before="0" w:after="80"/>
              <w:rPr/>
            </w:pPr>
            <w:r>
              <w:rPr>
                <w:rFonts w:eastAsia="Arial" w:cs="Arial"/>
                <w:color w:val="6C7A8D"/>
                <w:sz w:val="18"/>
                <w:szCs w:val="18"/>
              </w:rPr>
              <w:t>Records the full triage encounter: vital signs, chief complaint, pain score, GCS, weight, and acuity level 1–5. Supports ESI (US/Canada), Manchester Triage System (MTS, UK/Europe/Australasia), and Canadian Triage and Acuity Scale (CTAS) — selectable per facility. Supports multiple re-triage entries per visit as patient status evolves.</w:t>
            </w:r>
          </w:p>
          <w:p>
            <w:pPr>
              <w:pStyle w:val="Normal"/>
              <w:spacing w:before="0" w:after="50"/>
              <w:rPr/>
            </w:pPr>
            <w:r>
              <w:rPr>
                <w:rFonts w:eastAsia="Arial" w:cs="Arial"/>
                <w:color w:val="1A2B3C"/>
                <w:sz w:val="18"/>
                <w:szCs w:val="18"/>
              </w:rPr>
              <w:t xml:space="preserve">•  </w:t>
            </w:r>
            <w:r>
              <w:rPr>
                <w:rFonts w:eastAsia="Arial" w:cs="Arial"/>
                <w:color w:val="1A2B3C"/>
                <w:sz w:val="18"/>
                <w:szCs w:val="18"/>
              </w:rPr>
              <w:t>Nurse records vitals and assigns acuity level 1–5 using ESI, MTS, or CTAS — immediately colors the ED Board using the facility’s configured badge palette</w:t>
            </w:r>
          </w:p>
          <w:p>
            <w:pPr>
              <w:pStyle w:val="Normal"/>
              <w:spacing w:before="0" w:after="50"/>
              <w:rPr/>
            </w:pPr>
            <w:r>
              <w:rPr>
                <w:rFonts w:eastAsia="Arial" w:cs="Arial"/>
                <w:color w:val="1A2B3C"/>
                <w:sz w:val="18"/>
                <w:szCs w:val="18"/>
              </w:rPr>
              <w:t xml:space="preserve">•  </w:t>
            </w:r>
            <w:r>
              <w:rPr>
                <w:rFonts w:eastAsia="Arial" w:cs="Arial"/>
                <w:color w:val="1A2B3C"/>
                <w:sz w:val="18"/>
                <w:szCs w:val="18"/>
              </w:rPr>
              <w:t>qSOFA score computed in real time from RR, GCS, and systolic BP to surface sepsis risk</w:t>
            </w:r>
          </w:p>
          <w:p>
            <w:pPr>
              <w:pStyle w:val="Normal"/>
              <w:spacing w:before="0" w:after="50"/>
              <w:rPr/>
            </w:pPr>
            <w:r>
              <w:rPr>
                <w:rFonts w:eastAsia="Arial" w:cs="Arial"/>
                <w:color w:val="1A2B3C"/>
                <w:sz w:val="18"/>
                <w:szCs w:val="18"/>
              </w:rPr>
              <w:t xml:space="preserve">•  </w:t>
            </w:r>
            <w:r>
              <w:rPr>
                <w:rFonts w:eastAsia="Arial" w:cs="Arial"/>
                <w:color w:val="1A2B3C"/>
                <w:sz w:val="18"/>
                <w:szCs w:val="18"/>
              </w:rPr>
              <w:t>Re-triage entries show trending vital signs for a patient whose condition changes</w:t>
            </w:r>
          </w:p>
          <w:p>
            <w:pPr>
              <w:pStyle w:val="Normal"/>
              <w:spacing w:before="0" w:after="50"/>
              <w:rPr/>
            </w:pPr>
            <w:r>
              <w:rPr>
                <w:rFonts w:eastAsia="Arial" w:cs="Arial"/>
                <w:color w:val="1A2B3C"/>
                <w:sz w:val="18"/>
                <w:szCs w:val="18"/>
              </w:rPr>
              <w:t xml:space="preserve">•  </w:t>
            </w:r>
            <w:r>
              <w:rPr>
                <w:rFonts w:eastAsia="Arial" w:cs="Arial"/>
                <w:color w:val="1A2B3C"/>
                <w:sz w:val="18"/>
                <w:szCs w:val="18"/>
              </w:rPr>
              <w:t>Weight captured here propagates to MAR for weight-based medication dosing</w:t>
            </w:r>
          </w:p>
          <w:p>
            <w:pPr>
              <w:pStyle w:val="Normal"/>
              <w:spacing w:before="0" w:after="50"/>
              <w:rPr/>
            </w:pPr>
            <w:r>
              <w:rPr>
                <w:rFonts w:eastAsia="Arial" w:cs="Arial"/>
                <w:color w:val="1A2B3C"/>
                <w:sz w:val="18"/>
                <w:szCs w:val="18"/>
              </w:rPr>
              <w:t xml:space="preserve">•  </w:t>
            </w:r>
            <w:r>
              <w:rPr>
                <w:rFonts w:eastAsia="Arial" w:cs="Arial"/>
                <w:color w:val="1A2B3C"/>
                <w:sz w:val="18"/>
                <w:szCs w:val="18"/>
              </w:rPr>
              <w:t>Drives LWBS (Left Without Being Seen) clock when ESI-3+ is waiting</w:t>
            </w:r>
          </w:p>
        </w:tc>
      </w:tr>
    </w:tbl>
    <w:p>
      <w:pPr>
        <w:pStyle w:val="Normal"/>
        <w:spacing w:before="0" w:after="30"/>
        <w:rPr/>
      </w:pPr>
      <w:r>
        <w:rPr/>
      </w:r>
    </w:p>
    <w:tbl>
      <w:tblPr>
        <w:tblW w:w="9360" w:type="dxa"/>
        <w:jc w:val="left"/>
        <w:tblInd w:w="0" w:type="dxa"/>
        <w:tblLayout w:type="fixed"/>
        <w:tblCellMar>
          <w:top w:w="120" w:type="dxa"/>
          <w:left w:w="180" w:type="dxa"/>
          <w:bottom w:w="120" w:type="dxa"/>
          <w:right w:w="180" w:type="dxa"/>
        </w:tblCellMar>
      </w:tblPr>
      <w:tblGrid>
        <w:gridCol w:w="2700"/>
        <w:gridCol w:w="6659"/>
      </w:tblGrid>
      <w:tr>
        <w:trPr/>
        <w:tc>
          <w:tcPr>
            <w:tcW w:w="2700" w:type="dxa"/>
            <w:tcBorders>
              <w:top w:val="single" w:sz="2" w:space="0" w:color="D0DDE8"/>
              <w:left w:val="single" w:sz="2" w:space="0" w:color="D0DDE8"/>
              <w:bottom w:val="single" w:sz="2" w:space="0" w:color="D0DDE8"/>
              <w:right w:val="single" w:sz="2" w:space="0" w:color="D0DDE8"/>
            </w:tcBorders>
            <w:shd w:fill="F4F7FA" w:val="clear"/>
          </w:tcPr>
          <w:p>
            <w:pPr>
              <w:pStyle w:val="Normal"/>
              <w:spacing w:before="0" w:after="40"/>
              <w:rPr/>
            </w:pPr>
            <w:r>
              <w:rPr>
                <w:rFonts w:eastAsia="Arial" w:cs="Arial"/>
                <w:b w:val="false"/>
                <w:bCs w:val="false"/>
                <w:color w:val="6C7A8D"/>
                <w:sz w:val="16"/>
                <w:szCs w:val="16"/>
              </w:rPr>
              <w:t>03</w:t>
            </w:r>
          </w:p>
          <w:p>
            <w:pPr>
              <w:pStyle w:val="Normal"/>
              <w:spacing w:before="0" w:after="60"/>
              <w:rPr/>
            </w:pPr>
            <w:r>
              <w:rPr>
                <w:rFonts w:eastAsia="Arial" w:cs="Arial"/>
                <w:b/>
                <w:bCs/>
                <w:color w:val="1B3A6B"/>
                <w:sz w:val="20"/>
                <w:szCs w:val="20"/>
              </w:rPr>
              <w:t>Bed Management</w:t>
            </w:r>
          </w:p>
          <w:p>
            <w:pPr>
              <w:pStyle w:val="Normal"/>
              <w:spacing w:before="0" w:after="0"/>
              <w:rPr/>
            </w:pPr>
            <w:r>
              <w:rPr>
                <w:rFonts w:eastAsia="Arial" w:cs="Arial"/>
                <w:b w:val="false"/>
                <w:bCs w:val="false"/>
                <w:color w:val="0D6E6E"/>
                <w:sz w:val="15"/>
                <w:szCs w:val="15"/>
              </w:rPr>
              <w:t>PATIENT FLOW</w:t>
            </w:r>
          </w:p>
        </w:tc>
        <w:tc>
          <w:tcPr>
            <w:tcW w:w="6659" w:type="dxa"/>
            <w:tcBorders>
              <w:top w:val="single" w:sz="2" w:space="0" w:color="D0DDE8"/>
              <w:left w:val="single" w:sz="2" w:space="0" w:color="D0DDE8"/>
              <w:bottom w:val="single" w:sz="2" w:space="0" w:color="D0DDE8"/>
              <w:right w:val="single" w:sz="2" w:space="0" w:color="D0DDE8"/>
            </w:tcBorders>
            <w:shd w:fill="FFFFFF" w:val="clear"/>
            <w:tcMar>
              <w:left w:w="200" w:type="dxa"/>
            </w:tcMar>
          </w:tcPr>
          <w:p>
            <w:pPr>
              <w:pStyle w:val="Normal"/>
              <w:spacing w:before="0" w:after="60"/>
              <w:rPr/>
            </w:pPr>
            <w:r>
              <w:rPr>
                <w:rFonts w:eastAsia="Arial" w:cs="Arial"/>
                <w:b/>
                <w:bCs/>
                <w:color w:val="1A2B3C"/>
                <w:sz w:val="19"/>
                <w:szCs w:val="19"/>
              </w:rPr>
              <w:t>Real-time location tracking and bed assignment across all units</w:t>
            </w:r>
          </w:p>
          <w:p>
            <w:pPr>
              <w:pStyle w:val="Normal"/>
              <w:spacing w:before="0" w:after="80"/>
              <w:rPr/>
            </w:pPr>
            <w:r>
              <w:rPr>
                <w:rFonts w:eastAsia="Arial" w:cs="Arial"/>
                <w:color w:val="6C7A8D"/>
                <w:sz w:val="18"/>
                <w:szCs w:val="18"/>
              </w:rPr>
              <w:t>Manages the physical movement of patients between locations — waiting room, ED rooms, trauma bays, observation bays, BH holding rooms, and hallway beds. Tracks room availability and flags overcapacity.</w:t>
            </w:r>
          </w:p>
          <w:p>
            <w:pPr>
              <w:pStyle w:val="Normal"/>
              <w:spacing w:before="0" w:after="50"/>
              <w:rPr/>
            </w:pPr>
            <w:r>
              <w:rPr>
                <w:rFonts w:eastAsia="Arial" w:cs="Arial"/>
                <w:color w:val="1A2B3C"/>
                <w:sz w:val="18"/>
                <w:szCs w:val="18"/>
              </w:rPr>
              <w:t xml:space="preserve">•  </w:t>
            </w:r>
            <w:r>
              <w:rPr>
                <w:rFonts w:eastAsia="Arial" w:cs="Arial"/>
                <w:color w:val="1A2B3C"/>
                <w:sz w:val="18"/>
                <w:szCs w:val="18"/>
              </w:rPr>
              <w:t>Charge nurse assigns a patient to an available room directly from the ED Board</w:t>
            </w:r>
          </w:p>
          <w:p>
            <w:pPr>
              <w:pStyle w:val="Normal"/>
              <w:spacing w:before="0" w:after="50"/>
              <w:rPr/>
            </w:pPr>
            <w:r>
              <w:rPr>
                <w:rFonts w:eastAsia="Arial" w:cs="Arial"/>
                <w:color w:val="1A2B3C"/>
                <w:sz w:val="18"/>
                <w:szCs w:val="18"/>
              </w:rPr>
              <w:t xml:space="preserve">•  </w:t>
            </w:r>
            <w:r>
              <w:rPr>
                <w:rFonts w:eastAsia="Arial" w:cs="Arial"/>
                <w:color w:val="1A2B3C"/>
                <w:sz w:val="18"/>
                <w:szCs w:val="18"/>
              </w:rPr>
              <w:t>Location change fires HL7 ADT A02 (patient transfer) to downstream ADT receivers</w:t>
            </w:r>
          </w:p>
          <w:p>
            <w:pPr>
              <w:pStyle w:val="Normal"/>
              <w:spacing w:before="0" w:after="50"/>
              <w:rPr/>
            </w:pPr>
            <w:r>
              <w:rPr>
                <w:rFonts w:eastAsia="Arial" w:cs="Arial"/>
                <w:color w:val="1A2B3C"/>
                <w:sz w:val="18"/>
                <w:szCs w:val="18"/>
              </w:rPr>
              <w:t xml:space="preserve">•  </w:t>
            </w:r>
            <w:r>
              <w:rPr>
                <w:rFonts w:eastAsia="Arial" w:cs="Arial"/>
                <w:color w:val="1A2B3C"/>
                <w:sz w:val="18"/>
                <w:szCs w:val="18"/>
              </w:rPr>
              <w:t>Hallway beds and overflow tracked distinctly from licensed room capacity</w:t>
            </w:r>
          </w:p>
          <w:p>
            <w:pPr>
              <w:pStyle w:val="Normal"/>
              <w:spacing w:before="0" w:after="50"/>
              <w:rPr/>
            </w:pPr>
            <w:r>
              <w:rPr>
                <w:rFonts w:eastAsia="Arial" w:cs="Arial"/>
                <w:color w:val="1A2B3C"/>
                <w:sz w:val="18"/>
                <w:szCs w:val="18"/>
              </w:rPr>
              <w:t xml:space="preserve">•  </w:t>
            </w:r>
            <w:r>
              <w:rPr>
                <w:rFonts w:eastAsia="Arial" w:cs="Arial"/>
                <w:color w:val="1A2B3C"/>
                <w:sz w:val="18"/>
                <w:szCs w:val="18"/>
              </w:rPr>
              <w:t>Room status (available / occupied / cleaning) maintained in real time</w:t>
            </w:r>
          </w:p>
          <w:p>
            <w:pPr>
              <w:pStyle w:val="Normal"/>
              <w:spacing w:before="0" w:after="50"/>
              <w:rPr/>
            </w:pPr>
            <w:r>
              <w:rPr>
                <w:rFonts w:eastAsia="Arial" w:cs="Arial"/>
                <w:color w:val="1A2B3C"/>
                <w:sz w:val="18"/>
                <w:szCs w:val="18"/>
              </w:rPr>
              <w:t xml:space="preserve">•  </w:t>
            </w:r>
            <w:r>
              <w:rPr>
                <w:rFonts w:eastAsia="Arial" w:cs="Arial"/>
                <w:color w:val="1A2B3C"/>
                <w:sz w:val="18"/>
                <w:szCs w:val="18"/>
              </w:rPr>
              <w:t>Feeds the Throughput submodule for door-to-room interval calculation</w:t>
            </w:r>
          </w:p>
        </w:tc>
      </w:tr>
    </w:tbl>
    <w:p>
      <w:pPr>
        <w:pStyle w:val="Normal"/>
        <w:spacing w:before="0" w:after="30"/>
        <w:rPr/>
      </w:pPr>
      <w:r>
        <w:rPr/>
      </w:r>
    </w:p>
    <w:tbl>
      <w:tblPr>
        <w:tblW w:w="9360" w:type="dxa"/>
        <w:jc w:val="left"/>
        <w:tblInd w:w="0" w:type="dxa"/>
        <w:tblLayout w:type="fixed"/>
        <w:tblCellMar>
          <w:top w:w="120" w:type="dxa"/>
          <w:left w:w="180" w:type="dxa"/>
          <w:bottom w:w="120" w:type="dxa"/>
          <w:right w:w="180" w:type="dxa"/>
        </w:tblCellMar>
      </w:tblPr>
      <w:tblGrid>
        <w:gridCol w:w="2700"/>
        <w:gridCol w:w="6659"/>
      </w:tblGrid>
      <w:tr>
        <w:trPr/>
        <w:tc>
          <w:tcPr>
            <w:tcW w:w="2700" w:type="dxa"/>
            <w:tcBorders>
              <w:top w:val="single" w:sz="2" w:space="0" w:color="D0DDE8"/>
              <w:left w:val="single" w:sz="2" w:space="0" w:color="D0DDE8"/>
              <w:bottom w:val="single" w:sz="2" w:space="0" w:color="D0DDE8"/>
              <w:right w:val="single" w:sz="2" w:space="0" w:color="D0DDE8"/>
            </w:tcBorders>
            <w:shd w:fill="F4F7FA" w:val="clear"/>
          </w:tcPr>
          <w:p>
            <w:pPr>
              <w:pStyle w:val="Normal"/>
              <w:spacing w:before="0" w:after="40"/>
              <w:rPr/>
            </w:pPr>
            <w:r>
              <w:rPr>
                <w:rFonts w:eastAsia="Arial" w:cs="Arial"/>
                <w:b w:val="false"/>
                <w:bCs w:val="false"/>
                <w:color w:val="6C7A8D"/>
                <w:sz w:val="16"/>
                <w:szCs w:val="16"/>
              </w:rPr>
              <w:t>04</w:t>
            </w:r>
          </w:p>
          <w:p>
            <w:pPr>
              <w:pStyle w:val="Normal"/>
              <w:spacing w:before="0" w:after="60"/>
              <w:rPr/>
            </w:pPr>
            <w:r>
              <w:rPr>
                <w:rFonts w:eastAsia="Arial" w:cs="Arial"/>
                <w:b/>
                <w:bCs/>
                <w:color w:val="1B3A6B"/>
                <w:sz w:val="20"/>
                <w:szCs w:val="20"/>
              </w:rPr>
              <w:t>Disposition</w:t>
            </w:r>
          </w:p>
          <w:p>
            <w:pPr>
              <w:pStyle w:val="Normal"/>
              <w:spacing w:before="0" w:after="0"/>
              <w:rPr/>
            </w:pPr>
            <w:r>
              <w:rPr>
                <w:rFonts w:eastAsia="Arial" w:cs="Arial"/>
                <w:b w:val="false"/>
                <w:bCs w:val="false"/>
                <w:color w:val="0D6E6E"/>
                <w:sz w:val="15"/>
                <w:szCs w:val="15"/>
              </w:rPr>
              <w:t>PATIENT FLOW</w:t>
            </w:r>
          </w:p>
        </w:tc>
        <w:tc>
          <w:tcPr>
            <w:tcW w:w="6659" w:type="dxa"/>
            <w:tcBorders>
              <w:top w:val="single" w:sz="2" w:space="0" w:color="D0DDE8"/>
              <w:left w:val="single" w:sz="2" w:space="0" w:color="D0DDE8"/>
              <w:bottom w:val="single" w:sz="2" w:space="0" w:color="D0DDE8"/>
              <w:right w:val="single" w:sz="2" w:space="0" w:color="D0DDE8"/>
            </w:tcBorders>
            <w:shd w:fill="FFFFFF" w:val="clear"/>
            <w:tcMar>
              <w:left w:w="200" w:type="dxa"/>
            </w:tcMar>
          </w:tcPr>
          <w:p>
            <w:pPr>
              <w:pStyle w:val="Normal"/>
              <w:spacing w:before="0" w:after="60"/>
              <w:rPr/>
            </w:pPr>
            <w:r>
              <w:rPr>
                <w:rFonts w:eastAsia="Arial" w:cs="Arial"/>
                <w:b/>
                <w:bCs/>
                <w:color w:val="1A2B3C"/>
                <w:sz w:val="19"/>
                <w:szCs w:val="19"/>
              </w:rPr>
              <w:t>Clinical disposition decision capture and departure tracking</w:t>
            </w:r>
          </w:p>
          <w:p>
            <w:pPr>
              <w:pStyle w:val="Normal"/>
              <w:spacing w:before="0" w:after="80"/>
              <w:rPr/>
            </w:pPr>
            <w:r>
              <w:rPr>
                <w:rFonts w:eastAsia="Arial" w:cs="Arial"/>
                <w:color w:val="6C7A8D"/>
                <w:sz w:val="18"/>
                <w:szCs w:val="18"/>
              </w:rPr>
              <w:t>Records the final disposition decision: discharge home, admit to inpatient, transfer out, or observation stay. Captures decision time, destination, and departure time for throughput measurement.</w:t>
            </w:r>
          </w:p>
          <w:p>
            <w:pPr>
              <w:pStyle w:val="Normal"/>
              <w:spacing w:before="0" w:after="50"/>
              <w:rPr/>
            </w:pPr>
            <w:r>
              <w:rPr>
                <w:rFonts w:eastAsia="Arial" w:cs="Arial"/>
                <w:color w:val="1A2B3C"/>
                <w:sz w:val="18"/>
                <w:szCs w:val="18"/>
              </w:rPr>
              <w:t xml:space="preserve">•  </w:t>
            </w:r>
            <w:r>
              <w:rPr>
                <w:rFonts w:eastAsia="Arial" w:cs="Arial"/>
                <w:color w:val="1A2B3C"/>
                <w:sz w:val="18"/>
                <w:szCs w:val="18"/>
              </w:rPr>
              <w:t>Provider sets disposition code — immediately updates ED Board status badge</w:t>
            </w:r>
          </w:p>
          <w:p>
            <w:pPr>
              <w:pStyle w:val="Normal"/>
              <w:spacing w:before="0" w:after="50"/>
              <w:rPr/>
            </w:pPr>
            <w:r>
              <w:rPr>
                <w:rFonts w:eastAsia="Arial" w:cs="Arial"/>
                <w:color w:val="1A2B3C"/>
                <w:sz w:val="18"/>
                <w:szCs w:val="18"/>
              </w:rPr>
              <w:t xml:space="preserve">•  </w:t>
            </w:r>
            <w:r>
              <w:rPr>
                <w:rFonts w:eastAsia="Arial" w:cs="Arial"/>
                <w:color w:val="1A2B3C"/>
                <w:sz w:val="18"/>
                <w:szCs w:val="18"/>
              </w:rPr>
              <w:t>DISCHARGE disposition triggers auto-draft of the E-Referral with MAR medications populated</w:t>
            </w:r>
          </w:p>
          <w:p>
            <w:pPr>
              <w:pStyle w:val="Normal"/>
              <w:spacing w:before="0" w:after="50"/>
              <w:rPr/>
            </w:pPr>
            <w:r>
              <w:rPr>
                <w:rFonts w:eastAsia="Arial" w:cs="Arial"/>
                <w:color w:val="1A2B3C"/>
                <w:sz w:val="18"/>
                <w:szCs w:val="18"/>
              </w:rPr>
              <w:t xml:space="preserve">•  </w:t>
            </w:r>
            <w:r>
              <w:rPr>
                <w:rFonts w:eastAsia="Arial" w:cs="Arial"/>
                <w:color w:val="1A2B3C"/>
                <w:sz w:val="18"/>
                <w:szCs w:val="18"/>
              </w:rPr>
              <w:t>ADMIT disposition triggers OBS Stay submodule and optional ADT A01 admission message</w:t>
            </w:r>
          </w:p>
          <w:p>
            <w:pPr>
              <w:pStyle w:val="Normal"/>
              <w:spacing w:before="0" w:after="50"/>
              <w:rPr/>
            </w:pPr>
            <w:r>
              <w:rPr>
                <w:rFonts w:eastAsia="Arial" w:cs="Arial"/>
                <w:color w:val="1A2B3C"/>
                <w:sz w:val="18"/>
                <w:szCs w:val="18"/>
              </w:rPr>
              <w:t xml:space="preserve">•  </w:t>
            </w:r>
            <w:r>
              <w:rPr>
                <w:rFonts w:eastAsia="Arial" w:cs="Arial"/>
                <w:color w:val="1A2B3C"/>
                <w:sz w:val="18"/>
                <w:szCs w:val="18"/>
              </w:rPr>
              <w:t>TRANSFER disposition links to Transfer Tracking for accepting-facility workflow</w:t>
            </w:r>
          </w:p>
          <w:p>
            <w:pPr>
              <w:pStyle w:val="Normal"/>
              <w:spacing w:before="0" w:after="50"/>
              <w:rPr/>
            </w:pPr>
            <w:r>
              <w:rPr>
                <w:rFonts w:eastAsia="Arial" w:cs="Arial"/>
                <w:color w:val="1A2B3C"/>
                <w:sz w:val="18"/>
                <w:szCs w:val="18"/>
              </w:rPr>
              <w:t xml:space="preserve">•  </w:t>
            </w:r>
            <w:r>
              <w:rPr>
                <w:rFonts w:eastAsia="Arial" w:cs="Arial"/>
                <w:color w:val="1A2B3C"/>
                <w:sz w:val="18"/>
                <w:szCs w:val="18"/>
              </w:rPr>
              <w:t>Decision time captured for door-to-disposition quality metric reporting</w:t>
            </w:r>
          </w:p>
        </w:tc>
      </w:tr>
    </w:tbl>
    <w:p>
      <w:pPr>
        <w:pStyle w:val="Normal"/>
        <w:spacing w:before="0" w:after="30"/>
        <w:rPr/>
      </w:pPr>
      <w:r>
        <w:rPr/>
      </w:r>
    </w:p>
    <w:tbl>
      <w:tblPr>
        <w:tblW w:w="9360" w:type="dxa"/>
        <w:jc w:val="left"/>
        <w:tblInd w:w="0" w:type="dxa"/>
        <w:tblLayout w:type="fixed"/>
        <w:tblCellMar>
          <w:top w:w="120" w:type="dxa"/>
          <w:left w:w="180" w:type="dxa"/>
          <w:bottom w:w="120" w:type="dxa"/>
          <w:right w:w="180" w:type="dxa"/>
        </w:tblCellMar>
      </w:tblPr>
      <w:tblGrid>
        <w:gridCol w:w="2700"/>
        <w:gridCol w:w="6659"/>
      </w:tblGrid>
      <w:tr>
        <w:trPr/>
        <w:tc>
          <w:tcPr>
            <w:tcW w:w="2700" w:type="dxa"/>
            <w:tcBorders>
              <w:top w:val="single" w:sz="2" w:space="0" w:color="D0DDE8"/>
              <w:left w:val="single" w:sz="2" w:space="0" w:color="D0DDE8"/>
              <w:bottom w:val="single" w:sz="2" w:space="0" w:color="D0DDE8"/>
              <w:right w:val="single" w:sz="2" w:space="0" w:color="D0DDE8"/>
            </w:tcBorders>
            <w:shd w:fill="F4F7FA" w:val="clear"/>
          </w:tcPr>
          <w:p>
            <w:pPr>
              <w:pStyle w:val="Normal"/>
              <w:spacing w:before="0" w:after="40"/>
              <w:rPr/>
            </w:pPr>
            <w:r>
              <w:rPr>
                <w:rFonts w:eastAsia="Arial" w:cs="Arial"/>
                <w:b w:val="false"/>
                <w:bCs w:val="false"/>
                <w:color w:val="6C7A8D"/>
                <w:sz w:val="16"/>
                <w:szCs w:val="16"/>
              </w:rPr>
              <w:t>05</w:t>
            </w:r>
          </w:p>
          <w:p>
            <w:pPr>
              <w:pStyle w:val="Normal"/>
              <w:spacing w:before="0" w:after="60"/>
              <w:rPr/>
            </w:pPr>
            <w:r>
              <w:rPr>
                <w:rFonts w:eastAsia="Arial" w:cs="Arial"/>
                <w:b/>
                <w:bCs/>
                <w:color w:val="1B3A6B"/>
                <w:sz w:val="20"/>
                <w:szCs w:val="20"/>
              </w:rPr>
              <w:t>Handoff</w:t>
            </w:r>
          </w:p>
          <w:p>
            <w:pPr>
              <w:pStyle w:val="Normal"/>
              <w:spacing w:before="0" w:after="0"/>
              <w:rPr/>
            </w:pPr>
            <w:r>
              <w:rPr>
                <w:rFonts w:eastAsia="Arial" w:cs="Arial"/>
                <w:b w:val="false"/>
                <w:bCs w:val="false"/>
                <w:color w:val="0D6E6E"/>
                <w:sz w:val="15"/>
                <w:szCs w:val="15"/>
              </w:rPr>
              <w:t>PATIENT FLOW</w:t>
            </w:r>
          </w:p>
        </w:tc>
        <w:tc>
          <w:tcPr>
            <w:tcW w:w="6659" w:type="dxa"/>
            <w:tcBorders>
              <w:top w:val="single" w:sz="2" w:space="0" w:color="D0DDE8"/>
              <w:left w:val="single" w:sz="2" w:space="0" w:color="D0DDE8"/>
              <w:bottom w:val="single" w:sz="2" w:space="0" w:color="D0DDE8"/>
              <w:right w:val="single" w:sz="2" w:space="0" w:color="D0DDE8"/>
            </w:tcBorders>
            <w:shd w:fill="FFFFFF" w:val="clear"/>
            <w:tcMar>
              <w:left w:w="200" w:type="dxa"/>
            </w:tcMar>
          </w:tcPr>
          <w:p>
            <w:pPr>
              <w:pStyle w:val="Normal"/>
              <w:spacing w:before="0" w:after="60"/>
              <w:rPr/>
            </w:pPr>
            <w:r>
              <w:rPr>
                <w:rFonts w:eastAsia="Arial" w:cs="Arial"/>
                <w:b/>
                <w:bCs/>
                <w:color w:val="1A2B3C"/>
                <w:sz w:val="19"/>
                <w:szCs w:val="19"/>
              </w:rPr>
              <w:t>Structured shift-change communication between outgoing and incoming staff</w:t>
            </w:r>
          </w:p>
          <w:p>
            <w:pPr>
              <w:pStyle w:val="Normal"/>
              <w:spacing w:before="0" w:after="80"/>
              <w:rPr/>
            </w:pPr>
            <w:r>
              <w:rPr>
                <w:rFonts w:eastAsia="Arial" w:cs="Arial"/>
                <w:color w:val="6C7A8D"/>
                <w:sz w:val="18"/>
                <w:szCs w:val="18"/>
              </w:rPr>
              <w:t>Provides a structured handoff summary for each active patient at shift change: status, active tasks, pending results, MAR holds, and critical flags. Eliminates verbal-only handoffs that cause errors.</w:t>
            </w:r>
          </w:p>
          <w:p>
            <w:pPr>
              <w:pStyle w:val="Normal"/>
              <w:spacing w:before="0" w:after="50"/>
              <w:rPr/>
            </w:pPr>
            <w:r>
              <w:rPr>
                <w:rFonts w:eastAsia="Arial" w:cs="Arial"/>
                <w:color w:val="1A2B3C"/>
                <w:sz w:val="18"/>
                <w:szCs w:val="18"/>
              </w:rPr>
              <w:t xml:space="preserve">•  </w:t>
            </w:r>
            <w:r>
              <w:rPr>
                <w:rFonts w:eastAsia="Arial" w:cs="Arial"/>
                <w:color w:val="1A2B3C"/>
                <w:sz w:val="18"/>
                <w:szCs w:val="18"/>
              </w:rPr>
              <w:t>Charge nurse runs Handoff Report at end of shift — all active patients on one screen</w:t>
            </w:r>
          </w:p>
          <w:p>
            <w:pPr>
              <w:pStyle w:val="Normal"/>
              <w:spacing w:before="0" w:after="50"/>
              <w:rPr/>
            </w:pPr>
            <w:r>
              <w:rPr>
                <w:rFonts w:eastAsia="Arial" w:cs="Arial"/>
                <w:color w:val="1A2B3C"/>
                <w:sz w:val="18"/>
                <w:szCs w:val="18"/>
              </w:rPr>
              <w:t xml:space="preserve">•  </w:t>
            </w:r>
            <w:r>
              <w:rPr>
                <w:rFonts w:eastAsia="Arial" w:cs="Arial"/>
                <w:color w:val="1A2B3C"/>
                <w:sz w:val="18"/>
                <w:szCs w:val="18"/>
              </w:rPr>
              <w:t>Critical alerts (sepsis risk, overdue high-alert medications) highlighted prominently</w:t>
            </w:r>
          </w:p>
          <w:p>
            <w:pPr>
              <w:pStyle w:val="Normal"/>
              <w:spacing w:before="0" w:after="50"/>
              <w:rPr/>
            </w:pPr>
            <w:r>
              <w:rPr>
                <w:rFonts w:eastAsia="Arial" w:cs="Arial"/>
                <w:color w:val="1A2B3C"/>
                <w:sz w:val="18"/>
                <w:szCs w:val="18"/>
              </w:rPr>
              <w:t xml:space="preserve">•  </w:t>
            </w:r>
            <w:r>
              <w:rPr>
                <w:rFonts w:eastAsia="Arial" w:cs="Arial"/>
                <w:color w:val="1A2B3C"/>
                <w:sz w:val="18"/>
                <w:szCs w:val="18"/>
              </w:rPr>
              <w:t>Pending tasks and overdue items surfaced so incoming nurse has immediate situational awareness</w:t>
            </w:r>
          </w:p>
          <w:p>
            <w:pPr>
              <w:pStyle w:val="Normal"/>
              <w:spacing w:before="0" w:after="50"/>
              <w:rPr/>
            </w:pPr>
            <w:r>
              <w:rPr>
                <w:rFonts w:eastAsia="Arial" w:cs="Arial"/>
                <w:color w:val="1A2B3C"/>
                <w:sz w:val="18"/>
                <w:szCs w:val="18"/>
              </w:rPr>
              <w:t xml:space="preserve">•  </w:t>
            </w:r>
            <w:r>
              <w:rPr>
                <w:rFonts w:eastAsia="Arial" w:cs="Arial"/>
                <w:color w:val="1A2B3C"/>
                <w:sz w:val="18"/>
                <w:szCs w:val="18"/>
              </w:rPr>
              <w:t>Reduces time-to-situational-awareness for incoming team from 15–20 minutes to under 3</w:t>
            </w:r>
          </w:p>
        </w:tc>
      </w:tr>
    </w:tbl>
    <w:p>
      <w:pPr>
        <w:pStyle w:val="Normal"/>
        <w:spacing w:before="0" w:after="30"/>
        <w:rPr/>
      </w:pPr>
      <w:r>
        <w:rPr/>
      </w:r>
    </w:p>
    <w:tbl>
      <w:tblPr>
        <w:tblW w:w="9360" w:type="dxa"/>
        <w:jc w:val="left"/>
        <w:tblInd w:w="0" w:type="dxa"/>
        <w:tblLayout w:type="fixed"/>
        <w:tblCellMar>
          <w:top w:w="120" w:type="dxa"/>
          <w:left w:w="180" w:type="dxa"/>
          <w:bottom w:w="120" w:type="dxa"/>
          <w:right w:w="180" w:type="dxa"/>
        </w:tblCellMar>
      </w:tblPr>
      <w:tblGrid>
        <w:gridCol w:w="2700"/>
        <w:gridCol w:w="6659"/>
      </w:tblGrid>
      <w:tr>
        <w:trPr/>
        <w:tc>
          <w:tcPr>
            <w:tcW w:w="2700" w:type="dxa"/>
            <w:tcBorders>
              <w:top w:val="single" w:sz="2" w:space="0" w:color="D0DDE8"/>
              <w:left w:val="single" w:sz="2" w:space="0" w:color="D0DDE8"/>
              <w:bottom w:val="single" w:sz="2" w:space="0" w:color="D0DDE8"/>
              <w:right w:val="single" w:sz="2" w:space="0" w:color="D0DDE8"/>
            </w:tcBorders>
            <w:shd w:fill="F4F7FA" w:val="clear"/>
          </w:tcPr>
          <w:p>
            <w:pPr>
              <w:pStyle w:val="Normal"/>
              <w:spacing w:before="0" w:after="40"/>
              <w:rPr/>
            </w:pPr>
            <w:r>
              <w:rPr>
                <w:rFonts w:eastAsia="Arial" w:cs="Arial"/>
                <w:b w:val="false"/>
                <w:bCs w:val="false"/>
                <w:color w:val="6C7A8D"/>
                <w:sz w:val="16"/>
                <w:szCs w:val="16"/>
              </w:rPr>
              <w:t>06</w:t>
            </w:r>
          </w:p>
          <w:p>
            <w:pPr>
              <w:pStyle w:val="Normal"/>
              <w:spacing w:before="0" w:after="60"/>
              <w:rPr/>
            </w:pPr>
            <w:r>
              <w:rPr>
                <w:rFonts w:eastAsia="Arial" w:cs="Arial"/>
                <w:b/>
                <w:bCs/>
                <w:color w:val="1B3A6B"/>
                <w:sz w:val="20"/>
                <w:szCs w:val="20"/>
              </w:rPr>
              <w:t>Episode Documents</w:t>
            </w:r>
          </w:p>
          <w:p>
            <w:pPr>
              <w:pStyle w:val="Normal"/>
              <w:spacing w:before="0" w:after="0"/>
              <w:rPr/>
            </w:pPr>
            <w:r>
              <w:rPr>
                <w:rFonts w:eastAsia="Arial" w:cs="Arial"/>
                <w:b w:val="false"/>
                <w:bCs w:val="false"/>
                <w:color w:val="0D6E6E"/>
                <w:sz w:val="15"/>
                <w:szCs w:val="15"/>
              </w:rPr>
              <w:t>PATIENT FLOW</w:t>
            </w:r>
          </w:p>
        </w:tc>
        <w:tc>
          <w:tcPr>
            <w:tcW w:w="6659" w:type="dxa"/>
            <w:tcBorders>
              <w:top w:val="single" w:sz="2" w:space="0" w:color="D0DDE8"/>
              <w:left w:val="single" w:sz="2" w:space="0" w:color="D0DDE8"/>
              <w:bottom w:val="single" w:sz="2" w:space="0" w:color="D0DDE8"/>
              <w:right w:val="single" w:sz="2" w:space="0" w:color="D0DDE8"/>
            </w:tcBorders>
            <w:shd w:fill="FFFFFF" w:val="clear"/>
            <w:tcMar>
              <w:left w:w="200" w:type="dxa"/>
            </w:tcMar>
          </w:tcPr>
          <w:p>
            <w:pPr>
              <w:pStyle w:val="Normal"/>
              <w:spacing w:before="0" w:after="60"/>
              <w:rPr/>
            </w:pPr>
            <w:r>
              <w:rPr>
                <w:rFonts w:eastAsia="Arial" w:cs="Arial"/>
                <w:b/>
                <w:bCs/>
                <w:color w:val="1A2B3C"/>
                <w:sz w:val="19"/>
                <w:szCs w:val="19"/>
              </w:rPr>
              <w:t>Secure file attachment and document management per episode</w:t>
            </w:r>
          </w:p>
          <w:p>
            <w:pPr>
              <w:pStyle w:val="Normal"/>
              <w:spacing w:before="0" w:after="80"/>
              <w:rPr/>
            </w:pPr>
            <w:r>
              <w:rPr>
                <w:rFonts w:eastAsia="Arial" w:cs="Arial"/>
                <w:color w:val="6C7A8D"/>
                <w:sz w:val="18"/>
                <w:szCs w:val="18"/>
              </w:rPr>
              <w:t>Attaches clinical documents (EMS run sheets, outside records, consent forms, imaging CDs) directly to the episode record. Files are stored within OpenEMR's existing document hierarchy.</w:t>
            </w:r>
          </w:p>
          <w:p>
            <w:pPr>
              <w:pStyle w:val="Normal"/>
              <w:spacing w:before="0" w:after="50"/>
              <w:rPr/>
            </w:pPr>
            <w:r>
              <w:rPr>
                <w:rFonts w:eastAsia="Arial" w:cs="Arial"/>
                <w:color w:val="1A2B3C"/>
                <w:sz w:val="18"/>
                <w:szCs w:val="18"/>
              </w:rPr>
              <w:t xml:space="preserve">•  </w:t>
            </w:r>
            <w:r>
              <w:rPr>
                <w:rFonts w:eastAsia="Arial" w:cs="Arial"/>
                <w:color w:val="1A2B3C"/>
                <w:sz w:val="18"/>
                <w:szCs w:val="18"/>
              </w:rPr>
              <w:t>EMS crew hands off paper run sheet — nurse photographs and attaches to episode in seconds</w:t>
            </w:r>
          </w:p>
          <w:p>
            <w:pPr>
              <w:pStyle w:val="Normal"/>
              <w:spacing w:before="0" w:after="50"/>
              <w:rPr/>
            </w:pPr>
            <w:r>
              <w:rPr>
                <w:rFonts w:eastAsia="Arial" w:cs="Arial"/>
                <w:color w:val="1A2B3C"/>
                <w:sz w:val="18"/>
                <w:szCs w:val="18"/>
              </w:rPr>
              <w:t xml:space="preserve">•  </w:t>
            </w:r>
            <w:r>
              <w:rPr>
                <w:rFonts w:eastAsia="Arial" w:cs="Arial"/>
                <w:color w:val="1A2B3C"/>
                <w:sz w:val="18"/>
                <w:szCs w:val="18"/>
              </w:rPr>
              <w:t>Outside hospital records attached before provider evaluation to prevent duplicate testing</w:t>
            </w:r>
          </w:p>
          <w:p>
            <w:pPr>
              <w:pStyle w:val="Normal"/>
              <w:spacing w:before="0" w:after="50"/>
              <w:rPr/>
            </w:pPr>
            <w:r>
              <w:rPr>
                <w:rFonts w:eastAsia="Arial" w:cs="Arial"/>
                <w:color w:val="1A2B3C"/>
                <w:sz w:val="18"/>
                <w:szCs w:val="18"/>
              </w:rPr>
              <w:t xml:space="preserve">•  </w:t>
            </w:r>
            <w:r>
              <w:rPr>
                <w:rFonts w:eastAsia="Arial" w:cs="Arial"/>
                <w:color w:val="1A2B3C"/>
                <w:sz w:val="18"/>
                <w:szCs w:val="18"/>
              </w:rPr>
              <w:t>Transfer packet documents (consent, summary, labs) bundled and attached for receiving facility</w:t>
            </w:r>
          </w:p>
          <w:p>
            <w:pPr>
              <w:pStyle w:val="Normal"/>
              <w:spacing w:before="0" w:after="50"/>
              <w:rPr/>
            </w:pPr>
            <w:r>
              <w:rPr>
                <w:rFonts w:eastAsia="Arial" w:cs="Arial"/>
                <w:color w:val="1A2B3C"/>
                <w:sz w:val="18"/>
                <w:szCs w:val="18"/>
              </w:rPr>
              <w:t xml:space="preserve">•  </w:t>
            </w:r>
            <w:r>
              <w:rPr>
                <w:rFonts w:eastAsia="Arial" w:cs="Arial"/>
                <w:color w:val="1A2B3C"/>
                <w:sz w:val="18"/>
                <w:szCs w:val="18"/>
              </w:rPr>
              <w:t>All attachments version-controlled and auditable per episode</w:t>
            </w:r>
          </w:p>
        </w:tc>
      </w:tr>
    </w:tbl>
    <w:p>
      <w:pPr>
        <w:pStyle w:val="Normal"/>
        <w:spacing w:before="0" w:after="50"/>
        <w:rPr/>
      </w:pPr>
      <w:r>
        <w:rPr/>
      </w:r>
    </w:p>
    <w:p>
      <w:pPr>
        <w:pStyle w:val="Normal"/>
        <w:spacing w:before="0" w:after="50"/>
        <w:rPr/>
      </w:pPr>
      <w:r>
        <w:rPr/>
      </w:r>
    </w:p>
    <w:tbl>
      <w:tblPr>
        <w:tblW w:w="9360" w:type="dxa"/>
        <w:jc w:val="left"/>
        <w:tblInd w:w="0" w:type="dxa"/>
        <w:tblLayout w:type="fixed"/>
        <w:tblCellMar>
          <w:top w:w="160" w:type="dxa"/>
          <w:left w:w="260" w:type="dxa"/>
          <w:bottom w:w="160" w:type="dxa"/>
          <w:right w:w="260" w:type="dxa"/>
        </w:tblCellMar>
      </w:tblPr>
      <w:tblGrid>
        <w:gridCol w:w="9360"/>
      </w:tblGrid>
      <w:tr>
        <w:trPr/>
        <w:tc>
          <w:tcPr>
            <w:tcW w:w="9360" w:type="dxa"/>
            <w:tcBorders/>
            <w:shd w:fill="1B3A6B" w:val="clear"/>
          </w:tcPr>
          <w:p>
            <w:pPr>
              <w:pStyle w:val="Normal"/>
              <w:spacing w:before="0" w:after="30"/>
              <w:rPr/>
            </w:pPr>
            <w:r>
              <w:rPr>
                <w:rFonts w:eastAsia="Arial" w:cs="Arial"/>
                <w:b/>
                <w:bCs/>
                <w:color w:val="FFFFFF"/>
                <w:sz w:val="22"/>
                <w:szCs w:val="22"/>
              </w:rPr>
              <w:t>GROUP B  —  Clinical Decision Support</w:t>
            </w:r>
          </w:p>
          <w:p>
            <w:pPr>
              <w:pStyle w:val="Normal"/>
              <w:spacing w:before="0" w:after="0"/>
              <w:rPr/>
            </w:pPr>
            <w:r>
              <w:rPr>
                <w:rFonts w:eastAsia="Arial" w:cs="Arial"/>
                <w:color w:val="A8C4D0"/>
                <w:sz w:val="17"/>
                <w:szCs w:val="17"/>
              </w:rPr>
              <w:t>Real-time alerts, tasks, and protocol automation</w:t>
            </w:r>
          </w:p>
        </w:tc>
      </w:tr>
    </w:tbl>
    <w:p>
      <w:pPr>
        <w:pStyle w:val="Normal"/>
        <w:spacing w:before="0" w:after="40"/>
        <w:rPr/>
      </w:pPr>
      <w:r>
        <w:rPr/>
      </w:r>
    </w:p>
    <w:tbl>
      <w:tblPr>
        <w:tblW w:w="9360" w:type="dxa"/>
        <w:jc w:val="left"/>
        <w:tblInd w:w="0" w:type="dxa"/>
        <w:tblLayout w:type="fixed"/>
        <w:tblCellMar>
          <w:top w:w="120" w:type="dxa"/>
          <w:left w:w="180" w:type="dxa"/>
          <w:bottom w:w="120" w:type="dxa"/>
          <w:right w:w="180" w:type="dxa"/>
        </w:tblCellMar>
      </w:tblPr>
      <w:tblGrid>
        <w:gridCol w:w="2700"/>
        <w:gridCol w:w="6659"/>
      </w:tblGrid>
      <w:tr>
        <w:trPr/>
        <w:tc>
          <w:tcPr>
            <w:tcW w:w="2700" w:type="dxa"/>
            <w:tcBorders>
              <w:top w:val="single" w:sz="2" w:space="0" w:color="D0DDE8"/>
              <w:left w:val="single" w:sz="2" w:space="0" w:color="D0DDE8"/>
              <w:bottom w:val="single" w:sz="2" w:space="0" w:color="D0DDE8"/>
              <w:right w:val="single" w:sz="2" w:space="0" w:color="D0DDE8"/>
            </w:tcBorders>
            <w:shd w:fill="F4F7FA" w:val="clear"/>
          </w:tcPr>
          <w:p>
            <w:pPr>
              <w:pStyle w:val="Normal"/>
              <w:spacing w:before="0" w:after="40"/>
              <w:rPr/>
            </w:pPr>
            <w:r>
              <w:rPr>
                <w:rFonts w:eastAsia="Arial" w:cs="Arial"/>
                <w:b w:val="false"/>
                <w:bCs w:val="false"/>
                <w:color w:val="6C7A8D"/>
                <w:sz w:val="16"/>
                <w:szCs w:val="16"/>
              </w:rPr>
              <w:t>07</w:t>
            </w:r>
          </w:p>
          <w:p>
            <w:pPr>
              <w:pStyle w:val="Normal"/>
              <w:spacing w:before="0" w:after="60"/>
              <w:rPr/>
            </w:pPr>
            <w:r>
              <w:rPr>
                <w:rFonts w:eastAsia="Arial" w:cs="Arial"/>
                <w:b/>
                <w:bCs/>
                <w:color w:val="1B3A6B"/>
                <w:sz w:val="20"/>
                <w:szCs w:val="20"/>
              </w:rPr>
              <w:t>Alerts Dashboard</w:t>
            </w:r>
          </w:p>
          <w:p>
            <w:pPr>
              <w:pStyle w:val="Normal"/>
              <w:spacing w:before="0" w:after="0"/>
              <w:rPr/>
            </w:pPr>
            <w:r>
              <w:rPr>
                <w:rFonts w:eastAsia="Arial" w:cs="Arial"/>
                <w:b w:val="false"/>
                <w:bCs w:val="false"/>
                <w:color w:val="0D6E6E"/>
                <w:sz w:val="15"/>
                <w:szCs w:val="15"/>
              </w:rPr>
              <w:t>CLINICAL DECISION SUPPORT</w:t>
            </w:r>
          </w:p>
        </w:tc>
        <w:tc>
          <w:tcPr>
            <w:tcW w:w="6659" w:type="dxa"/>
            <w:tcBorders>
              <w:top w:val="single" w:sz="2" w:space="0" w:color="D0DDE8"/>
              <w:left w:val="single" w:sz="2" w:space="0" w:color="D0DDE8"/>
              <w:bottom w:val="single" w:sz="2" w:space="0" w:color="D0DDE8"/>
              <w:right w:val="single" w:sz="2" w:space="0" w:color="D0DDE8"/>
            </w:tcBorders>
            <w:shd w:fill="FFFFFF" w:val="clear"/>
            <w:tcMar>
              <w:left w:w="200" w:type="dxa"/>
            </w:tcMar>
          </w:tcPr>
          <w:p>
            <w:pPr>
              <w:pStyle w:val="Normal"/>
              <w:spacing w:before="0" w:after="60"/>
              <w:rPr/>
            </w:pPr>
            <w:r>
              <w:rPr>
                <w:rFonts w:eastAsia="Arial" w:cs="Arial"/>
                <w:b/>
                <w:bCs/>
                <w:color w:val="1A2B3C"/>
                <w:sz w:val="19"/>
                <w:szCs w:val="19"/>
              </w:rPr>
              <w:t>Real-time, prioritized clinical alert feed for the entire department</w:t>
            </w:r>
          </w:p>
          <w:p>
            <w:pPr>
              <w:pStyle w:val="Normal"/>
              <w:spacing w:before="0" w:after="80"/>
              <w:rPr/>
            </w:pPr>
            <w:r>
              <w:rPr>
                <w:rFonts w:eastAsia="Arial" w:cs="Arial"/>
                <w:color w:val="6C7A8D"/>
                <w:sz w:val="18"/>
                <w:szCs w:val="18"/>
              </w:rPr>
              <w:t>Aggregates all firing clinical alerts across every active episode into a single prioritized dashboard. Alerts are categorized by severity (Critical / Warning / Info) and suppressed once acknowledged.</w:t>
            </w:r>
          </w:p>
          <w:p>
            <w:pPr>
              <w:pStyle w:val="Normal"/>
              <w:spacing w:before="0" w:after="50"/>
              <w:rPr/>
            </w:pPr>
            <w:r>
              <w:rPr>
                <w:rFonts w:eastAsia="Arial" w:cs="Arial"/>
                <w:color w:val="1A2B3C"/>
                <w:sz w:val="18"/>
                <w:szCs w:val="18"/>
              </w:rPr>
              <w:t xml:space="preserve">•  </w:t>
            </w:r>
            <w:r>
              <w:rPr>
                <w:rFonts w:eastAsia="Arial" w:cs="Arial"/>
                <w:color w:val="1A2B3C"/>
                <w:sz w:val="18"/>
                <w:szCs w:val="18"/>
              </w:rPr>
              <w:t>Charge nurse monitors Alerts Dashboard as the command surface for the entire shift</w:t>
            </w:r>
          </w:p>
          <w:p>
            <w:pPr>
              <w:pStyle w:val="Normal"/>
              <w:spacing w:before="0" w:after="50"/>
              <w:rPr/>
            </w:pPr>
            <w:r>
              <w:rPr>
                <w:rFonts w:eastAsia="Arial" w:cs="Arial"/>
                <w:color w:val="1A2B3C"/>
                <w:sz w:val="18"/>
                <w:szCs w:val="18"/>
              </w:rPr>
              <w:t xml:space="preserve">•  </w:t>
            </w:r>
            <w:r>
              <w:rPr>
                <w:rFonts w:eastAsia="Arial" w:cs="Arial"/>
                <w:color w:val="1A2B3C"/>
                <w:sz w:val="18"/>
                <w:szCs w:val="18"/>
              </w:rPr>
              <w:t>SEPSIS_RISK fires when qSOFA ≥ 2 — prompts bundle activation before the patient crashes</w:t>
            </w:r>
          </w:p>
          <w:p>
            <w:pPr>
              <w:pStyle w:val="Normal"/>
              <w:spacing w:before="0" w:after="50"/>
              <w:rPr/>
            </w:pPr>
            <w:r>
              <w:rPr>
                <w:rFonts w:eastAsia="Arial" w:cs="Arial"/>
                <w:color w:val="1A2B3C"/>
                <w:sz w:val="18"/>
                <w:szCs w:val="18"/>
              </w:rPr>
              <w:t xml:space="preserve">•  </w:t>
            </w:r>
            <w:r>
              <w:rPr>
                <w:rFonts w:eastAsia="Arial" w:cs="Arial"/>
                <w:color w:val="1A2B3C"/>
                <w:sz w:val="18"/>
                <w:szCs w:val="18"/>
              </w:rPr>
              <w:t>OBS_RUNWAY fires when an observation patient is within 4 hours of the 24-hour CMS boundary</w:t>
            </w:r>
          </w:p>
          <w:p>
            <w:pPr>
              <w:pStyle w:val="Normal"/>
              <w:spacing w:before="0" w:after="50"/>
              <w:rPr/>
            </w:pPr>
            <w:r>
              <w:rPr>
                <w:rFonts w:eastAsia="Arial" w:cs="Arial"/>
                <w:color w:val="1A2B3C"/>
                <w:sz w:val="18"/>
                <w:szCs w:val="18"/>
              </w:rPr>
              <w:t xml:space="preserve">•  </w:t>
            </w:r>
            <w:r>
              <w:rPr>
                <w:rFonts w:eastAsia="Arial" w:cs="Arial"/>
                <w:color w:val="1A2B3C"/>
                <w:sz w:val="18"/>
                <w:szCs w:val="18"/>
              </w:rPr>
              <w:t>MAR_OVERDUE fires when a high-alert medication administration is overdue by &gt; 30 minutes</w:t>
            </w:r>
          </w:p>
          <w:p>
            <w:pPr>
              <w:pStyle w:val="Normal"/>
              <w:spacing w:before="0" w:after="50"/>
              <w:rPr/>
            </w:pPr>
            <w:r>
              <w:rPr>
                <w:rFonts w:eastAsia="Arial" w:cs="Arial"/>
                <w:color w:val="1A2B3C"/>
                <w:sz w:val="18"/>
                <w:szCs w:val="18"/>
              </w:rPr>
              <w:t xml:space="preserve">•  </w:t>
            </w:r>
            <w:r>
              <w:rPr>
                <w:rFonts w:eastAsia="Arial" w:cs="Arial"/>
                <w:color w:val="1A2B3C"/>
                <w:sz w:val="18"/>
                <w:szCs w:val="18"/>
              </w:rPr>
              <w:t>LWBS_RISK fires when an unroomed patient has waited longer than the configurable threshold</w:t>
            </w:r>
          </w:p>
          <w:p>
            <w:pPr>
              <w:pStyle w:val="Normal"/>
              <w:spacing w:before="0" w:after="50"/>
              <w:rPr/>
            </w:pPr>
            <w:r>
              <w:rPr>
                <w:rFonts w:eastAsia="Arial" w:cs="Arial"/>
                <w:color w:val="1A2B3C"/>
                <w:sz w:val="18"/>
                <w:szCs w:val="18"/>
              </w:rPr>
              <w:t xml:space="preserve">•  </w:t>
            </w:r>
            <w:r>
              <w:rPr>
                <w:rFonts w:eastAsia="Arial" w:cs="Arial"/>
                <w:color w:val="1A2B3C"/>
                <w:sz w:val="18"/>
                <w:szCs w:val="18"/>
              </w:rPr>
              <w:t>Alerts acknowledged by user and facility, with configurable re-fire windows</w:t>
            </w:r>
          </w:p>
        </w:tc>
      </w:tr>
    </w:tbl>
    <w:p>
      <w:pPr>
        <w:pStyle w:val="Normal"/>
        <w:spacing w:before="0" w:after="30"/>
        <w:rPr/>
      </w:pPr>
      <w:r>
        <w:rPr/>
      </w:r>
    </w:p>
    <w:tbl>
      <w:tblPr>
        <w:tblW w:w="9360" w:type="dxa"/>
        <w:jc w:val="left"/>
        <w:tblInd w:w="0" w:type="dxa"/>
        <w:tblLayout w:type="fixed"/>
        <w:tblCellMar>
          <w:top w:w="120" w:type="dxa"/>
          <w:left w:w="180" w:type="dxa"/>
          <w:bottom w:w="120" w:type="dxa"/>
          <w:right w:w="180" w:type="dxa"/>
        </w:tblCellMar>
      </w:tblPr>
      <w:tblGrid>
        <w:gridCol w:w="2700"/>
        <w:gridCol w:w="6659"/>
      </w:tblGrid>
      <w:tr>
        <w:trPr/>
        <w:tc>
          <w:tcPr>
            <w:tcW w:w="2700" w:type="dxa"/>
            <w:tcBorders>
              <w:top w:val="single" w:sz="2" w:space="0" w:color="D0DDE8"/>
              <w:left w:val="single" w:sz="2" w:space="0" w:color="D0DDE8"/>
              <w:bottom w:val="single" w:sz="2" w:space="0" w:color="D0DDE8"/>
              <w:right w:val="single" w:sz="2" w:space="0" w:color="D0DDE8"/>
            </w:tcBorders>
            <w:shd w:fill="F4F7FA" w:val="clear"/>
          </w:tcPr>
          <w:p>
            <w:pPr>
              <w:pStyle w:val="Normal"/>
              <w:spacing w:before="0" w:after="40"/>
              <w:rPr/>
            </w:pPr>
            <w:r>
              <w:rPr>
                <w:rFonts w:eastAsia="Arial" w:cs="Arial"/>
                <w:b w:val="false"/>
                <w:bCs w:val="false"/>
                <w:color w:val="6C7A8D"/>
                <w:sz w:val="16"/>
                <w:szCs w:val="16"/>
              </w:rPr>
              <w:t>08</w:t>
            </w:r>
          </w:p>
          <w:p>
            <w:pPr>
              <w:pStyle w:val="Normal"/>
              <w:spacing w:before="0" w:after="60"/>
              <w:rPr/>
            </w:pPr>
            <w:r>
              <w:rPr>
                <w:rFonts w:eastAsia="Arial" w:cs="Arial"/>
                <w:b/>
                <w:bCs/>
                <w:color w:val="1B3A6B"/>
                <w:sz w:val="20"/>
                <w:szCs w:val="20"/>
              </w:rPr>
              <w:t>Tasks</w:t>
            </w:r>
          </w:p>
          <w:p>
            <w:pPr>
              <w:pStyle w:val="Normal"/>
              <w:spacing w:before="0" w:after="0"/>
              <w:rPr/>
            </w:pPr>
            <w:r>
              <w:rPr>
                <w:rFonts w:eastAsia="Arial" w:cs="Arial"/>
                <w:b w:val="false"/>
                <w:bCs w:val="false"/>
                <w:color w:val="0D6E6E"/>
                <w:sz w:val="15"/>
                <w:szCs w:val="15"/>
              </w:rPr>
              <w:t>CLINICAL DECISION SUPPORT</w:t>
            </w:r>
          </w:p>
        </w:tc>
        <w:tc>
          <w:tcPr>
            <w:tcW w:w="6659" w:type="dxa"/>
            <w:tcBorders>
              <w:top w:val="single" w:sz="2" w:space="0" w:color="D0DDE8"/>
              <w:left w:val="single" w:sz="2" w:space="0" w:color="D0DDE8"/>
              <w:bottom w:val="single" w:sz="2" w:space="0" w:color="D0DDE8"/>
              <w:right w:val="single" w:sz="2" w:space="0" w:color="D0DDE8"/>
            </w:tcBorders>
            <w:shd w:fill="FFFFFF" w:val="clear"/>
            <w:tcMar>
              <w:left w:w="200" w:type="dxa"/>
            </w:tcMar>
          </w:tcPr>
          <w:p>
            <w:pPr>
              <w:pStyle w:val="Normal"/>
              <w:spacing w:before="0" w:after="60"/>
              <w:rPr/>
            </w:pPr>
            <w:r>
              <w:rPr>
                <w:rFonts w:eastAsia="Arial" w:cs="Arial"/>
                <w:b/>
                <w:bCs/>
                <w:color w:val="1A2B3C"/>
                <w:sz w:val="19"/>
                <w:szCs w:val="19"/>
              </w:rPr>
              <w:t>Protocol-driven task generation and individual task tracking per episode</w:t>
            </w:r>
          </w:p>
          <w:p>
            <w:pPr>
              <w:pStyle w:val="Normal"/>
              <w:spacing w:before="0" w:after="80"/>
              <w:rPr/>
            </w:pPr>
            <w:r>
              <w:rPr>
                <w:rFonts w:eastAsia="Arial" w:cs="Arial"/>
                <w:color w:val="6C7A8D"/>
                <w:sz w:val="18"/>
                <w:szCs w:val="18"/>
              </w:rPr>
              <w:t>Generates, assigns, and tracks individual clinical tasks (blood cultures, EKG, vitals checks, disposition decisions) with due times and overdue alerts. Tasks are auto-generated by protocols or manually created.</w:t>
            </w:r>
          </w:p>
          <w:p>
            <w:pPr>
              <w:pStyle w:val="Normal"/>
              <w:spacing w:before="0" w:after="50"/>
              <w:rPr/>
            </w:pPr>
            <w:r>
              <w:rPr>
                <w:rFonts w:eastAsia="Arial" w:cs="Arial"/>
                <w:color w:val="1A2B3C"/>
                <w:sz w:val="18"/>
                <w:szCs w:val="18"/>
              </w:rPr>
              <w:t xml:space="preserve">•  </w:t>
            </w:r>
            <w:r>
              <w:rPr>
                <w:rFonts w:eastAsia="Arial" w:cs="Arial"/>
                <w:color w:val="1A2B3C"/>
                <w:sz w:val="18"/>
                <w:szCs w:val="18"/>
              </w:rPr>
              <w:t>Sepsis bundle protocol generates 5 tasks with specific due times the moment it is activated</w:t>
            </w:r>
          </w:p>
          <w:p>
            <w:pPr>
              <w:pStyle w:val="Normal"/>
              <w:spacing w:before="0" w:after="50"/>
              <w:rPr/>
            </w:pPr>
            <w:r>
              <w:rPr>
                <w:rFonts w:eastAsia="Arial" w:cs="Arial"/>
                <w:color w:val="1A2B3C"/>
                <w:sz w:val="18"/>
                <w:szCs w:val="18"/>
              </w:rPr>
              <w:t xml:space="preserve">•  </w:t>
            </w:r>
            <w:r>
              <w:rPr>
                <w:rFonts w:eastAsia="Arial" w:cs="Arial"/>
                <w:color w:val="1A2B3C"/>
                <w:sz w:val="18"/>
                <w:szCs w:val="18"/>
              </w:rPr>
              <w:t>Overdue tasks escalate to the Alerts Dashboard with URGENT priority</w:t>
            </w:r>
          </w:p>
          <w:p>
            <w:pPr>
              <w:pStyle w:val="Normal"/>
              <w:spacing w:before="0" w:after="50"/>
              <w:rPr/>
            </w:pPr>
            <w:r>
              <w:rPr>
                <w:rFonts w:eastAsia="Arial" w:cs="Arial"/>
                <w:color w:val="1A2B3C"/>
                <w:sz w:val="18"/>
                <w:szCs w:val="18"/>
              </w:rPr>
              <w:t xml:space="preserve">•  </w:t>
            </w:r>
            <w:r>
              <w:rPr>
                <w:rFonts w:eastAsia="Arial" w:cs="Arial"/>
                <w:color w:val="1A2B3C"/>
                <w:sz w:val="18"/>
                <w:szCs w:val="18"/>
              </w:rPr>
              <w:t>Tasks feed the Handoff Report so incoming nurse sees exactly what is pending</w:t>
            </w:r>
          </w:p>
          <w:p>
            <w:pPr>
              <w:pStyle w:val="Normal"/>
              <w:spacing w:before="0" w:after="50"/>
              <w:rPr/>
            </w:pPr>
            <w:r>
              <w:rPr>
                <w:rFonts w:eastAsia="Arial" w:cs="Arial"/>
                <w:color w:val="1A2B3C"/>
                <w:sz w:val="18"/>
                <w:szCs w:val="18"/>
              </w:rPr>
              <w:t xml:space="preserve">•  </w:t>
            </w:r>
            <w:r>
              <w:rPr>
                <w:rFonts w:eastAsia="Arial" w:cs="Arial"/>
                <w:color w:val="1A2B3C"/>
                <w:sz w:val="18"/>
                <w:szCs w:val="18"/>
              </w:rPr>
              <w:t>Each task records who completed it and when for QI reporting</w:t>
            </w:r>
          </w:p>
          <w:p>
            <w:pPr>
              <w:pStyle w:val="Normal"/>
              <w:spacing w:before="0" w:after="50"/>
              <w:rPr/>
            </w:pPr>
            <w:r>
              <w:rPr>
                <w:rFonts w:eastAsia="Arial" w:cs="Arial"/>
                <w:color w:val="1A2B3C"/>
                <w:sz w:val="18"/>
                <w:szCs w:val="18"/>
              </w:rPr>
              <w:t xml:space="preserve">•  </w:t>
            </w:r>
            <w:r>
              <w:rPr>
                <w:rFonts w:eastAsia="Arial" w:cs="Arial"/>
                <w:color w:val="1A2B3C"/>
                <w:sz w:val="18"/>
                <w:szCs w:val="18"/>
              </w:rPr>
              <w:t>Observation protocols generate milestone tasks (serial troponins, peak flow checks) automatically</w:t>
            </w:r>
          </w:p>
        </w:tc>
      </w:tr>
    </w:tbl>
    <w:p>
      <w:pPr>
        <w:pStyle w:val="Normal"/>
        <w:spacing w:before="0" w:after="30"/>
        <w:rPr/>
      </w:pPr>
      <w:r>
        <w:rPr/>
      </w:r>
    </w:p>
    <w:tbl>
      <w:tblPr>
        <w:tblW w:w="9360" w:type="dxa"/>
        <w:jc w:val="left"/>
        <w:tblInd w:w="0" w:type="dxa"/>
        <w:tblLayout w:type="fixed"/>
        <w:tblCellMar>
          <w:top w:w="120" w:type="dxa"/>
          <w:left w:w="180" w:type="dxa"/>
          <w:bottom w:w="120" w:type="dxa"/>
          <w:right w:w="180" w:type="dxa"/>
        </w:tblCellMar>
      </w:tblPr>
      <w:tblGrid>
        <w:gridCol w:w="2700"/>
        <w:gridCol w:w="6659"/>
      </w:tblGrid>
      <w:tr>
        <w:trPr/>
        <w:tc>
          <w:tcPr>
            <w:tcW w:w="2700" w:type="dxa"/>
            <w:tcBorders>
              <w:top w:val="single" w:sz="2" w:space="0" w:color="D0DDE8"/>
              <w:left w:val="single" w:sz="2" w:space="0" w:color="D0DDE8"/>
              <w:bottom w:val="single" w:sz="2" w:space="0" w:color="D0DDE8"/>
              <w:right w:val="single" w:sz="2" w:space="0" w:color="D0DDE8"/>
            </w:tcBorders>
            <w:shd w:fill="F4F7FA" w:val="clear"/>
          </w:tcPr>
          <w:p>
            <w:pPr>
              <w:pStyle w:val="Normal"/>
              <w:spacing w:before="0" w:after="40"/>
              <w:rPr/>
            </w:pPr>
            <w:r>
              <w:rPr>
                <w:rFonts w:eastAsia="Arial" w:cs="Arial"/>
                <w:b w:val="false"/>
                <w:bCs w:val="false"/>
                <w:color w:val="6C7A8D"/>
                <w:sz w:val="16"/>
                <w:szCs w:val="16"/>
              </w:rPr>
              <w:t>09</w:t>
            </w:r>
          </w:p>
          <w:p>
            <w:pPr>
              <w:pStyle w:val="Normal"/>
              <w:spacing w:before="0" w:after="60"/>
              <w:rPr/>
            </w:pPr>
            <w:r>
              <w:rPr>
                <w:rFonts w:eastAsia="Arial" w:cs="Arial"/>
                <w:b/>
                <w:bCs/>
                <w:color w:val="1B3A6B"/>
                <w:sz w:val="20"/>
                <w:szCs w:val="20"/>
              </w:rPr>
              <w:t>OBS Protocols</w:t>
            </w:r>
          </w:p>
          <w:p>
            <w:pPr>
              <w:pStyle w:val="Normal"/>
              <w:spacing w:before="0" w:after="0"/>
              <w:rPr/>
            </w:pPr>
            <w:r>
              <w:rPr>
                <w:rFonts w:eastAsia="Arial" w:cs="Arial"/>
                <w:b w:val="false"/>
                <w:bCs w:val="false"/>
                <w:color w:val="0D6E6E"/>
                <w:sz w:val="15"/>
                <w:szCs w:val="15"/>
              </w:rPr>
              <w:t>CLINICAL DECISION SUPPORT</w:t>
            </w:r>
          </w:p>
        </w:tc>
        <w:tc>
          <w:tcPr>
            <w:tcW w:w="6659" w:type="dxa"/>
            <w:tcBorders>
              <w:top w:val="single" w:sz="2" w:space="0" w:color="D0DDE8"/>
              <w:left w:val="single" w:sz="2" w:space="0" w:color="D0DDE8"/>
              <w:bottom w:val="single" w:sz="2" w:space="0" w:color="D0DDE8"/>
              <w:right w:val="single" w:sz="2" w:space="0" w:color="D0DDE8"/>
            </w:tcBorders>
            <w:shd w:fill="FFFFFF" w:val="clear"/>
            <w:tcMar>
              <w:left w:w="200" w:type="dxa"/>
            </w:tcMar>
          </w:tcPr>
          <w:p>
            <w:pPr>
              <w:pStyle w:val="Normal"/>
              <w:spacing w:before="0" w:after="60"/>
              <w:rPr/>
            </w:pPr>
            <w:r>
              <w:rPr>
                <w:rFonts w:eastAsia="Arial" w:cs="Arial"/>
                <w:b/>
                <w:bCs/>
                <w:color w:val="1A2B3C"/>
                <w:sz w:val="19"/>
                <w:szCs w:val="19"/>
              </w:rPr>
              <w:t>Evidence-based observation protocol library with automated milestone generation</w:t>
            </w:r>
          </w:p>
          <w:p>
            <w:pPr>
              <w:pStyle w:val="Normal"/>
              <w:spacing w:before="0" w:after="80"/>
              <w:rPr/>
            </w:pPr>
            <w:r>
              <w:rPr>
                <w:rFonts w:eastAsia="Arial" w:cs="Arial"/>
                <w:color w:val="6C7A8D"/>
                <w:sz w:val="18"/>
                <w:szCs w:val="18"/>
              </w:rPr>
              <w:t>Manages the clinical protocol applied to an observation patient: Chest Pain, COPD, Sepsis Bundle, Stroke Alert, Opioid OD, Pediatric Fever, and others. Protocol definition drives task generation and runway calculation.</w:t>
            </w:r>
          </w:p>
          <w:p>
            <w:pPr>
              <w:pStyle w:val="Normal"/>
              <w:spacing w:before="0" w:after="50"/>
              <w:rPr/>
            </w:pPr>
            <w:r>
              <w:rPr>
                <w:rFonts w:eastAsia="Arial" w:cs="Arial"/>
                <w:color w:val="1A2B3C"/>
                <w:sz w:val="18"/>
                <w:szCs w:val="18"/>
              </w:rPr>
              <w:t xml:space="preserve">•  </w:t>
            </w:r>
            <w:r>
              <w:rPr>
                <w:rFonts w:eastAsia="Arial" w:cs="Arial"/>
                <w:color w:val="1A2B3C"/>
                <w:sz w:val="18"/>
                <w:szCs w:val="18"/>
              </w:rPr>
              <w:t>Provider applies Chest Pain protocol — serial troponin tasks at 0h, 6h, 12h are auto-created</w:t>
            </w:r>
          </w:p>
          <w:p>
            <w:pPr>
              <w:pStyle w:val="Normal"/>
              <w:spacing w:before="0" w:after="50"/>
              <w:rPr/>
            </w:pPr>
            <w:r>
              <w:rPr>
                <w:rFonts w:eastAsia="Arial" w:cs="Arial"/>
                <w:color w:val="1A2B3C"/>
                <w:sz w:val="18"/>
                <w:szCs w:val="18"/>
              </w:rPr>
              <w:t xml:space="preserve">•  </w:t>
            </w:r>
            <w:r>
              <w:rPr>
                <w:rFonts w:eastAsia="Arial" w:cs="Arial"/>
                <w:color w:val="1A2B3C"/>
                <w:sz w:val="18"/>
                <w:szCs w:val="18"/>
              </w:rPr>
              <w:t>Protocol target window drives the OBS_RUNWAY alert — no manual tracking required</w:t>
            </w:r>
          </w:p>
          <w:p>
            <w:pPr>
              <w:pStyle w:val="Normal"/>
              <w:spacing w:before="0" w:after="50"/>
              <w:rPr/>
            </w:pPr>
            <w:r>
              <w:rPr>
                <w:rFonts w:eastAsia="Arial" w:cs="Arial"/>
                <w:color w:val="1A2B3C"/>
                <w:sz w:val="18"/>
                <w:szCs w:val="18"/>
              </w:rPr>
              <w:t xml:space="preserve">•  </w:t>
            </w:r>
            <w:r>
              <w:rPr>
                <w:rFonts w:eastAsia="Arial" w:cs="Arial"/>
                <w:color w:val="1A2B3C"/>
                <w:sz w:val="18"/>
                <w:szCs w:val="18"/>
              </w:rPr>
              <w:t>Multiple protocol versions maintained and versioned; new protocol updates don't break active episodes</w:t>
            </w:r>
          </w:p>
          <w:p>
            <w:pPr>
              <w:pStyle w:val="Normal"/>
              <w:spacing w:before="0" w:after="50"/>
              <w:rPr/>
            </w:pPr>
            <w:r>
              <w:rPr>
                <w:rFonts w:eastAsia="Arial" w:cs="Arial"/>
                <w:color w:val="1A2B3C"/>
                <w:sz w:val="18"/>
                <w:szCs w:val="18"/>
              </w:rPr>
              <w:t xml:space="preserve">•  </w:t>
            </w:r>
            <w:r>
              <w:rPr>
                <w:rFonts w:eastAsia="Arial" w:cs="Arial"/>
                <w:color w:val="1A2B3C"/>
                <w:sz w:val="18"/>
                <w:szCs w:val="18"/>
              </w:rPr>
              <w:t>Protocol library is facility-configurable — hospitals add their own clinical pathways</w:t>
            </w:r>
          </w:p>
          <w:p>
            <w:pPr>
              <w:pStyle w:val="Normal"/>
              <w:spacing w:before="0" w:after="50"/>
              <w:rPr/>
            </w:pPr>
            <w:r>
              <w:rPr>
                <w:rFonts w:eastAsia="Arial" w:cs="Arial"/>
                <w:color w:val="1A2B3C"/>
                <w:sz w:val="18"/>
                <w:szCs w:val="18"/>
              </w:rPr>
              <w:t xml:space="preserve">•  </w:t>
            </w:r>
            <w:r>
              <w:rPr>
                <w:rFonts w:eastAsia="Arial" w:cs="Arial"/>
                <w:color w:val="1A2B3C"/>
                <w:sz w:val="18"/>
                <w:szCs w:val="18"/>
              </w:rPr>
              <w:t>Milestone completion status visible on the OBS Stay detail page and Handoff Report</w:t>
            </w:r>
          </w:p>
        </w:tc>
      </w:tr>
    </w:tbl>
    <w:p>
      <w:pPr>
        <w:pStyle w:val="Normal"/>
        <w:spacing w:before="0" w:after="30"/>
        <w:rPr/>
      </w:pPr>
      <w:r>
        <w:rPr/>
      </w:r>
    </w:p>
    <w:tbl>
      <w:tblPr>
        <w:tblW w:w="9360" w:type="dxa"/>
        <w:jc w:val="left"/>
        <w:tblInd w:w="0" w:type="dxa"/>
        <w:tblLayout w:type="fixed"/>
        <w:tblCellMar>
          <w:top w:w="120" w:type="dxa"/>
          <w:left w:w="180" w:type="dxa"/>
          <w:bottom w:w="120" w:type="dxa"/>
          <w:right w:w="180" w:type="dxa"/>
        </w:tblCellMar>
      </w:tblPr>
      <w:tblGrid>
        <w:gridCol w:w="2700"/>
        <w:gridCol w:w="6659"/>
      </w:tblGrid>
      <w:tr>
        <w:trPr/>
        <w:tc>
          <w:tcPr>
            <w:tcW w:w="2700" w:type="dxa"/>
            <w:tcBorders>
              <w:top w:val="single" w:sz="2" w:space="0" w:color="D0DDE8"/>
              <w:left w:val="single" w:sz="2" w:space="0" w:color="D0DDE8"/>
              <w:bottom w:val="single" w:sz="2" w:space="0" w:color="D0DDE8"/>
              <w:right w:val="single" w:sz="2" w:space="0" w:color="D0DDE8"/>
            </w:tcBorders>
            <w:shd w:fill="F4F7FA" w:val="clear"/>
          </w:tcPr>
          <w:p>
            <w:pPr>
              <w:pStyle w:val="Normal"/>
              <w:spacing w:before="0" w:after="40"/>
              <w:rPr/>
            </w:pPr>
            <w:r>
              <w:rPr>
                <w:rFonts w:eastAsia="Arial" w:cs="Arial"/>
                <w:b w:val="false"/>
                <w:bCs w:val="false"/>
                <w:color w:val="6C7A8D"/>
                <w:sz w:val="16"/>
                <w:szCs w:val="16"/>
              </w:rPr>
              <w:t>10</w:t>
            </w:r>
          </w:p>
          <w:p>
            <w:pPr>
              <w:pStyle w:val="Normal"/>
              <w:spacing w:before="0" w:after="60"/>
              <w:rPr/>
            </w:pPr>
            <w:r>
              <w:rPr>
                <w:rFonts w:eastAsia="Arial" w:cs="Arial"/>
                <w:b/>
                <w:bCs/>
                <w:color w:val="1B3A6B"/>
                <w:sz w:val="20"/>
                <w:szCs w:val="20"/>
              </w:rPr>
              <w:t>Assignment</w:t>
            </w:r>
          </w:p>
          <w:p>
            <w:pPr>
              <w:pStyle w:val="Normal"/>
              <w:spacing w:before="0" w:after="0"/>
              <w:rPr/>
            </w:pPr>
            <w:r>
              <w:rPr>
                <w:rFonts w:eastAsia="Arial" w:cs="Arial"/>
                <w:b w:val="false"/>
                <w:bCs w:val="false"/>
                <w:color w:val="0D6E6E"/>
                <w:sz w:val="15"/>
                <w:szCs w:val="15"/>
              </w:rPr>
              <w:t>CLINICAL DECISION SUPPORT</w:t>
            </w:r>
          </w:p>
        </w:tc>
        <w:tc>
          <w:tcPr>
            <w:tcW w:w="6659" w:type="dxa"/>
            <w:tcBorders>
              <w:top w:val="single" w:sz="2" w:space="0" w:color="D0DDE8"/>
              <w:left w:val="single" w:sz="2" w:space="0" w:color="D0DDE8"/>
              <w:bottom w:val="single" w:sz="2" w:space="0" w:color="D0DDE8"/>
              <w:right w:val="single" w:sz="2" w:space="0" w:color="D0DDE8"/>
            </w:tcBorders>
            <w:shd w:fill="FFFFFF" w:val="clear"/>
            <w:tcMar>
              <w:left w:w="200" w:type="dxa"/>
            </w:tcMar>
          </w:tcPr>
          <w:p>
            <w:pPr>
              <w:pStyle w:val="Normal"/>
              <w:spacing w:before="0" w:after="60"/>
              <w:rPr/>
            </w:pPr>
            <w:r>
              <w:rPr>
                <w:rFonts w:eastAsia="Arial" w:cs="Arial"/>
                <w:b/>
                <w:bCs/>
                <w:color w:val="1A2B3C"/>
                <w:sz w:val="19"/>
                <w:szCs w:val="19"/>
              </w:rPr>
              <w:t>Nurse and provider assignment to episodes with workload awareness</w:t>
            </w:r>
          </w:p>
          <w:p>
            <w:pPr>
              <w:pStyle w:val="Normal"/>
              <w:spacing w:before="0" w:after="80"/>
              <w:rPr/>
            </w:pPr>
            <w:r>
              <w:rPr>
                <w:rFonts w:eastAsia="Arial" w:cs="Arial"/>
                <w:color w:val="6C7A8D"/>
                <w:sz w:val="18"/>
                <w:szCs w:val="18"/>
              </w:rPr>
              <w:t>Tracks which nurse and provider are responsible for each episode. Provides workload view so charge nurse can balance assignments. Assignment changes are audited and appear in Handoff.</w:t>
            </w:r>
          </w:p>
          <w:p>
            <w:pPr>
              <w:pStyle w:val="Normal"/>
              <w:spacing w:before="0" w:after="50"/>
              <w:rPr/>
            </w:pPr>
            <w:r>
              <w:rPr>
                <w:rFonts w:eastAsia="Arial" w:cs="Arial"/>
                <w:color w:val="1A2B3C"/>
                <w:sz w:val="18"/>
                <w:szCs w:val="18"/>
              </w:rPr>
              <w:t xml:space="preserve">•  </w:t>
            </w:r>
            <w:r>
              <w:rPr>
                <w:rFonts w:eastAsia="Arial" w:cs="Arial"/>
                <w:color w:val="1A2B3C"/>
                <w:sz w:val="18"/>
                <w:szCs w:val="18"/>
              </w:rPr>
              <w:t>Charge nurse opens Assignment view to see each clinician’s current patient count</w:t>
            </w:r>
          </w:p>
          <w:p>
            <w:pPr>
              <w:pStyle w:val="Normal"/>
              <w:spacing w:before="0" w:after="50"/>
              <w:rPr/>
            </w:pPr>
            <w:r>
              <w:rPr>
                <w:rFonts w:eastAsia="Arial" w:cs="Arial"/>
                <w:color w:val="1A2B3C"/>
                <w:sz w:val="18"/>
                <w:szCs w:val="18"/>
              </w:rPr>
              <w:t xml:space="preserve">•  </w:t>
            </w:r>
            <w:r>
              <w:rPr>
                <w:rFonts w:eastAsia="Arial" w:cs="Arial"/>
                <w:color w:val="1A2B3C"/>
                <w:sz w:val="18"/>
                <w:szCs w:val="18"/>
              </w:rPr>
              <w:t>New arrival assigned to nurse with lightest load — prevents inadvertent overload</w:t>
            </w:r>
          </w:p>
          <w:p>
            <w:pPr>
              <w:pStyle w:val="Normal"/>
              <w:spacing w:before="0" w:after="50"/>
              <w:rPr/>
            </w:pPr>
            <w:r>
              <w:rPr>
                <w:rFonts w:eastAsia="Arial" w:cs="Arial"/>
                <w:color w:val="1A2B3C"/>
                <w:sz w:val="18"/>
                <w:szCs w:val="18"/>
              </w:rPr>
              <w:t xml:space="preserve">•  </w:t>
            </w:r>
            <w:r>
              <w:rPr>
                <w:rFonts w:eastAsia="Arial" w:cs="Arial"/>
                <w:color w:val="1A2B3C"/>
                <w:sz w:val="18"/>
                <w:szCs w:val="18"/>
              </w:rPr>
              <w:t>Provider-to-patient assignments support scorecard performance measurement</w:t>
            </w:r>
          </w:p>
          <w:p>
            <w:pPr>
              <w:pStyle w:val="Normal"/>
              <w:spacing w:before="0" w:after="50"/>
              <w:rPr/>
            </w:pPr>
            <w:r>
              <w:rPr>
                <w:rFonts w:eastAsia="Arial" w:cs="Arial"/>
                <w:color w:val="1A2B3C"/>
                <w:sz w:val="18"/>
                <w:szCs w:val="18"/>
              </w:rPr>
              <w:t xml:space="preserve">•  </w:t>
            </w:r>
            <w:r>
              <w:rPr>
                <w:rFonts w:eastAsia="Arial" w:cs="Arial"/>
                <w:color w:val="1A2B3C"/>
                <w:sz w:val="18"/>
                <w:szCs w:val="18"/>
              </w:rPr>
              <w:t>Assignment history recorded for liability and quality review</w:t>
            </w:r>
          </w:p>
        </w:tc>
      </w:tr>
    </w:tbl>
    <w:p>
      <w:pPr>
        <w:pStyle w:val="Normal"/>
        <w:spacing w:before="0" w:after="30"/>
        <w:rPr/>
      </w:pPr>
      <w:r>
        <w:rPr/>
      </w:r>
    </w:p>
    <w:tbl>
      <w:tblPr>
        <w:tblW w:w="9360" w:type="dxa"/>
        <w:jc w:val="left"/>
        <w:tblInd w:w="0" w:type="dxa"/>
        <w:tblLayout w:type="fixed"/>
        <w:tblCellMar>
          <w:top w:w="120" w:type="dxa"/>
          <w:left w:w="180" w:type="dxa"/>
          <w:bottom w:w="120" w:type="dxa"/>
          <w:right w:w="180" w:type="dxa"/>
        </w:tblCellMar>
      </w:tblPr>
      <w:tblGrid>
        <w:gridCol w:w="2700"/>
        <w:gridCol w:w="6659"/>
      </w:tblGrid>
      <w:tr>
        <w:trPr/>
        <w:tc>
          <w:tcPr>
            <w:tcW w:w="2700" w:type="dxa"/>
            <w:tcBorders>
              <w:top w:val="single" w:sz="2" w:space="0" w:color="D0DDE8"/>
              <w:left w:val="single" w:sz="2" w:space="0" w:color="D0DDE8"/>
              <w:bottom w:val="single" w:sz="2" w:space="0" w:color="D0DDE8"/>
              <w:right w:val="single" w:sz="2" w:space="0" w:color="D0DDE8"/>
            </w:tcBorders>
            <w:shd w:fill="F4F7FA" w:val="clear"/>
          </w:tcPr>
          <w:p>
            <w:pPr>
              <w:pStyle w:val="Normal"/>
              <w:spacing w:before="0" w:after="40"/>
              <w:rPr/>
            </w:pPr>
            <w:r>
              <w:rPr>
                <w:rFonts w:eastAsia="Arial" w:cs="Arial"/>
                <w:b w:val="false"/>
                <w:bCs w:val="false"/>
                <w:color w:val="6C7A8D"/>
                <w:sz w:val="16"/>
                <w:szCs w:val="16"/>
              </w:rPr>
              <w:t>11</w:t>
            </w:r>
          </w:p>
          <w:p>
            <w:pPr>
              <w:pStyle w:val="Normal"/>
              <w:spacing w:before="0" w:after="60"/>
              <w:rPr/>
            </w:pPr>
            <w:r>
              <w:rPr>
                <w:rFonts w:eastAsia="Arial" w:cs="Arial"/>
                <w:b/>
                <w:bCs/>
                <w:color w:val="1B3A6B"/>
                <w:sz w:val="20"/>
                <w:szCs w:val="20"/>
              </w:rPr>
              <w:t>Provider Scorecard</w:t>
            </w:r>
          </w:p>
          <w:p>
            <w:pPr>
              <w:pStyle w:val="Normal"/>
              <w:spacing w:before="0" w:after="0"/>
              <w:rPr/>
            </w:pPr>
            <w:r>
              <w:rPr>
                <w:rFonts w:eastAsia="Arial" w:cs="Arial"/>
                <w:b w:val="false"/>
                <w:bCs w:val="false"/>
                <w:color w:val="0D6E6E"/>
                <w:sz w:val="15"/>
                <w:szCs w:val="15"/>
              </w:rPr>
              <w:t>CLINICAL DECISION SUPPORT</w:t>
            </w:r>
          </w:p>
        </w:tc>
        <w:tc>
          <w:tcPr>
            <w:tcW w:w="6659" w:type="dxa"/>
            <w:tcBorders>
              <w:top w:val="single" w:sz="2" w:space="0" w:color="D0DDE8"/>
              <w:left w:val="single" w:sz="2" w:space="0" w:color="D0DDE8"/>
              <w:bottom w:val="single" w:sz="2" w:space="0" w:color="D0DDE8"/>
              <w:right w:val="single" w:sz="2" w:space="0" w:color="D0DDE8"/>
            </w:tcBorders>
            <w:shd w:fill="FFFFFF" w:val="clear"/>
            <w:tcMar>
              <w:left w:w="200" w:type="dxa"/>
            </w:tcMar>
          </w:tcPr>
          <w:p>
            <w:pPr>
              <w:pStyle w:val="Normal"/>
              <w:spacing w:before="0" w:after="60"/>
              <w:rPr/>
            </w:pPr>
            <w:r>
              <w:rPr>
                <w:rFonts w:eastAsia="Arial" w:cs="Arial"/>
                <w:b/>
                <w:bCs/>
                <w:color w:val="1A2B3C"/>
                <w:sz w:val="19"/>
                <w:szCs w:val="19"/>
              </w:rPr>
              <w:t>Per-provider performance metrics benchmarked against department targets</w:t>
            </w:r>
          </w:p>
          <w:p>
            <w:pPr>
              <w:pStyle w:val="Normal"/>
              <w:spacing w:before="0" w:after="80"/>
              <w:rPr/>
            </w:pPr>
            <w:r>
              <w:rPr>
                <w:rFonts w:eastAsia="Arial" w:cs="Arial"/>
                <w:color w:val="6C7A8D"/>
                <w:sz w:val="18"/>
                <w:szCs w:val="18"/>
              </w:rPr>
              <w:t>Aggregates episode-level data by provider to compute door-to-room, door-to-provider, LWBS rates, observation conversion rates, and ESI acuity distribution. Rendered with Canvas sparklines and color-coded against configurable benchmarks.</w:t>
            </w:r>
          </w:p>
          <w:p>
            <w:pPr>
              <w:pStyle w:val="Normal"/>
              <w:spacing w:before="0" w:after="50"/>
              <w:rPr/>
            </w:pPr>
            <w:r>
              <w:rPr>
                <w:rFonts w:eastAsia="Arial" w:cs="Arial"/>
                <w:color w:val="1A2B3C"/>
                <w:sz w:val="18"/>
                <w:szCs w:val="18"/>
              </w:rPr>
              <w:t xml:space="preserve">•  </w:t>
            </w:r>
            <w:r>
              <w:rPr>
                <w:rFonts w:eastAsia="Arial" w:cs="Arial"/>
                <w:color w:val="1A2B3C"/>
                <w:sz w:val="18"/>
                <w:szCs w:val="18"/>
              </w:rPr>
              <w:t>Medical director reviews Scorecard monthly to identify outlier door-to-provider times</w:t>
            </w:r>
          </w:p>
          <w:p>
            <w:pPr>
              <w:pStyle w:val="Normal"/>
              <w:spacing w:before="0" w:after="50"/>
              <w:rPr/>
            </w:pPr>
            <w:r>
              <w:rPr>
                <w:rFonts w:eastAsia="Arial" w:cs="Arial"/>
                <w:color w:val="1A2B3C"/>
                <w:sz w:val="18"/>
                <w:szCs w:val="18"/>
              </w:rPr>
              <w:t xml:space="preserve">•  </w:t>
            </w:r>
            <w:r>
              <w:rPr>
                <w:rFonts w:eastAsia="Arial" w:cs="Arial"/>
                <w:color w:val="1A2B3C"/>
                <w:sz w:val="18"/>
                <w:szCs w:val="18"/>
              </w:rPr>
              <w:t>LWBS rate per provider surfaces whether patients are leaving before a specific provider sees them</w:t>
            </w:r>
          </w:p>
          <w:p>
            <w:pPr>
              <w:pStyle w:val="Normal"/>
              <w:spacing w:before="0" w:after="50"/>
              <w:rPr/>
            </w:pPr>
            <w:r>
              <w:rPr>
                <w:rFonts w:eastAsia="Arial" w:cs="Arial"/>
                <w:color w:val="1A2B3C"/>
                <w:sz w:val="18"/>
                <w:szCs w:val="18"/>
              </w:rPr>
              <w:t xml:space="preserve">•  </w:t>
            </w:r>
            <w:r>
              <w:rPr>
                <w:rFonts w:eastAsia="Arial" w:cs="Arial"/>
                <w:color w:val="1A2B3C"/>
                <w:sz w:val="18"/>
                <w:szCs w:val="18"/>
              </w:rPr>
              <w:t>Observation conversion rate identifies providers admitting to observation unnecessarily</w:t>
            </w:r>
          </w:p>
          <w:p>
            <w:pPr>
              <w:pStyle w:val="Normal"/>
              <w:spacing w:before="0" w:after="50"/>
              <w:rPr/>
            </w:pPr>
            <w:r>
              <w:rPr>
                <w:rFonts w:eastAsia="Arial" w:cs="Arial"/>
                <w:color w:val="1A2B3C"/>
                <w:sz w:val="18"/>
                <w:szCs w:val="18"/>
              </w:rPr>
              <w:t xml:space="preserve">•  </w:t>
            </w:r>
            <w:r>
              <w:rPr>
                <w:rFonts w:eastAsia="Arial" w:cs="Arial"/>
                <w:color w:val="1A2B3C"/>
                <w:sz w:val="18"/>
                <w:szCs w:val="18"/>
              </w:rPr>
              <w:t>All metrics configurable per facility — targets can be adjusted to match regulatory requirements</w:t>
            </w:r>
          </w:p>
        </w:tc>
      </w:tr>
    </w:tbl>
    <w:p>
      <w:pPr>
        <w:pStyle w:val="Normal"/>
        <w:spacing w:before="0" w:after="30"/>
        <w:rPr/>
      </w:pPr>
      <w:r>
        <w:rPr/>
      </w:r>
    </w:p>
    <w:tbl>
      <w:tblPr>
        <w:tblW w:w="9360" w:type="dxa"/>
        <w:jc w:val="left"/>
        <w:tblInd w:w="0" w:type="dxa"/>
        <w:tblLayout w:type="fixed"/>
        <w:tblCellMar>
          <w:top w:w="120" w:type="dxa"/>
          <w:left w:w="180" w:type="dxa"/>
          <w:bottom w:w="120" w:type="dxa"/>
          <w:right w:w="180" w:type="dxa"/>
        </w:tblCellMar>
      </w:tblPr>
      <w:tblGrid>
        <w:gridCol w:w="2700"/>
        <w:gridCol w:w="6659"/>
      </w:tblGrid>
      <w:tr>
        <w:trPr/>
        <w:tc>
          <w:tcPr>
            <w:tcW w:w="2700" w:type="dxa"/>
            <w:tcBorders>
              <w:top w:val="single" w:sz="2" w:space="0" w:color="D0DDE8"/>
              <w:left w:val="single" w:sz="2" w:space="0" w:color="D0DDE8"/>
              <w:bottom w:val="single" w:sz="2" w:space="0" w:color="D0DDE8"/>
              <w:right w:val="single" w:sz="2" w:space="0" w:color="D0DDE8"/>
            </w:tcBorders>
            <w:shd w:fill="F4F7FA" w:val="clear"/>
          </w:tcPr>
          <w:p>
            <w:pPr>
              <w:pStyle w:val="Normal"/>
              <w:spacing w:before="0" w:after="40"/>
              <w:rPr/>
            </w:pPr>
            <w:r>
              <w:rPr>
                <w:rFonts w:eastAsia="Arial" w:cs="Arial"/>
                <w:b w:val="false"/>
                <w:bCs w:val="false"/>
                <w:color w:val="6C7A8D"/>
                <w:sz w:val="16"/>
                <w:szCs w:val="16"/>
              </w:rPr>
              <w:t>12</w:t>
            </w:r>
          </w:p>
          <w:p>
            <w:pPr>
              <w:pStyle w:val="Normal"/>
              <w:spacing w:before="0" w:after="60"/>
              <w:rPr/>
            </w:pPr>
            <w:r>
              <w:rPr>
                <w:rFonts w:eastAsia="Arial" w:cs="Arial"/>
                <w:b/>
                <w:bCs/>
                <w:color w:val="1B3A6B"/>
                <w:sz w:val="20"/>
                <w:szCs w:val="20"/>
              </w:rPr>
              <w:t>Timeline</w:t>
            </w:r>
          </w:p>
          <w:p>
            <w:pPr>
              <w:pStyle w:val="Normal"/>
              <w:spacing w:before="0" w:after="0"/>
              <w:rPr/>
            </w:pPr>
            <w:r>
              <w:rPr>
                <w:rFonts w:eastAsia="Arial" w:cs="Arial"/>
                <w:b w:val="false"/>
                <w:bCs w:val="false"/>
                <w:color w:val="0D6E6E"/>
                <w:sz w:val="15"/>
                <w:szCs w:val="15"/>
              </w:rPr>
              <w:t>CLINICAL DECISION SUPPORT</w:t>
            </w:r>
          </w:p>
        </w:tc>
        <w:tc>
          <w:tcPr>
            <w:tcW w:w="6659" w:type="dxa"/>
            <w:tcBorders>
              <w:top w:val="single" w:sz="2" w:space="0" w:color="D0DDE8"/>
              <w:left w:val="single" w:sz="2" w:space="0" w:color="D0DDE8"/>
              <w:bottom w:val="single" w:sz="2" w:space="0" w:color="D0DDE8"/>
              <w:right w:val="single" w:sz="2" w:space="0" w:color="D0DDE8"/>
            </w:tcBorders>
            <w:shd w:fill="FFFFFF" w:val="clear"/>
            <w:tcMar>
              <w:left w:w="200" w:type="dxa"/>
            </w:tcMar>
          </w:tcPr>
          <w:p>
            <w:pPr>
              <w:pStyle w:val="Normal"/>
              <w:spacing w:before="0" w:after="60"/>
              <w:rPr/>
            </w:pPr>
            <w:r>
              <w:rPr>
                <w:rFonts w:eastAsia="Arial" w:cs="Arial"/>
                <w:b/>
                <w:bCs/>
                <w:color w:val="1A2B3C"/>
                <w:sz w:val="19"/>
                <w:szCs w:val="19"/>
              </w:rPr>
              <w:t>Chronological per-episode event timeline with status and MAR history</w:t>
            </w:r>
          </w:p>
          <w:p>
            <w:pPr>
              <w:pStyle w:val="Normal"/>
              <w:spacing w:before="0" w:after="80"/>
              <w:rPr/>
            </w:pPr>
            <w:r>
              <w:rPr>
                <w:rFonts w:eastAsia="Arial" w:cs="Arial"/>
                <w:color w:val="6C7A8D"/>
                <w:sz w:val="18"/>
                <w:szCs w:val="18"/>
              </w:rPr>
              <w:t>Renders the complete history of an episode as a chronological timeline: arrivals, status changes, location moves, vitals, task completions, and medication administrations. Used for review, QI, and disputed-care investigations.</w:t>
            </w:r>
          </w:p>
          <w:p>
            <w:pPr>
              <w:pStyle w:val="Normal"/>
              <w:spacing w:before="0" w:after="50"/>
              <w:rPr/>
            </w:pPr>
            <w:r>
              <w:rPr>
                <w:rFonts w:eastAsia="Arial" w:cs="Arial"/>
                <w:color w:val="1A2B3C"/>
                <w:sz w:val="18"/>
                <w:szCs w:val="18"/>
              </w:rPr>
              <w:t xml:space="preserve">•  </w:t>
            </w:r>
            <w:r>
              <w:rPr>
                <w:rFonts w:eastAsia="Arial" w:cs="Arial"/>
                <w:color w:val="1A2B3C"/>
                <w:sz w:val="18"/>
                <w:szCs w:val="18"/>
              </w:rPr>
              <w:t>Quality officer pulls Timeline to reconstruct a sepsis case from arrival through ICU transfer</w:t>
            </w:r>
          </w:p>
          <w:p>
            <w:pPr>
              <w:pStyle w:val="Normal"/>
              <w:spacing w:before="0" w:after="50"/>
              <w:rPr/>
            </w:pPr>
            <w:r>
              <w:rPr>
                <w:rFonts w:eastAsia="Arial" w:cs="Arial"/>
                <w:color w:val="1A2B3C"/>
                <w:sz w:val="18"/>
                <w:szCs w:val="18"/>
              </w:rPr>
              <w:t xml:space="preserve">•  </w:t>
            </w:r>
            <w:r>
              <w:rPr>
                <w:rFonts w:eastAsia="Arial" w:cs="Arial"/>
                <w:color w:val="1A2B3C"/>
                <w:sz w:val="18"/>
                <w:szCs w:val="18"/>
              </w:rPr>
              <w:t>Malpractice review: exact timestamps for every status change and medication administration</w:t>
            </w:r>
          </w:p>
          <w:p>
            <w:pPr>
              <w:pStyle w:val="Normal"/>
              <w:spacing w:before="0" w:after="50"/>
              <w:rPr/>
            </w:pPr>
            <w:r>
              <w:rPr>
                <w:rFonts w:eastAsia="Arial" w:cs="Arial"/>
                <w:color w:val="1A2B3C"/>
                <w:sz w:val="18"/>
                <w:szCs w:val="18"/>
              </w:rPr>
              <w:t xml:space="preserve">•  </w:t>
            </w:r>
            <w:r>
              <w:rPr>
                <w:rFonts w:eastAsia="Arial" w:cs="Arial"/>
                <w:color w:val="1A2B3C"/>
                <w:sz w:val="18"/>
                <w:szCs w:val="18"/>
              </w:rPr>
              <w:t>Clinical educator uses Timeline to review resident performance on time-sensitive cases</w:t>
            </w:r>
          </w:p>
          <w:p>
            <w:pPr>
              <w:pStyle w:val="Normal"/>
              <w:spacing w:before="0" w:after="50"/>
              <w:rPr/>
            </w:pPr>
            <w:r>
              <w:rPr>
                <w:rFonts w:eastAsia="Arial" w:cs="Arial"/>
                <w:color w:val="1A2B3C"/>
                <w:sz w:val="18"/>
                <w:szCs w:val="18"/>
              </w:rPr>
              <w:t xml:space="preserve">•  </w:t>
            </w:r>
            <w:r>
              <w:rPr>
                <w:rFonts w:eastAsia="Arial" w:cs="Arial"/>
                <w:color w:val="1A2B3C"/>
                <w:sz w:val="18"/>
                <w:szCs w:val="18"/>
              </w:rPr>
              <w:t>All events linked to the user who recorded them</w:t>
            </w:r>
          </w:p>
        </w:tc>
      </w:tr>
    </w:tbl>
    <w:p>
      <w:pPr>
        <w:pStyle w:val="Normal"/>
        <w:spacing w:before="0" w:after="50"/>
        <w:rPr/>
      </w:pPr>
      <w:r>
        <w:rPr/>
      </w:r>
    </w:p>
    <w:p>
      <w:pPr>
        <w:pStyle w:val="Normal"/>
        <w:rPr/>
      </w:pPr>
      <w:r>
        <w:rPr/>
      </w:r>
      <w:r>
        <w:br w:type="page"/>
      </w:r>
    </w:p>
    <w:tbl>
      <w:tblPr>
        <w:tblW w:w="9360" w:type="dxa"/>
        <w:jc w:val="left"/>
        <w:tblInd w:w="0" w:type="dxa"/>
        <w:tblLayout w:type="fixed"/>
        <w:tblCellMar>
          <w:top w:w="160" w:type="dxa"/>
          <w:left w:w="260" w:type="dxa"/>
          <w:bottom w:w="160" w:type="dxa"/>
          <w:right w:w="260" w:type="dxa"/>
        </w:tblCellMar>
      </w:tblPr>
      <w:tblGrid>
        <w:gridCol w:w="9360"/>
      </w:tblGrid>
      <w:tr>
        <w:trPr/>
        <w:tc>
          <w:tcPr>
            <w:tcW w:w="9360" w:type="dxa"/>
            <w:tcBorders/>
            <w:shd w:fill="1B3A6B" w:val="clear"/>
          </w:tcPr>
          <w:p>
            <w:pPr>
              <w:pStyle w:val="Normal"/>
              <w:pageBreakBefore/>
              <w:spacing w:before="0" w:after="30"/>
              <w:rPr/>
            </w:pPr>
            <w:r>
              <w:rPr>
                <w:rFonts w:eastAsia="Arial" w:cs="Arial"/>
                <w:b/>
                <w:bCs/>
                <w:color w:val="FFFFFF"/>
                <w:sz w:val="22"/>
                <w:szCs w:val="22"/>
              </w:rPr>
              <w:t>GROUP C  —  Medication Management</w:t>
            </w:r>
          </w:p>
          <w:p>
            <w:pPr>
              <w:pStyle w:val="Normal"/>
              <w:spacing w:before="0" w:after="0"/>
              <w:rPr/>
            </w:pPr>
            <w:r>
              <w:rPr>
                <w:rFonts w:eastAsia="Arial" w:cs="Arial"/>
                <w:color w:val="A8C4D0"/>
                <w:sz w:val="17"/>
                <w:szCs w:val="17"/>
              </w:rPr>
              <w:t>MAR orders, administration records, and high-alert safety</w:t>
            </w:r>
          </w:p>
        </w:tc>
      </w:tr>
    </w:tbl>
    <w:p>
      <w:pPr>
        <w:pStyle w:val="Normal"/>
        <w:spacing w:before="0" w:after="40"/>
        <w:rPr/>
      </w:pPr>
      <w:r>
        <w:rPr/>
      </w:r>
    </w:p>
    <w:tbl>
      <w:tblPr>
        <w:tblW w:w="9360" w:type="dxa"/>
        <w:jc w:val="left"/>
        <w:tblInd w:w="0" w:type="dxa"/>
        <w:tblLayout w:type="fixed"/>
        <w:tblCellMar>
          <w:top w:w="120" w:type="dxa"/>
          <w:left w:w="180" w:type="dxa"/>
          <w:bottom w:w="120" w:type="dxa"/>
          <w:right w:w="180" w:type="dxa"/>
        </w:tblCellMar>
      </w:tblPr>
      <w:tblGrid>
        <w:gridCol w:w="2700"/>
        <w:gridCol w:w="6659"/>
      </w:tblGrid>
      <w:tr>
        <w:trPr/>
        <w:tc>
          <w:tcPr>
            <w:tcW w:w="2700" w:type="dxa"/>
            <w:tcBorders>
              <w:top w:val="single" w:sz="2" w:space="0" w:color="D0DDE8"/>
              <w:left w:val="single" w:sz="2" w:space="0" w:color="D0DDE8"/>
              <w:bottom w:val="single" w:sz="2" w:space="0" w:color="D0DDE8"/>
              <w:right w:val="single" w:sz="2" w:space="0" w:color="D0DDE8"/>
            </w:tcBorders>
            <w:shd w:fill="F4F7FA" w:val="clear"/>
          </w:tcPr>
          <w:p>
            <w:pPr>
              <w:pStyle w:val="Normal"/>
              <w:spacing w:before="0" w:after="40"/>
              <w:rPr/>
            </w:pPr>
            <w:r>
              <w:rPr>
                <w:rFonts w:eastAsia="Arial" w:cs="Arial"/>
                <w:b w:val="false"/>
                <w:bCs w:val="false"/>
                <w:color w:val="6C7A8D"/>
                <w:sz w:val="16"/>
                <w:szCs w:val="16"/>
              </w:rPr>
              <w:t>13</w:t>
            </w:r>
          </w:p>
          <w:p>
            <w:pPr>
              <w:pStyle w:val="Normal"/>
              <w:spacing w:before="0" w:after="60"/>
              <w:rPr/>
            </w:pPr>
            <w:r>
              <w:rPr>
                <w:rFonts w:eastAsia="Arial" w:cs="Arial"/>
                <w:b/>
                <w:bCs/>
                <w:color w:val="1B3A6B"/>
                <w:sz w:val="20"/>
                <w:szCs w:val="20"/>
              </w:rPr>
              <w:t>MAR — Medication Administration Record</w:t>
            </w:r>
          </w:p>
          <w:p>
            <w:pPr>
              <w:pStyle w:val="Normal"/>
              <w:spacing w:before="0" w:after="0"/>
              <w:rPr/>
            </w:pPr>
            <w:r>
              <w:rPr>
                <w:rFonts w:eastAsia="Arial" w:cs="Arial"/>
                <w:b w:val="false"/>
                <w:bCs w:val="false"/>
                <w:color w:val="0D6E6E"/>
                <w:sz w:val="15"/>
                <w:szCs w:val="15"/>
              </w:rPr>
              <w:t>MEDICATION MANAGEMENT</w:t>
            </w:r>
          </w:p>
        </w:tc>
        <w:tc>
          <w:tcPr>
            <w:tcW w:w="6659" w:type="dxa"/>
            <w:tcBorders>
              <w:top w:val="single" w:sz="2" w:space="0" w:color="D0DDE8"/>
              <w:left w:val="single" w:sz="2" w:space="0" w:color="D0DDE8"/>
              <w:bottom w:val="single" w:sz="2" w:space="0" w:color="D0DDE8"/>
              <w:right w:val="single" w:sz="2" w:space="0" w:color="D0DDE8"/>
            </w:tcBorders>
            <w:shd w:fill="FFFFFF" w:val="clear"/>
            <w:tcMar>
              <w:left w:w="200" w:type="dxa"/>
            </w:tcMar>
          </w:tcPr>
          <w:p>
            <w:pPr>
              <w:pStyle w:val="Normal"/>
              <w:spacing w:before="0" w:after="60"/>
              <w:rPr/>
            </w:pPr>
            <w:r>
              <w:rPr>
                <w:rFonts w:eastAsia="Arial" w:cs="Arial"/>
                <w:b/>
                <w:bCs/>
                <w:color w:val="1A2B3C"/>
                <w:sz w:val="19"/>
                <w:szCs w:val="19"/>
              </w:rPr>
              <w:t>Full medication order and administration tracking with high-alert safety controls</w:t>
            </w:r>
          </w:p>
          <w:p>
            <w:pPr>
              <w:pStyle w:val="Normal"/>
              <w:spacing w:before="0" w:after="80"/>
              <w:rPr/>
            </w:pPr>
            <w:r>
              <w:rPr>
                <w:rFonts w:eastAsia="Arial" w:cs="Arial"/>
                <w:color w:val="6C7A8D"/>
                <w:sz w:val="18"/>
                <w:szCs w:val="18"/>
              </w:rPr>
              <w:t>Manages the complete medication lifecycle for each episode: provider orders, scheduled administrations, PRN medications, administration records, dose documentation, structured hold reasons, lot number capture, and high-alert medication flagging with mandatory safety checks.</w:t>
            </w:r>
          </w:p>
          <w:p>
            <w:pPr>
              <w:pStyle w:val="Normal"/>
              <w:spacing w:before="0" w:after="50"/>
              <w:rPr/>
            </w:pPr>
            <w:r>
              <w:rPr>
                <w:rFonts w:eastAsia="Arial" w:cs="Arial"/>
                <w:color w:val="1A2B3C"/>
                <w:sz w:val="18"/>
                <w:szCs w:val="18"/>
              </w:rPr>
              <w:t xml:space="preserve">•  </w:t>
            </w:r>
            <w:r>
              <w:rPr>
                <w:rFonts w:eastAsia="Arial" w:cs="Arial"/>
                <w:color w:val="1A2B3C"/>
                <w:sz w:val="18"/>
                <w:szCs w:val="18"/>
              </w:rPr>
              <w:t>Provider orders Vancomycin — MAR creates scheduled administration windows; Extend Window adds more 8–72h slots for continuing orders without re-entering the drug</w:t>
            </w:r>
          </w:p>
          <w:p>
            <w:pPr>
              <w:pStyle w:val="Normal"/>
              <w:spacing w:before="0" w:after="50"/>
              <w:rPr/>
            </w:pPr>
            <w:r>
              <w:rPr>
                <w:rFonts w:eastAsia="Arial" w:cs="Arial"/>
                <w:color w:val="1A2B3C"/>
                <w:sz w:val="18"/>
                <w:szCs w:val="18"/>
              </w:rPr>
              <w:t xml:space="preserve">•  </w:t>
            </w:r>
            <w:r>
              <w:rPr>
                <w:rFonts w:eastAsia="Arial" w:cs="Arial"/>
                <w:color w:val="1A2B3C"/>
                <w:sz w:val="18"/>
                <w:szCs w:val="18"/>
              </w:rPr>
              <w:t>High-alert medications (heparin, norepinephrine, TXA, insulin) require confirmed weight-based dosing</w:t>
            </w:r>
          </w:p>
          <w:p>
            <w:pPr>
              <w:pStyle w:val="Normal"/>
              <w:spacing w:before="0" w:after="50"/>
              <w:rPr/>
            </w:pPr>
            <w:r>
              <w:rPr>
                <w:rFonts w:eastAsia="Arial" w:cs="Arial"/>
                <w:color w:val="1A2B3C"/>
                <w:sz w:val="18"/>
                <w:szCs w:val="18"/>
              </w:rPr>
              <w:t xml:space="preserve">•  </w:t>
            </w:r>
            <w:r>
              <w:rPr>
                <w:rFonts w:eastAsia="Arial" w:cs="Arial"/>
                <w:color w:val="1A2B3C"/>
                <w:sz w:val="18"/>
                <w:szCs w:val="18"/>
              </w:rPr>
              <w:t>MAR_OVERDUE alert fires on the Alerts Dashboard when a high-alert dose window passes</w:t>
            </w:r>
          </w:p>
          <w:p>
            <w:pPr>
              <w:pStyle w:val="Normal"/>
              <w:spacing w:before="0" w:after="50"/>
              <w:rPr/>
            </w:pPr>
            <w:r>
              <w:rPr>
                <w:rFonts w:eastAsia="Arial" w:cs="Arial"/>
                <w:color w:val="1A2B3C"/>
                <w:sz w:val="18"/>
                <w:szCs w:val="18"/>
              </w:rPr>
              <w:t xml:space="preserve">•  </w:t>
            </w:r>
            <w:r>
              <w:rPr>
                <w:rFonts w:eastAsia="Arial" w:cs="Arial"/>
                <w:color w:val="1A2B3C"/>
                <w:sz w:val="18"/>
                <w:szCs w:val="18"/>
              </w:rPr>
              <w:t>Administration record captures nurse-supplied timestamp, dose given, route, injection site, lot number, structured hold reason (NPO / HR low / lab pending / etc.), outcome, and administering nurse name resolved from the user table</w:t>
            </w:r>
          </w:p>
          <w:p>
            <w:pPr>
              <w:pStyle w:val="Normal"/>
              <w:spacing w:before="0" w:after="50"/>
              <w:rPr/>
            </w:pPr>
            <w:r>
              <w:rPr>
                <w:rFonts w:eastAsia="Arial" w:cs="Arial"/>
                <w:color w:val="1A2B3C"/>
                <w:sz w:val="18"/>
                <w:szCs w:val="18"/>
              </w:rPr>
              <w:t xml:space="preserve">•  </w:t>
            </w:r>
            <w:r>
              <w:rPr>
                <w:rFonts w:eastAsia="Arial" w:cs="Arial"/>
                <w:color w:val="1A2B3C"/>
                <w:sz w:val="18"/>
                <w:szCs w:val="18"/>
              </w:rPr>
              <w:t>Active MAR orders auto-populate the E-Referral medications summary on DRAFT creation</w:t>
            </w:r>
          </w:p>
          <w:p>
            <w:pPr>
              <w:pStyle w:val="Normal"/>
              <w:spacing w:before="0" w:after="50"/>
              <w:rPr/>
            </w:pPr>
            <w:r>
              <w:rPr>
                <w:rFonts w:eastAsia="Arial" w:cs="Arial"/>
                <w:color w:val="1A2B3C"/>
                <w:sz w:val="18"/>
                <w:szCs w:val="18"/>
              </w:rPr>
              <w:t xml:space="preserve">•  </w:t>
            </w:r>
            <w:r>
              <w:rPr>
                <w:rFonts w:eastAsia="Arial" w:cs="Arial"/>
                <w:color w:val="1A2B3C"/>
                <w:sz w:val="18"/>
                <w:szCs w:val="18"/>
              </w:rPr>
              <w:t>Downtime Mode caches active MAR for offline viewing and offline vitals/dose queuing</w:t>
            </w:r>
          </w:p>
          <w:p>
            <w:pPr>
              <w:pStyle w:val="Normal"/>
              <w:spacing w:before="0" w:after="50"/>
              <w:rPr/>
            </w:pPr>
            <w:r>
              <w:rPr>
                <w:rFonts w:eastAsia="Arial" w:cs="Arial"/>
                <w:color w:val="1A2B3C"/>
                <w:sz w:val="18"/>
                <w:szCs w:val="18"/>
              </w:rPr>
              <w:t xml:space="preserve">•  </w:t>
            </w:r>
            <w:r>
              <w:rPr>
                <w:rFonts w:eastAsia="Arial" w:cs="Arial"/>
                <w:color w:val="1A2B3C"/>
                <w:sz w:val="18"/>
                <w:szCs w:val="18"/>
              </w:rPr>
              <w:t>Amend workflow allows correction of a completed administration with a timestamped audit note preserving the original entry — meets legal documentation standards</w:t>
            </w:r>
          </w:p>
          <w:p>
            <w:pPr>
              <w:pStyle w:val="Normal"/>
              <w:spacing w:before="0" w:after="50"/>
              <w:rPr/>
            </w:pPr>
            <w:r>
              <w:rPr>
                <w:rFonts w:eastAsia="Arial" w:cs="Arial"/>
                <w:color w:val="1A2B3C"/>
                <w:sz w:val="18"/>
                <w:szCs w:val="18"/>
              </w:rPr>
              <w:t xml:space="preserve">•  </w:t>
            </w:r>
            <w:r>
              <w:rPr>
                <w:rFonts w:eastAsia="Arial" w:cs="Arial"/>
                <w:color w:val="1A2B3C"/>
                <w:sz w:val="18"/>
                <w:szCs w:val="18"/>
              </w:rPr>
              <w:t>Print MAR view generates a clean, print-optimised record of all orders and administrations for the paper chart on discharge</w:t>
            </w:r>
          </w:p>
        </w:tc>
      </w:tr>
    </w:tbl>
    <w:p>
      <w:pPr>
        <w:pStyle w:val="Normal"/>
        <w:spacing w:before="0" w:after="50"/>
        <w:rPr/>
      </w:pPr>
      <w:r>
        <w:rPr/>
      </w:r>
    </w:p>
    <w:tbl>
      <w:tblPr>
        <w:tblW w:w="9360" w:type="dxa"/>
        <w:jc w:val="left"/>
        <w:tblInd w:w="0" w:type="dxa"/>
        <w:tblLayout w:type="fixed"/>
        <w:tblCellMar>
          <w:top w:w="160" w:type="dxa"/>
          <w:left w:w="260" w:type="dxa"/>
          <w:bottom w:w="160" w:type="dxa"/>
          <w:right w:w="260" w:type="dxa"/>
        </w:tblCellMar>
      </w:tblPr>
      <w:tblGrid>
        <w:gridCol w:w="9360"/>
      </w:tblGrid>
      <w:tr>
        <w:trPr/>
        <w:tc>
          <w:tcPr>
            <w:tcW w:w="9360" w:type="dxa"/>
            <w:tcBorders/>
            <w:shd w:fill="1B3A6B" w:val="clear"/>
          </w:tcPr>
          <w:p>
            <w:pPr>
              <w:pStyle w:val="Normal"/>
              <w:spacing w:before="0" w:after="30"/>
              <w:rPr/>
            </w:pPr>
            <w:r>
              <w:rPr>
                <w:rFonts w:eastAsia="Arial" w:cs="Arial"/>
                <w:b/>
                <w:bCs/>
                <w:color w:val="FFFFFF"/>
                <w:sz w:val="22"/>
                <w:szCs w:val="22"/>
              </w:rPr>
              <w:t>GROUP D  —  Observation Stay Management</w:t>
            </w:r>
          </w:p>
          <w:p>
            <w:pPr>
              <w:pStyle w:val="Normal"/>
              <w:spacing w:before="0" w:after="0"/>
              <w:rPr/>
            </w:pPr>
            <w:r>
              <w:rPr>
                <w:rFonts w:eastAsia="Arial" w:cs="Arial"/>
                <w:color w:val="A8C4D0"/>
                <w:sz w:val="17"/>
                <w:szCs w:val="17"/>
              </w:rPr>
              <w:t>CMS 2-midnight rule, billing compliance, and OBS workflow</w:t>
            </w:r>
          </w:p>
        </w:tc>
      </w:tr>
    </w:tbl>
    <w:p>
      <w:pPr>
        <w:pStyle w:val="Normal"/>
        <w:spacing w:before="0" w:after="40"/>
        <w:rPr/>
      </w:pPr>
      <w:r>
        <w:rPr/>
      </w:r>
    </w:p>
    <w:tbl>
      <w:tblPr>
        <w:tblW w:w="9360" w:type="dxa"/>
        <w:jc w:val="left"/>
        <w:tblInd w:w="0" w:type="dxa"/>
        <w:tblLayout w:type="fixed"/>
        <w:tblCellMar>
          <w:top w:w="120" w:type="dxa"/>
          <w:left w:w="180" w:type="dxa"/>
          <w:bottom w:w="120" w:type="dxa"/>
          <w:right w:w="180" w:type="dxa"/>
        </w:tblCellMar>
      </w:tblPr>
      <w:tblGrid>
        <w:gridCol w:w="2700"/>
        <w:gridCol w:w="6659"/>
      </w:tblGrid>
      <w:tr>
        <w:trPr/>
        <w:tc>
          <w:tcPr>
            <w:tcW w:w="2700" w:type="dxa"/>
            <w:tcBorders>
              <w:top w:val="single" w:sz="2" w:space="0" w:color="D0DDE8"/>
              <w:left w:val="single" w:sz="2" w:space="0" w:color="D0DDE8"/>
              <w:bottom w:val="single" w:sz="2" w:space="0" w:color="D0DDE8"/>
              <w:right w:val="single" w:sz="2" w:space="0" w:color="D0DDE8"/>
            </w:tcBorders>
            <w:shd w:fill="F4F7FA" w:val="clear"/>
          </w:tcPr>
          <w:p>
            <w:pPr>
              <w:pStyle w:val="Normal"/>
              <w:spacing w:before="0" w:after="40"/>
              <w:rPr/>
            </w:pPr>
            <w:r>
              <w:rPr>
                <w:rFonts w:eastAsia="Arial" w:cs="Arial"/>
                <w:b w:val="false"/>
                <w:bCs w:val="false"/>
                <w:color w:val="6C7A8D"/>
                <w:sz w:val="16"/>
                <w:szCs w:val="16"/>
              </w:rPr>
              <w:t>14</w:t>
            </w:r>
          </w:p>
          <w:p>
            <w:pPr>
              <w:pStyle w:val="Normal"/>
              <w:spacing w:before="0" w:after="60"/>
              <w:rPr/>
            </w:pPr>
            <w:r>
              <w:rPr>
                <w:rFonts w:eastAsia="Arial" w:cs="Arial"/>
                <w:b/>
                <w:bCs/>
                <w:color w:val="1B3A6B"/>
                <w:sz w:val="20"/>
                <w:szCs w:val="20"/>
              </w:rPr>
              <w:t>OBS Stay</w:t>
            </w:r>
          </w:p>
          <w:p>
            <w:pPr>
              <w:pStyle w:val="Normal"/>
              <w:spacing w:before="0" w:after="0"/>
              <w:rPr/>
            </w:pPr>
            <w:r>
              <w:rPr>
                <w:rFonts w:eastAsia="Arial" w:cs="Arial"/>
                <w:b w:val="false"/>
                <w:bCs w:val="false"/>
                <w:color w:val="0D6E6E"/>
                <w:sz w:val="15"/>
                <w:szCs w:val="15"/>
              </w:rPr>
              <w:t>OBSERVATION STAY</w:t>
            </w:r>
          </w:p>
        </w:tc>
        <w:tc>
          <w:tcPr>
            <w:tcW w:w="6659" w:type="dxa"/>
            <w:tcBorders>
              <w:top w:val="single" w:sz="2" w:space="0" w:color="D0DDE8"/>
              <w:left w:val="single" w:sz="2" w:space="0" w:color="D0DDE8"/>
              <w:bottom w:val="single" w:sz="2" w:space="0" w:color="D0DDE8"/>
              <w:right w:val="single" w:sz="2" w:space="0" w:color="D0DDE8"/>
            </w:tcBorders>
            <w:shd w:fill="FFFFFF" w:val="clear"/>
            <w:tcMar>
              <w:left w:w="200" w:type="dxa"/>
            </w:tcMar>
          </w:tcPr>
          <w:p>
            <w:pPr>
              <w:pStyle w:val="Normal"/>
              <w:spacing w:before="0" w:after="60"/>
              <w:rPr/>
            </w:pPr>
            <w:r>
              <w:rPr>
                <w:rFonts w:eastAsia="Arial" w:cs="Arial"/>
                <w:b/>
                <w:bCs/>
                <w:color w:val="1A2B3C"/>
                <w:sz w:val="19"/>
                <w:szCs w:val="19"/>
              </w:rPr>
              <w:t>Complete observation status management with 24-hour runway tracking</w:t>
            </w:r>
          </w:p>
          <w:p>
            <w:pPr>
              <w:pStyle w:val="Normal"/>
              <w:spacing w:before="0" w:after="80"/>
              <w:rPr/>
            </w:pPr>
            <w:r>
              <w:rPr>
                <w:rFonts w:eastAsia="Arial" w:cs="Arial"/>
                <w:color w:val="6C7A8D"/>
                <w:sz w:val="18"/>
                <w:szCs w:val="18"/>
              </w:rPr>
              <w:t>Manages the clinical and administrative aspects of an observation stay: status activation, protocol assignment, milestone tracking, re-triage documentation, and discharge planning. The central hub for observation patients.</w:t>
            </w:r>
          </w:p>
          <w:p>
            <w:pPr>
              <w:pStyle w:val="Normal"/>
              <w:spacing w:before="0" w:after="50"/>
              <w:rPr/>
            </w:pPr>
            <w:r>
              <w:rPr>
                <w:rFonts w:eastAsia="Arial" w:cs="Arial"/>
                <w:color w:val="1A2B3C"/>
                <w:sz w:val="18"/>
                <w:szCs w:val="18"/>
              </w:rPr>
              <w:t xml:space="preserve">•  </w:t>
            </w:r>
            <w:r>
              <w:rPr>
                <w:rFonts w:eastAsia="Arial" w:cs="Arial"/>
                <w:color w:val="1A2B3C"/>
                <w:sz w:val="18"/>
                <w:szCs w:val="18"/>
              </w:rPr>
              <w:t>Nurse activates OBS Start — 24-hour clock begins, runway calculated, protocol assigned</w:t>
            </w:r>
          </w:p>
          <w:p>
            <w:pPr>
              <w:pStyle w:val="Normal"/>
              <w:spacing w:before="0" w:after="50"/>
              <w:rPr/>
            </w:pPr>
            <w:r>
              <w:rPr>
                <w:rFonts w:eastAsia="Arial" w:cs="Arial"/>
                <w:color w:val="1A2B3C"/>
                <w:sz w:val="18"/>
                <w:szCs w:val="18"/>
              </w:rPr>
              <w:t xml:space="preserve">•  </w:t>
            </w:r>
            <w:r>
              <w:rPr>
                <w:rFonts w:eastAsia="Arial" w:cs="Arial"/>
                <w:color w:val="1A2B3C"/>
                <w:sz w:val="18"/>
                <w:szCs w:val="18"/>
              </w:rPr>
              <w:t>Observation stay dashboard shows time elapsed, protocol milestones, and tasks in a single view</w:t>
            </w:r>
          </w:p>
          <w:p>
            <w:pPr>
              <w:pStyle w:val="Normal"/>
              <w:spacing w:before="0" w:after="50"/>
              <w:rPr/>
            </w:pPr>
            <w:r>
              <w:rPr>
                <w:rFonts w:eastAsia="Arial" w:cs="Arial"/>
                <w:color w:val="1A2B3C"/>
                <w:sz w:val="18"/>
                <w:szCs w:val="18"/>
              </w:rPr>
              <w:t xml:space="preserve">•  </w:t>
            </w:r>
            <w:r>
              <w:rPr>
                <w:rFonts w:eastAsia="Arial" w:cs="Arial"/>
                <w:color w:val="1A2B3C"/>
                <w:sz w:val="18"/>
                <w:szCs w:val="18"/>
              </w:rPr>
              <w:t>OBS_RUNWAY alert fires 4 hours before the 24-hour CMS boundary</w:t>
            </w:r>
          </w:p>
          <w:p>
            <w:pPr>
              <w:pStyle w:val="Normal"/>
              <w:spacing w:before="0" w:after="50"/>
              <w:rPr/>
            </w:pPr>
            <w:r>
              <w:rPr>
                <w:rFonts w:eastAsia="Arial" w:cs="Arial"/>
                <w:color w:val="1A2B3C"/>
                <w:sz w:val="18"/>
                <w:szCs w:val="18"/>
              </w:rPr>
              <w:t xml:space="preserve">•  </w:t>
            </w:r>
            <w:r>
              <w:rPr>
                <w:rFonts w:eastAsia="Arial" w:cs="Arial"/>
                <w:color w:val="1A2B3C"/>
                <w:sz w:val="18"/>
                <w:szCs w:val="18"/>
              </w:rPr>
              <w:t>Re-triage at 12 hours documents improving or worsening clinical status for billing support</w:t>
            </w:r>
          </w:p>
          <w:p>
            <w:pPr>
              <w:pStyle w:val="Normal"/>
              <w:spacing w:before="0" w:after="50"/>
              <w:rPr/>
            </w:pPr>
            <w:r>
              <w:rPr>
                <w:rFonts w:eastAsia="Arial" w:cs="Arial"/>
                <w:color w:val="1A2B3C"/>
                <w:sz w:val="18"/>
                <w:szCs w:val="18"/>
              </w:rPr>
              <w:t xml:space="preserve">•  </w:t>
            </w:r>
            <w:r>
              <w:rPr>
                <w:rFonts w:eastAsia="Arial" w:cs="Arial"/>
                <w:color w:val="1A2B3C"/>
                <w:sz w:val="18"/>
                <w:szCs w:val="18"/>
              </w:rPr>
              <w:t>Discharge decision linked to E-Referral for SNF, home health, or cardiology follow-up</w:t>
            </w:r>
          </w:p>
        </w:tc>
      </w:tr>
    </w:tbl>
    <w:p>
      <w:pPr>
        <w:pStyle w:val="Normal"/>
        <w:spacing w:before="0" w:after="30"/>
        <w:rPr/>
      </w:pPr>
      <w:r>
        <w:rPr/>
      </w:r>
    </w:p>
    <w:tbl>
      <w:tblPr>
        <w:tblW w:w="9360" w:type="dxa"/>
        <w:jc w:val="left"/>
        <w:tblInd w:w="0" w:type="dxa"/>
        <w:tblLayout w:type="fixed"/>
        <w:tblCellMar>
          <w:top w:w="120" w:type="dxa"/>
          <w:left w:w="180" w:type="dxa"/>
          <w:bottom w:w="120" w:type="dxa"/>
          <w:right w:w="180" w:type="dxa"/>
        </w:tblCellMar>
      </w:tblPr>
      <w:tblGrid>
        <w:gridCol w:w="2700"/>
        <w:gridCol w:w="6659"/>
      </w:tblGrid>
      <w:tr>
        <w:trPr/>
        <w:tc>
          <w:tcPr>
            <w:tcW w:w="2700" w:type="dxa"/>
            <w:tcBorders>
              <w:top w:val="single" w:sz="2" w:space="0" w:color="D0DDE8"/>
              <w:left w:val="single" w:sz="2" w:space="0" w:color="D0DDE8"/>
              <w:bottom w:val="single" w:sz="2" w:space="0" w:color="D0DDE8"/>
              <w:right w:val="single" w:sz="2" w:space="0" w:color="D0DDE8"/>
            </w:tcBorders>
            <w:shd w:fill="F4F7FA" w:val="clear"/>
          </w:tcPr>
          <w:p>
            <w:pPr>
              <w:pStyle w:val="Normal"/>
              <w:spacing w:before="0" w:after="40"/>
              <w:rPr/>
            </w:pPr>
            <w:r>
              <w:rPr>
                <w:rFonts w:eastAsia="Arial" w:cs="Arial"/>
                <w:b w:val="false"/>
                <w:bCs w:val="false"/>
                <w:color w:val="6C7A8D"/>
                <w:sz w:val="16"/>
                <w:szCs w:val="16"/>
              </w:rPr>
              <w:t>15</w:t>
            </w:r>
          </w:p>
          <w:p>
            <w:pPr>
              <w:pStyle w:val="Normal"/>
              <w:spacing w:before="0" w:after="60"/>
              <w:rPr/>
            </w:pPr>
            <w:r>
              <w:rPr>
                <w:rFonts w:eastAsia="Arial" w:cs="Arial"/>
                <w:b/>
                <w:bCs/>
                <w:color w:val="1B3A6B"/>
                <w:sz w:val="20"/>
                <w:szCs w:val="20"/>
              </w:rPr>
              <w:t>OBS Billing Flags</w:t>
            </w:r>
          </w:p>
          <w:p>
            <w:pPr>
              <w:pStyle w:val="Normal"/>
              <w:spacing w:before="0" w:after="0"/>
              <w:rPr/>
            </w:pPr>
            <w:r>
              <w:rPr>
                <w:rFonts w:eastAsia="Arial" w:cs="Arial"/>
                <w:b w:val="false"/>
                <w:bCs w:val="false"/>
                <w:color w:val="0D6E6E"/>
                <w:sz w:val="15"/>
                <w:szCs w:val="15"/>
              </w:rPr>
              <w:t>OBSERVATION STAY</w:t>
            </w:r>
          </w:p>
        </w:tc>
        <w:tc>
          <w:tcPr>
            <w:tcW w:w="6659" w:type="dxa"/>
            <w:tcBorders>
              <w:top w:val="single" w:sz="2" w:space="0" w:color="D0DDE8"/>
              <w:left w:val="single" w:sz="2" w:space="0" w:color="D0DDE8"/>
              <w:bottom w:val="single" w:sz="2" w:space="0" w:color="D0DDE8"/>
              <w:right w:val="single" w:sz="2" w:space="0" w:color="D0DDE8"/>
            </w:tcBorders>
            <w:shd w:fill="FFFFFF" w:val="clear"/>
            <w:tcMar>
              <w:left w:w="200" w:type="dxa"/>
            </w:tcMar>
          </w:tcPr>
          <w:p>
            <w:pPr>
              <w:pStyle w:val="Normal"/>
              <w:spacing w:before="0" w:after="60"/>
              <w:rPr/>
            </w:pPr>
            <w:r>
              <w:rPr>
                <w:rFonts w:eastAsia="Arial" w:cs="Arial"/>
                <w:b/>
                <w:bCs/>
                <w:color w:val="1A2B3C"/>
                <w:sz w:val="19"/>
                <w:szCs w:val="19"/>
              </w:rPr>
              <w:t>CMS 2-midnight rule compliance monitoring and inpatient conversion tracking</w:t>
            </w:r>
          </w:p>
          <w:p>
            <w:pPr>
              <w:pStyle w:val="Normal"/>
              <w:spacing w:before="0" w:after="80"/>
              <w:rPr/>
            </w:pPr>
            <w:r>
              <w:rPr>
                <w:rFonts w:eastAsia="Arial" w:cs="Arial"/>
                <w:color w:val="6C7A8D"/>
                <w:sz w:val="18"/>
                <w:szCs w:val="18"/>
              </w:rPr>
              <w:t>Monitors each observation episode against the CMS 2-midnight rule: flags patients approaching the boundary, tracks medical necessity documentation, and surfaces potential inpatient conversion candidates to case managers.</w:t>
            </w:r>
          </w:p>
          <w:p>
            <w:pPr>
              <w:pStyle w:val="Normal"/>
              <w:spacing w:before="0" w:after="50"/>
              <w:rPr/>
            </w:pPr>
            <w:r>
              <w:rPr>
                <w:rFonts w:eastAsia="Arial" w:cs="Arial"/>
                <w:color w:val="1A2B3C"/>
                <w:sz w:val="18"/>
                <w:szCs w:val="18"/>
              </w:rPr>
              <w:t xml:space="preserve">•  </w:t>
            </w:r>
            <w:r>
              <w:rPr>
                <w:rFonts w:eastAsia="Arial" w:cs="Arial"/>
                <w:color w:val="1A2B3C"/>
                <w:sz w:val="18"/>
                <w:szCs w:val="18"/>
              </w:rPr>
              <w:t>Case manager reviews OBS Billing dashboard for all patients near or past the 24-hour mark</w:t>
            </w:r>
          </w:p>
          <w:p>
            <w:pPr>
              <w:pStyle w:val="Normal"/>
              <w:spacing w:before="0" w:after="50"/>
              <w:rPr/>
            </w:pPr>
            <w:r>
              <w:rPr>
                <w:rFonts w:eastAsia="Arial" w:cs="Arial"/>
                <w:color w:val="1A2B3C"/>
                <w:sz w:val="18"/>
                <w:szCs w:val="18"/>
              </w:rPr>
              <w:t xml:space="preserve">•  </w:t>
            </w:r>
            <w:r>
              <w:rPr>
                <w:rFonts w:eastAsia="Arial" w:cs="Arial"/>
                <w:color w:val="1A2B3C"/>
                <w:sz w:val="18"/>
                <w:szCs w:val="18"/>
              </w:rPr>
              <w:t>2-midnight rule boundary automatically calculated from observation start time</w:t>
            </w:r>
          </w:p>
          <w:p>
            <w:pPr>
              <w:pStyle w:val="Normal"/>
              <w:spacing w:before="0" w:after="50"/>
              <w:rPr/>
            </w:pPr>
            <w:r>
              <w:rPr>
                <w:rFonts w:eastAsia="Arial" w:cs="Arial"/>
                <w:color w:val="1A2B3C"/>
                <w:sz w:val="18"/>
                <w:szCs w:val="18"/>
              </w:rPr>
              <w:t xml:space="preserve">•  </w:t>
            </w:r>
            <w:r>
              <w:rPr>
                <w:rFonts w:eastAsia="Arial" w:cs="Arial"/>
                <w:color w:val="1A2B3C"/>
                <w:sz w:val="18"/>
                <w:szCs w:val="18"/>
              </w:rPr>
              <w:t>Flags episodes requiring physician attestation of medical necessity before the billing cutoff</w:t>
            </w:r>
          </w:p>
          <w:p>
            <w:pPr>
              <w:pStyle w:val="Normal"/>
              <w:spacing w:before="0" w:after="50"/>
              <w:rPr/>
            </w:pPr>
            <w:r>
              <w:rPr>
                <w:rFonts w:eastAsia="Arial" w:cs="Arial"/>
                <w:color w:val="1A2B3C"/>
                <w:sz w:val="18"/>
                <w:szCs w:val="18"/>
              </w:rPr>
              <w:t xml:space="preserve">•  </w:t>
            </w:r>
            <w:r>
              <w:rPr>
                <w:rFonts w:eastAsia="Arial" w:cs="Arial"/>
                <w:color w:val="1A2B3C"/>
                <w:sz w:val="18"/>
                <w:szCs w:val="18"/>
              </w:rPr>
              <w:t>Inpatient conversion candidates surfaced for attending review — prevents under-billing</w:t>
            </w:r>
          </w:p>
          <w:p>
            <w:pPr>
              <w:pStyle w:val="Normal"/>
              <w:spacing w:before="0" w:after="50"/>
              <w:rPr/>
            </w:pPr>
            <w:r>
              <w:rPr>
                <w:rFonts w:eastAsia="Arial" w:cs="Arial"/>
                <w:color w:val="1A2B3C"/>
                <w:sz w:val="18"/>
                <w:szCs w:val="18"/>
              </w:rPr>
              <w:t xml:space="preserve">•  </w:t>
            </w:r>
            <w:r>
              <w:rPr>
                <w:rFonts w:eastAsia="Arial" w:cs="Arial"/>
                <w:color w:val="1A2B3C"/>
                <w:sz w:val="18"/>
                <w:szCs w:val="18"/>
              </w:rPr>
              <w:t>Audit trail of billing flag review for compliance documentation</w:t>
            </w:r>
          </w:p>
        </w:tc>
      </w:tr>
    </w:tbl>
    <w:p>
      <w:pPr>
        <w:pStyle w:val="Normal"/>
        <w:spacing w:before="0" w:after="30"/>
        <w:rPr/>
      </w:pPr>
      <w:r>
        <w:rPr/>
      </w:r>
    </w:p>
    <w:tbl>
      <w:tblPr>
        <w:tblW w:w="9360" w:type="dxa"/>
        <w:jc w:val="left"/>
        <w:tblInd w:w="0" w:type="dxa"/>
        <w:tblLayout w:type="fixed"/>
        <w:tblCellMar>
          <w:top w:w="120" w:type="dxa"/>
          <w:left w:w="180" w:type="dxa"/>
          <w:bottom w:w="120" w:type="dxa"/>
          <w:right w:w="180" w:type="dxa"/>
        </w:tblCellMar>
      </w:tblPr>
      <w:tblGrid>
        <w:gridCol w:w="2700"/>
        <w:gridCol w:w="6659"/>
      </w:tblGrid>
      <w:tr>
        <w:trPr/>
        <w:tc>
          <w:tcPr>
            <w:tcW w:w="2700" w:type="dxa"/>
            <w:tcBorders>
              <w:top w:val="single" w:sz="2" w:space="0" w:color="D0DDE8"/>
              <w:left w:val="single" w:sz="2" w:space="0" w:color="D0DDE8"/>
              <w:bottom w:val="single" w:sz="2" w:space="0" w:color="D0DDE8"/>
              <w:right w:val="single" w:sz="2" w:space="0" w:color="D0DDE8"/>
            </w:tcBorders>
            <w:shd w:fill="F4F7FA" w:val="clear"/>
          </w:tcPr>
          <w:p>
            <w:pPr>
              <w:pStyle w:val="Normal"/>
              <w:spacing w:before="0" w:after="40"/>
              <w:rPr/>
            </w:pPr>
            <w:r>
              <w:rPr>
                <w:rFonts w:eastAsia="Arial" w:cs="Arial"/>
                <w:b w:val="false"/>
                <w:bCs w:val="false"/>
                <w:color w:val="6C7A8D"/>
                <w:sz w:val="16"/>
                <w:szCs w:val="16"/>
              </w:rPr>
              <w:t>16</w:t>
            </w:r>
          </w:p>
          <w:p>
            <w:pPr>
              <w:pStyle w:val="Normal"/>
              <w:spacing w:before="0" w:after="60"/>
              <w:rPr/>
            </w:pPr>
            <w:r>
              <w:rPr>
                <w:rFonts w:eastAsia="Arial" w:cs="Arial"/>
                <w:b/>
                <w:bCs/>
                <w:color w:val="1B3A6B"/>
                <w:sz w:val="20"/>
                <w:szCs w:val="20"/>
              </w:rPr>
              <w:t>CMS Quality Measures</w:t>
            </w:r>
          </w:p>
          <w:p>
            <w:pPr>
              <w:pStyle w:val="Normal"/>
              <w:spacing w:before="0" w:after="0"/>
              <w:rPr/>
            </w:pPr>
            <w:r>
              <w:rPr>
                <w:rFonts w:eastAsia="Arial" w:cs="Arial"/>
                <w:b w:val="false"/>
                <w:bCs w:val="false"/>
                <w:color w:val="0D6E6E"/>
                <w:sz w:val="15"/>
                <w:szCs w:val="15"/>
              </w:rPr>
              <w:t>OBSERVATION STAY</w:t>
            </w:r>
          </w:p>
        </w:tc>
        <w:tc>
          <w:tcPr>
            <w:tcW w:w="6659" w:type="dxa"/>
            <w:tcBorders>
              <w:top w:val="single" w:sz="2" w:space="0" w:color="D0DDE8"/>
              <w:left w:val="single" w:sz="2" w:space="0" w:color="D0DDE8"/>
              <w:bottom w:val="single" w:sz="2" w:space="0" w:color="D0DDE8"/>
              <w:right w:val="single" w:sz="2" w:space="0" w:color="D0DDE8"/>
            </w:tcBorders>
            <w:shd w:fill="FFFFFF" w:val="clear"/>
            <w:tcMar>
              <w:left w:w="200" w:type="dxa"/>
            </w:tcMar>
          </w:tcPr>
          <w:p>
            <w:pPr>
              <w:pStyle w:val="Normal"/>
              <w:spacing w:before="0" w:after="60"/>
              <w:rPr/>
            </w:pPr>
            <w:r>
              <w:rPr>
                <w:rFonts w:eastAsia="Arial" w:cs="Arial"/>
                <w:b/>
                <w:bCs/>
                <w:color w:val="1A2B3C"/>
                <w:sz w:val="19"/>
                <w:szCs w:val="19"/>
              </w:rPr>
              <w:t>Automated CMS pay-for-performance measure computation and dashboard</w:t>
            </w:r>
          </w:p>
          <w:p>
            <w:pPr>
              <w:pStyle w:val="Normal"/>
              <w:spacing w:before="0" w:after="80"/>
              <w:rPr/>
            </w:pPr>
            <w:r>
              <w:rPr>
                <w:rFonts w:eastAsia="Arial" w:cs="Arial"/>
                <w:color w:val="6C7A8D"/>
                <w:sz w:val="18"/>
                <w:szCs w:val="18"/>
              </w:rPr>
              <w:t>Computes four CMS-mandated quality measures from episode data: OP-1 (median time to fibrinolysis), OP-2 (door-to-ECG), OP-5 (median time to pain management), and SEP-1 (sepsis bundle compliance). Renders performance against national benchmarks.</w:t>
            </w:r>
          </w:p>
          <w:p>
            <w:pPr>
              <w:pStyle w:val="Normal"/>
              <w:spacing w:before="0" w:after="50"/>
              <w:rPr/>
            </w:pPr>
            <w:r>
              <w:rPr>
                <w:rFonts w:eastAsia="Arial" w:cs="Arial"/>
                <w:color w:val="1A2B3C"/>
                <w:sz w:val="18"/>
                <w:szCs w:val="18"/>
              </w:rPr>
              <w:t xml:space="preserve">•  </w:t>
            </w:r>
            <w:r>
              <w:rPr>
                <w:rFonts w:eastAsia="Arial" w:cs="Arial"/>
                <w:color w:val="1A2B3C"/>
                <w:sz w:val="18"/>
                <w:szCs w:val="18"/>
              </w:rPr>
              <w:t>Quality officer pulls CMS dashboard monthly before submitting ORYX data</w:t>
            </w:r>
          </w:p>
          <w:p>
            <w:pPr>
              <w:pStyle w:val="Normal"/>
              <w:spacing w:before="0" w:after="50"/>
              <w:rPr/>
            </w:pPr>
            <w:r>
              <w:rPr>
                <w:rFonts w:eastAsia="Arial" w:cs="Arial"/>
                <w:color w:val="1A2B3C"/>
                <w:sz w:val="18"/>
                <w:szCs w:val="18"/>
              </w:rPr>
              <w:t xml:space="preserve">•  </w:t>
            </w:r>
            <w:r>
              <w:rPr>
                <w:rFonts w:eastAsia="Arial" w:cs="Arial"/>
                <w:color w:val="1A2B3C"/>
                <w:sz w:val="18"/>
                <w:szCs w:val="18"/>
              </w:rPr>
              <w:t>SEP-1 compliance computed from task completion timestamps — no manual chart abstraction</w:t>
            </w:r>
          </w:p>
          <w:p>
            <w:pPr>
              <w:pStyle w:val="Normal"/>
              <w:spacing w:before="0" w:after="50"/>
              <w:rPr/>
            </w:pPr>
            <w:r>
              <w:rPr>
                <w:rFonts w:eastAsia="Arial" w:cs="Arial"/>
                <w:color w:val="1A2B3C"/>
                <w:sz w:val="18"/>
                <w:szCs w:val="18"/>
              </w:rPr>
              <w:t xml:space="preserve">•  </w:t>
            </w:r>
            <w:r>
              <w:rPr>
                <w:rFonts w:eastAsia="Arial" w:cs="Arial"/>
                <w:color w:val="1A2B3C"/>
                <w:sz w:val="18"/>
                <w:szCs w:val="18"/>
              </w:rPr>
              <w:t>OP-2 (door-to-ECG median) aggregated from EKG task creation and completion times</w:t>
            </w:r>
          </w:p>
          <w:p>
            <w:pPr>
              <w:pStyle w:val="Normal"/>
              <w:spacing w:before="0" w:after="50"/>
              <w:rPr/>
            </w:pPr>
            <w:r>
              <w:rPr>
                <w:rFonts w:eastAsia="Arial" w:cs="Arial"/>
                <w:color w:val="1A2B3C"/>
                <w:sz w:val="18"/>
                <w:szCs w:val="18"/>
              </w:rPr>
              <w:t xml:space="preserve">•  </w:t>
            </w:r>
            <w:r>
              <w:rPr>
                <w:rFonts w:eastAsia="Arial" w:cs="Arial"/>
                <w:color w:val="1A2B3C"/>
                <w:sz w:val="18"/>
                <w:szCs w:val="18"/>
              </w:rPr>
              <w:t>Dashboard shows trending performance over rolling 90-day window</w:t>
            </w:r>
          </w:p>
          <w:p>
            <w:pPr>
              <w:pStyle w:val="Normal"/>
              <w:spacing w:before="0" w:after="50"/>
              <w:rPr/>
            </w:pPr>
            <w:r>
              <w:rPr>
                <w:rFonts w:eastAsia="Arial" w:cs="Arial"/>
                <w:color w:val="1A2B3C"/>
                <w:sz w:val="18"/>
                <w:szCs w:val="18"/>
              </w:rPr>
              <w:t xml:space="preserve">•  </w:t>
            </w:r>
            <w:r>
              <w:rPr>
                <w:rFonts w:eastAsia="Arial" w:cs="Arial"/>
                <w:color w:val="1A2B3C"/>
                <w:sz w:val="18"/>
                <w:szCs w:val="18"/>
              </w:rPr>
              <w:t>Direct financial impact: CMS quality scores affect reimbursement rates under VBP programs</w:t>
            </w:r>
          </w:p>
        </w:tc>
      </w:tr>
    </w:tbl>
    <w:p>
      <w:pPr>
        <w:pStyle w:val="Normal"/>
        <w:spacing w:before="0" w:after="50"/>
        <w:rPr/>
      </w:pPr>
      <w:r>
        <w:rPr/>
      </w:r>
    </w:p>
    <w:p>
      <w:pPr>
        <w:pStyle w:val="Normal"/>
        <w:rPr/>
      </w:pPr>
      <w:r>
        <w:rPr/>
      </w:r>
      <w:r>
        <w:br w:type="page"/>
      </w:r>
    </w:p>
    <w:tbl>
      <w:tblPr>
        <w:tblW w:w="9360" w:type="dxa"/>
        <w:jc w:val="left"/>
        <w:tblInd w:w="0" w:type="dxa"/>
        <w:tblLayout w:type="fixed"/>
        <w:tblCellMar>
          <w:top w:w="160" w:type="dxa"/>
          <w:left w:w="260" w:type="dxa"/>
          <w:bottom w:w="160" w:type="dxa"/>
          <w:right w:w="260" w:type="dxa"/>
        </w:tblCellMar>
      </w:tblPr>
      <w:tblGrid>
        <w:gridCol w:w="9360"/>
      </w:tblGrid>
      <w:tr>
        <w:trPr/>
        <w:tc>
          <w:tcPr>
            <w:tcW w:w="9360" w:type="dxa"/>
            <w:tcBorders/>
            <w:shd w:fill="1B3A6B" w:val="clear"/>
          </w:tcPr>
          <w:p>
            <w:pPr>
              <w:pStyle w:val="Normal"/>
              <w:pageBreakBefore/>
              <w:spacing w:before="0" w:after="30"/>
              <w:rPr/>
            </w:pPr>
            <w:r>
              <w:rPr>
                <w:rFonts w:eastAsia="Arial" w:cs="Arial"/>
                <w:b/>
                <w:bCs/>
                <w:color w:val="FFFFFF"/>
                <w:sz w:val="22"/>
                <w:szCs w:val="22"/>
              </w:rPr>
              <w:t>GROUP E  —  Behavioral Health Workflows</w:t>
            </w:r>
          </w:p>
          <w:p>
            <w:pPr>
              <w:pStyle w:val="Normal"/>
              <w:spacing w:before="0" w:after="0"/>
              <w:rPr/>
            </w:pPr>
            <w:r>
              <w:rPr>
                <w:rFonts w:eastAsia="Arial" w:cs="Arial"/>
                <w:color w:val="A8C4D0"/>
                <w:sz w:val="17"/>
                <w:szCs w:val="17"/>
              </w:rPr>
              <w:t>Psychiatric boarding, safety planning, and placement tracking</w:t>
            </w:r>
          </w:p>
        </w:tc>
      </w:tr>
    </w:tbl>
    <w:p>
      <w:pPr>
        <w:pStyle w:val="Normal"/>
        <w:spacing w:before="0" w:after="40"/>
        <w:rPr/>
      </w:pPr>
      <w:r>
        <w:rPr/>
      </w:r>
    </w:p>
    <w:tbl>
      <w:tblPr>
        <w:tblW w:w="9360" w:type="dxa"/>
        <w:jc w:val="left"/>
        <w:tblInd w:w="0" w:type="dxa"/>
        <w:tblLayout w:type="fixed"/>
        <w:tblCellMar>
          <w:top w:w="120" w:type="dxa"/>
          <w:left w:w="180" w:type="dxa"/>
          <w:bottom w:w="120" w:type="dxa"/>
          <w:right w:w="180" w:type="dxa"/>
        </w:tblCellMar>
      </w:tblPr>
      <w:tblGrid>
        <w:gridCol w:w="2700"/>
        <w:gridCol w:w="6659"/>
      </w:tblGrid>
      <w:tr>
        <w:trPr/>
        <w:tc>
          <w:tcPr>
            <w:tcW w:w="2700" w:type="dxa"/>
            <w:tcBorders>
              <w:top w:val="single" w:sz="2" w:space="0" w:color="D0DDE8"/>
              <w:left w:val="single" w:sz="2" w:space="0" w:color="D0DDE8"/>
              <w:bottom w:val="single" w:sz="2" w:space="0" w:color="D0DDE8"/>
              <w:right w:val="single" w:sz="2" w:space="0" w:color="D0DDE8"/>
            </w:tcBorders>
            <w:shd w:fill="F4F7FA" w:val="clear"/>
          </w:tcPr>
          <w:p>
            <w:pPr>
              <w:pStyle w:val="Normal"/>
              <w:spacing w:before="0" w:after="40"/>
              <w:rPr/>
            </w:pPr>
            <w:r>
              <w:rPr>
                <w:rFonts w:eastAsia="Arial" w:cs="Arial"/>
                <w:b w:val="false"/>
                <w:bCs w:val="false"/>
                <w:color w:val="6C7A8D"/>
                <w:sz w:val="16"/>
                <w:szCs w:val="16"/>
              </w:rPr>
              <w:t>17</w:t>
            </w:r>
          </w:p>
          <w:p>
            <w:pPr>
              <w:pStyle w:val="Normal"/>
              <w:spacing w:before="0" w:after="60"/>
              <w:rPr/>
            </w:pPr>
            <w:r>
              <w:rPr>
                <w:rFonts w:eastAsia="Arial" w:cs="Arial"/>
                <w:b/>
                <w:bCs/>
                <w:color w:val="1B3A6B"/>
                <w:sz w:val="20"/>
                <w:szCs w:val="20"/>
              </w:rPr>
              <w:t>BH Safety</w:t>
            </w:r>
          </w:p>
          <w:p>
            <w:pPr>
              <w:pStyle w:val="Normal"/>
              <w:spacing w:before="0" w:after="0"/>
              <w:rPr/>
            </w:pPr>
            <w:r>
              <w:rPr>
                <w:rFonts w:eastAsia="Arial" w:cs="Arial"/>
                <w:b w:val="false"/>
                <w:bCs w:val="false"/>
                <w:color w:val="0D6E6E"/>
                <w:sz w:val="15"/>
                <w:szCs w:val="15"/>
              </w:rPr>
              <w:t>BEHAVIORAL HEALTH</w:t>
            </w:r>
          </w:p>
        </w:tc>
        <w:tc>
          <w:tcPr>
            <w:tcW w:w="6659" w:type="dxa"/>
            <w:tcBorders>
              <w:top w:val="single" w:sz="2" w:space="0" w:color="D0DDE8"/>
              <w:left w:val="single" w:sz="2" w:space="0" w:color="D0DDE8"/>
              <w:bottom w:val="single" w:sz="2" w:space="0" w:color="D0DDE8"/>
              <w:right w:val="single" w:sz="2" w:space="0" w:color="D0DDE8"/>
            </w:tcBorders>
            <w:shd w:fill="FFFFFF" w:val="clear"/>
            <w:tcMar>
              <w:left w:w="200" w:type="dxa"/>
            </w:tcMar>
          </w:tcPr>
          <w:p>
            <w:pPr>
              <w:pStyle w:val="Normal"/>
              <w:spacing w:before="0" w:after="60"/>
              <w:rPr/>
            </w:pPr>
            <w:r>
              <w:rPr>
                <w:rFonts w:eastAsia="Arial" w:cs="Arial"/>
                <w:b/>
                <w:bCs/>
                <w:color w:val="1A2B3C"/>
                <w:sz w:val="19"/>
                <w:szCs w:val="19"/>
              </w:rPr>
              <w:t>Psychiatric safety assessment, observation level, and precaution documentation</w:t>
            </w:r>
          </w:p>
          <w:p>
            <w:pPr>
              <w:pStyle w:val="Normal"/>
              <w:spacing w:before="0" w:after="80"/>
              <w:rPr/>
            </w:pPr>
            <w:r>
              <w:rPr>
                <w:rFonts w:eastAsia="Arial" w:cs="Arial"/>
                <w:color w:val="6C7A8D"/>
                <w:sz w:val="18"/>
                <w:szCs w:val="18"/>
              </w:rPr>
              <w:t>Manages the safety documentation required for psychiatric patients: Columbia Suicide Severity Rating Scale results, observation level (1:1, Q15, Q30), elopement risk, violence risk, and physical precautions checklist.</w:t>
            </w:r>
          </w:p>
          <w:p>
            <w:pPr>
              <w:pStyle w:val="Normal"/>
              <w:spacing w:before="0" w:after="50"/>
              <w:rPr/>
            </w:pPr>
            <w:r>
              <w:rPr>
                <w:rFonts w:eastAsia="Arial" w:cs="Arial"/>
                <w:color w:val="1A2B3C"/>
                <w:sz w:val="18"/>
                <w:szCs w:val="18"/>
              </w:rPr>
              <w:t xml:space="preserve">•  </w:t>
            </w:r>
            <w:r>
              <w:rPr>
                <w:rFonts w:eastAsia="Arial" w:cs="Arial"/>
                <w:color w:val="1A2B3C"/>
                <w:sz w:val="18"/>
                <w:szCs w:val="18"/>
              </w:rPr>
              <w:t>Nurse opens BH Safety on arrival of a psychiatric patient — completes Columbia SSRS in structured form</w:t>
            </w:r>
          </w:p>
          <w:p>
            <w:pPr>
              <w:pStyle w:val="Normal"/>
              <w:spacing w:before="0" w:after="50"/>
              <w:rPr/>
            </w:pPr>
            <w:r>
              <w:rPr>
                <w:rFonts w:eastAsia="Arial" w:cs="Arial"/>
                <w:color w:val="1A2B3C"/>
                <w:sz w:val="18"/>
                <w:szCs w:val="18"/>
              </w:rPr>
              <w:t xml:space="preserve">•  </w:t>
            </w:r>
            <w:r>
              <w:rPr>
                <w:rFonts w:eastAsia="Arial" w:cs="Arial"/>
                <w:color w:val="1A2B3C"/>
                <w:sz w:val="18"/>
                <w:szCs w:val="18"/>
              </w:rPr>
              <w:t>Observation level (1:1 sitter) recorded and visible on ED Board with color indicator</w:t>
            </w:r>
          </w:p>
          <w:p>
            <w:pPr>
              <w:pStyle w:val="Normal"/>
              <w:spacing w:before="0" w:after="50"/>
              <w:rPr/>
            </w:pPr>
            <w:r>
              <w:rPr>
                <w:rFonts w:eastAsia="Arial" w:cs="Arial"/>
                <w:color w:val="1A2B3C"/>
                <w:sz w:val="18"/>
                <w:szCs w:val="18"/>
              </w:rPr>
              <w:t xml:space="preserve">•  </w:t>
            </w:r>
            <w:r>
              <w:rPr>
                <w:rFonts w:eastAsia="Arial" w:cs="Arial"/>
                <w:color w:val="1A2B3C"/>
                <w:sz w:val="18"/>
                <w:szCs w:val="18"/>
              </w:rPr>
              <w:t>Precautions checklist (sharps removed, clothing searched, ligature-reduced room) auditable</w:t>
            </w:r>
          </w:p>
          <w:p>
            <w:pPr>
              <w:pStyle w:val="Normal"/>
              <w:spacing w:before="0" w:after="50"/>
              <w:rPr/>
            </w:pPr>
            <w:r>
              <w:rPr>
                <w:rFonts w:eastAsia="Arial" w:cs="Arial"/>
                <w:color w:val="1A2B3C"/>
                <w:sz w:val="18"/>
                <w:szCs w:val="18"/>
              </w:rPr>
              <w:t xml:space="preserve">•  </w:t>
            </w:r>
            <w:r>
              <w:rPr>
                <w:rFonts w:eastAsia="Arial" w:cs="Arial"/>
                <w:color w:val="1A2B3C"/>
                <w:sz w:val="18"/>
                <w:szCs w:val="18"/>
              </w:rPr>
              <w:t>Safety record is required documentation for EMTALA compliance in psychiatric presentations</w:t>
            </w:r>
          </w:p>
          <w:p>
            <w:pPr>
              <w:pStyle w:val="Normal"/>
              <w:spacing w:before="0" w:after="50"/>
              <w:rPr/>
            </w:pPr>
            <w:r>
              <w:rPr>
                <w:rFonts w:eastAsia="Arial" w:cs="Arial"/>
                <w:color w:val="1A2B3C"/>
                <w:sz w:val="18"/>
                <w:szCs w:val="18"/>
              </w:rPr>
              <w:t xml:space="preserve">•  </w:t>
            </w:r>
            <w:r>
              <w:rPr>
                <w:rFonts w:eastAsia="Arial" w:cs="Arial"/>
                <w:color w:val="1A2B3C"/>
                <w:sz w:val="18"/>
                <w:szCs w:val="18"/>
              </w:rPr>
              <w:t>Risk flags (suicide risk HIGH) surface on Handoff Report for incoming staff</w:t>
            </w:r>
          </w:p>
        </w:tc>
      </w:tr>
    </w:tbl>
    <w:p>
      <w:pPr>
        <w:pStyle w:val="Normal"/>
        <w:spacing w:before="0" w:after="30"/>
        <w:rPr/>
      </w:pPr>
      <w:r>
        <w:rPr/>
      </w:r>
    </w:p>
    <w:tbl>
      <w:tblPr>
        <w:tblW w:w="9360" w:type="dxa"/>
        <w:jc w:val="left"/>
        <w:tblInd w:w="0" w:type="dxa"/>
        <w:tblLayout w:type="fixed"/>
        <w:tblCellMar>
          <w:top w:w="120" w:type="dxa"/>
          <w:left w:w="180" w:type="dxa"/>
          <w:bottom w:w="120" w:type="dxa"/>
          <w:right w:w="180" w:type="dxa"/>
        </w:tblCellMar>
      </w:tblPr>
      <w:tblGrid>
        <w:gridCol w:w="2700"/>
        <w:gridCol w:w="6659"/>
      </w:tblGrid>
      <w:tr>
        <w:trPr/>
        <w:tc>
          <w:tcPr>
            <w:tcW w:w="2700" w:type="dxa"/>
            <w:tcBorders>
              <w:top w:val="single" w:sz="2" w:space="0" w:color="D0DDE8"/>
              <w:left w:val="single" w:sz="2" w:space="0" w:color="D0DDE8"/>
              <w:bottom w:val="single" w:sz="2" w:space="0" w:color="D0DDE8"/>
              <w:right w:val="single" w:sz="2" w:space="0" w:color="D0DDE8"/>
            </w:tcBorders>
            <w:shd w:fill="F4F7FA" w:val="clear"/>
          </w:tcPr>
          <w:p>
            <w:pPr>
              <w:pStyle w:val="Normal"/>
              <w:spacing w:before="0" w:after="40"/>
              <w:rPr/>
            </w:pPr>
            <w:r>
              <w:rPr>
                <w:rFonts w:eastAsia="Arial" w:cs="Arial"/>
                <w:b w:val="false"/>
                <w:bCs w:val="false"/>
                <w:color w:val="6C7A8D"/>
                <w:sz w:val="16"/>
                <w:szCs w:val="16"/>
              </w:rPr>
              <w:t>18</w:t>
            </w:r>
          </w:p>
          <w:p>
            <w:pPr>
              <w:pStyle w:val="Normal"/>
              <w:spacing w:before="0" w:after="60"/>
              <w:rPr/>
            </w:pPr>
            <w:r>
              <w:rPr>
                <w:rFonts w:eastAsia="Arial" w:cs="Arial"/>
                <w:b/>
                <w:bCs/>
                <w:color w:val="1B3A6B"/>
                <w:sz w:val="20"/>
                <w:szCs w:val="20"/>
              </w:rPr>
              <w:t>BH Boarding</w:t>
            </w:r>
          </w:p>
          <w:p>
            <w:pPr>
              <w:pStyle w:val="Normal"/>
              <w:spacing w:before="0" w:after="0"/>
              <w:rPr/>
            </w:pPr>
            <w:r>
              <w:rPr>
                <w:rFonts w:eastAsia="Arial" w:cs="Arial"/>
                <w:b w:val="false"/>
                <w:bCs w:val="false"/>
                <w:color w:val="0D6E6E"/>
                <w:sz w:val="15"/>
                <w:szCs w:val="15"/>
              </w:rPr>
              <w:t>BEHAVIORAL HEALTH</w:t>
            </w:r>
          </w:p>
        </w:tc>
        <w:tc>
          <w:tcPr>
            <w:tcW w:w="6659" w:type="dxa"/>
            <w:tcBorders>
              <w:top w:val="single" w:sz="2" w:space="0" w:color="D0DDE8"/>
              <w:left w:val="single" w:sz="2" w:space="0" w:color="D0DDE8"/>
              <w:bottom w:val="single" w:sz="2" w:space="0" w:color="D0DDE8"/>
              <w:right w:val="single" w:sz="2" w:space="0" w:color="D0DDE8"/>
            </w:tcBorders>
            <w:shd w:fill="FFFFFF" w:val="clear"/>
            <w:tcMar>
              <w:left w:w="200" w:type="dxa"/>
            </w:tcMar>
          </w:tcPr>
          <w:p>
            <w:pPr>
              <w:pStyle w:val="Normal"/>
              <w:spacing w:before="0" w:after="60"/>
              <w:rPr/>
            </w:pPr>
            <w:r>
              <w:rPr>
                <w:rFonts w:eastAsia="Arial" w:cs="Arial"/>
                <w:b/>
                <w:bCs/>
                <w:color w:val="1A2B3C"/>
                <w:sz w:val="19"/>
                <w:szCs w:val="19"/>
              </w:rPr>
              <w:t>Psychiatric placement tracking, EMTALA checklist, and boarding time management</w:t>
            </w:r>
          </w:p>
          <w:p>
            <w:pPr>
              <w:pStyle w:val="Normal"/>
              <w:spacing w:before="0" w:after="80"/>
              <w:rPr/>
            </w:pPr>
            <w:r>
              <w:rPr>
                <w:rFonts w:eastAsia="Arial" w:cs="Arial"/>
                <w:color w:val="6C7A8D"/>
                <w:sz w:val="18"/>
                <w:szCs w:val="18"/>
              </w:rPr>
              <w:t>Manages the process of finding an inpatient psychiatric bed for a boarding patient: legal status, placement calls log, accepting facility confirmation, EMTALA documentation checklist, and transport coordination.</w:t>
            </w:r>
          </w:p>
          <w:p>
            <w:pPr>
              <w:pStyle w:val="Normal"/>
              <w:spacing w:before="0" w:after="50"/>
              <w:rPr/>
            </w:pPr>
            <w:r>
              <w:rPr>
                <w:rFonts w:eastAsia="Arial" w:cs="Arial"/>
                <w:color w:val="1A2B3C"/>
                <w:sz w:val="18"/>
                <w:szCs w:val="18"/>
              </w:rPr>
              <w:t xml:space="preserve">•  </w:t>
            </w:r>
            <w:r>
              <w:rPr>
                <w:rFonts w:eastAsia="Arial" w:cs="Arial"/>
                <w:color w:val="1A2B3C"/>
                <w:sz w:val="18"/>
                <w:szCs w:val="18"/>
              </w:rPr>
              <w:t>Social worker opens BH Boarding to log each placement call — facility, status, callback time</w:t>
            </w:r>
          </w:p>
          <w:p>
            <w:pPr>
              <w:pStyle w:val="Normal"/>
              <w:spacing w:before="0" w:after="50"/>
              <w:rPr/>
            </w:pPr>
            <w:r>
              <w:rPr>
                <w:rFonts w:eastAsia="Arial" w:cs="Arial"/>
                <w:color w:val="1A2B3C"/>
                <w:sz w:val="18"/>
                <w:szCs w:val="18"/>
              </w:rPr>
              <w:t xml:space="preserve">•  </w:t>
            </w:r>
            <w:r>
              <w:rPr>
                <w:rFonts w:eastAsia="Arial" w:cs="Arial"/>
                <w:color w:val="1A2B3C"/>
                <w:sz w:val="18"/>
                <w:szCs w:val="18"/>
              </w:rPr>
              <w:t>BH_BOARDING_DWELL alert fires when a psychiatric patient has been boarding &gt; 4 hours</w:t>
            </w:r>
          </w:p>
          <w:p>
            <w:pPr>
              <w:pStyle w:val="Normal"/>
              <w:spacing w:before="0" w:after="50"/>
              <w:rPr/>
            </w:pPr>
            <w:r>
              <w:rPr>
                <w:rFonts w:eastAsia="Arial" w:cs="Arial"/>
                <w:color w:val="1A2B3C"/>
                <w:sz w:val="18"/>
                <w:szCs w:val="18"/>
              </w:rPr>
              <w:t xml:space="preserve">•  </w:t>
            </w:r>
            <w:r>
              <w:rPr>
                <w:rFonts w:eastAsia="Arial" w:cs="Arial"/>
                <w:color w:val="1A2B3C"/>
                <w:sz w:val="18"/>
                <w:szCs w:val="18"/>
              </w:rPr>
              <w:t>Placement status transitions: SEARCHING → ACCEPTED → TRANSPORT → DEPARTED</w:t>
            </w:r>
          </w:p>
          <w:p>
            <w:pPr>
              <w:pStyle w:val="Normal"/>
              <w:spacing w:before="0" w:after="50"/>
              <w:rPr/>
            </w:pPr>
            <w:r>
              <w:rPr>
                <w:rFonts w:eastAsia="Arial" w:cs="Arial"/>
                <w:color w:val="1A2B3C"/>
                <w:sz w:val="18"/>
                <w:szCs w:val="18"/>
              </w:rPr>
              <w:t xml:space="preserve">•  </w:t>
            </w:r>
            <w:r>
              <w:rPr>
                <w:rFonts w:eastAsia="Arial" w:cs="Arial"/>
                <w:color w:val="1A2B3C"/>
                <w:sz w:val="18"/>
                <w:szCs w:val="18"/>
              </w:rPr>
              <w:t>EMTALA checklist ensures MSE completion, insurance verification, and transport consent are documented</w:t>
            </w:r>
          </w:p>
          <w:p>
            <w:pPr>
              <w:pStyle w:val="Normal"/>
              <w:spacing w:before="0" w:after="50"/>
              <w:rPr/>
            </w:pPr>
            <w:r>
              <w:rPr>
                <w:rFonts w:eastAsia="Arial" w:cs="Arial"/>
                <w:color w:val="1A2B3C"/>
                <w:sz w:val="18"/>
                <w:szCs w:val="18"/>
              </w:rPr>
              <w:t xml:space="preserve">•  </w:t>
            </w:r>
            <w:r>
              <w:rPr>
                <w:rFonts w:eastAsia="Arial" w:cs="Arial"/>
                <w:color w:val="1A2B3C"/>
                <w:sz w:val="18"/>
                <w:szCs w:val="18"/>
              </w:rPr>
              <w:t>Accepting facility name auto-populates the E-Referral for BH transfer paperwork</w:t>
            </w:r>
          </w:p>
          <w:p>
            <w:pPr>
              <w:pStyle w:val="Normal"/>
              <w:spacing w:before="0" w:after="50"/>
              <w:rPr/>
            </w:pPr>
            <w:r>
              <w:rPr>
                <w:rFonts w:eastAsia="Arial" w:cs="Arial"/>
                <w:color w:val="1A2B3C"/>
                <w:sz w:val="18"/>
                <w:szCs w:val="18"/>
              </w:rPr>
              <w:t xml:space="preserve">•  </w:t>
            </w:r>
            <w:r>
              <w:rPr>
                <w:rFonts w:eastAsia="Arial" w:cs="Arial"/>
                <w:color w:val="1A2B3C"/>
                <w:sz w:val="18"/>
                <w:szCs w:val="18"/>
              </w:rPr>
              <w:t>Boarding time visible on Multi-Facility Dashboard — a key regulatory and JC metric</w:t>
            </w:r>
          </w:p>
        </w:tc>
      </w:tr>
    </w:tbl>
    <w:p>
      <w:pPr>
        <w:pStyle w:val="Normal"/>
        <w:spacing w:before="0" w:after="30"/>
        <w:rPr/>
      </w:pPr>
      <w:r>
        <w:rPr/>
      </w:r>
    </w:p>
    <w:tbl>
      <w:tblPr>
        <w:tblW w:w="9360" w:type="dxa"/>
        <w:jc w:val="left"/>
        <w:tblInd w:w="0" w:type="dxa"/>
        <w:tblLayout w:type="fixed"/>
        <w:tblCellMar>
          <w:top w:w="120" w:type="dxa"/>
          <w:left w:w="180" w:type="dxa"/>
          <w:bottom w:w="120" w:type="dxa"/>
          <w:right w:w="180" w:type="dxa"/>
        </w:tblCellMar>
      </w:tblPr>
      <w:tblGrid>
        <w:gridCol w:w="2700"/>
        <w:gridCol w:w="6659"/>
      </w:tblGrid>
      <w:tr>
        <w:trPr/>
        <w:tc>
          <w:tcPr>
            <w:tcW w:w="2700" w:type="dxa"/>
            <w:tcBorders>
              <w:top w:val="single" w:sz="2" w:space="0" w:color="D0DDE8"/>
              <w:left w:val="single" w:sz="2" w:space="0" w:color="D0DDE8"/>
              <w:bottom w:val="single" w:sz="2" w:space="0" w:color="D0DDE8"/>
              <w:right w:val="single" w:sz="2" w:space="0" w:color="D0DDE8"/>
            </w:tcBorders>
            <w:shd w:fill="F4F7FA" w:val="clear"/>
          </w:tcPr>
          <w:p>
            <w:pPr>
              <w:pStyle w:val="Normal"/>
              <w:spacing w:before="0" w:after="40"/>
              <w:rPr/>
            </w:pPr>
            <w:r>
              <w:rPr>
                <w:rFonts w:eastAsia="Arial" w:cs="Arial"/>
                <w:b w:val="false"/>
                <w:bCs w:val="false"/>
                <w:color w:val="6C7A8D"/>
                <w:sz w:val="16"/>
                <w:szCs w:val="16"/>
              </w:rPr>
              <w:t>19</w:t>
            </w:r>
          </w:p>
          <w:p>
            <w:pPr>
              <w:pStyle w:val="Normal"/>
              <w:spacing w:before="0" w:after="60"/>
              <w:rPr/>
            </w:pPr>
            <w:r>
              <w:rPr>
                <w:rFonts w:eastAsia="Arial" w:cs="Arial"/>
                <w:b/>
                <w:bCs/>
                <w:color w:val="1B3A6B"/>
                <w:sz w:val="20"/>
                <w:szCs w:val="20"/>
              </w:rPr>
              <w:t>Diversion Status</w:t>
            </w:r>
          </w:p>
          <w:p>
            <w:pPr>
              <w:pStyle w:val="Normal"/>
              <w:spacing w:before="0" w:after="0"/>
              <w:rPr/>
            </w:pPr>
            <w:r>
              <w:rPr>
                <w:rFonts w:eastAsia="Arial" w:cs="Arial"/>
                <w:b w:val="false"/>
                <w:bCs w:val="false"/>
                <w:color w:val="0D6E6E"/>
                <w:sz w:val="15"/>
                <w:szCs w:val="15"/>
              </w:rPr>
              <w:t>BEHAVIORAL HEALTH</w:t>
            </w:r>
          </w:p>
        </w:tc>
        <w:tc>
          <w:tcPr>
            <w:tcW w:w="6659" w:type="dxa"/>
            <w:tcBorders>
              <w:top w:val="single" w:sz="2" w:space="0" w:color="D0DDE8"/>
              <w:left w:val="single" w:sz="2" w:space="0" w:color="D0DDE8"/>
              <w:bottom w:val="single" w:sz="2" w:space="0" w:color="D0DDE8"/>
              <w:right w:val="single" w:sz="2" w:space="0" w:color="D0DDE8"/>
            </w:tcBorders>
            <w:shd w:fill="FFFFFF" w:val="clear"/>
            <w:tcMar>
              <w:left w:w="200" w:type="dxa"/>
            </w:tcMar>
          </w:tcPr>
          <w:p>
            <w:pPr>
              <w:pStyle w:val="Normal"/>
              <w:spacing w:before="0" w:after="60"/>
              <w:rPr/>
            </w:pPr>
            <w:r>
              <w:rPr>
                <w:rFonts w:eastAsia="Arial" w:cs="Arial"/>
                <w:b/>
                <w:bCs/>
                <w:color w:val="1A2B3C"/>
                <w:sz w:val="19"/>
                <w:szCs w:val="19"/>
              </w:rPr>
              <w:t>Facility-level diversion flag management per service line with ADT notification</w:t>
            </w:r>
          </w:p>
          <w:p>
            <w:pPr>
              <w:pStyle w:val="Normal"/>
              <w:spacing w:before="0" w:after="80"/>
              <w:rPr/>
            </w:pPr>
            <w:r>
              <w:rPr>
                <w:rFonts w:eastAsia="Arial" w:cs="Arial"/>
                <w:color w:val="6C7A8D"/>
                <w:sz w:val="18"/>
                <w:szCs w:val="18"/>
              </w:rPr>
              <w:t>Manages real-time diversion status for each service line (ED, Trauma, ICU, Psych, OBS, Peds, Burn): OPEN / LIMITED / DIVERSION. Changes broadcast HL7 ADT A09 messages to regional coordination systems.</w:t>
            </w:r>
          </w:p>
          <w:p>
            <w:pPr>
              <w:pStyle w:val="Normal"/>
              <w:spacing w:before="0" w:after="50"/>
              <w:rPr/>
            </w:pPr>
            <w:r>
              <w:rPr>
                <w:rFonts w:eastAsia="Arial" w:cs="Arial"/>
                <w:color w:val="1A2B3C"/>
                <w:sz w:val="18"/>
                <w:szCs w:val="18"/>
              </w:rPr>
              <w:t xml:space="preserve">•  </w:t>
            </w:r>
            <w:r>
              <w:rPr>
                <w:rFonts w:eastAsia="Arial" w:cs="Arial"/>
                <w:color w:val="1A2B3C"/>
                <w:sz w:val="18"/>
                <w:szCs w:val="18"/>
              </w:rPr>
              <w:t>Charge nurse sets TRAUMA: DIVERSION after both trauma bays activate for an MCI event</w:t>
            </w:r>
          </w:p>
          <w:p>
            <w:pPr>
              <w:pStyle w:val="Normal"/>
              <w:spacing w:before="0" w:after="50"/>
              <w:rPr/>
            </w:pPr>
            <w:r>
              <w:rPr>
                <w:rFonts w:eastAsia="Arial" w:cs="Arial"/>
                <w:color w:val="1A2B3C"/>
                <w:sz w:val="18"/>
                <w:szCs w:val="18"/>
              </w:rPr>
              <w:t xml:space="preserve">•  </w:t>
            </w:r>
            <w:r>
              <w:rPr>
                <w:rFonts w:eastAsia="Arial" w:cs="Arial"/>
                <w:color w:val="1A2B3C"/>
                <w:sz w:val="18"/>
                <w:szCs w:val="18"/>
              </w:rPr>
              <w:t>PSYCH: DIVERSION set automatically surfaced on BH Boarding page as placement guidance</w:t>
            </w:r>
          </w:p>
          <w:p>
            <w:pPr>
              <w:pStyle w:val="Normal"/>
              <w:spacing w:before="0" w:after="50"/>
              <w:rPr/>
            </w:pPr>
            <w:r>
              <w:rPr>
                <w:rFonts w:eastAsia="Arial" w:cs="Arial"/>
                <w:color w:val="1A2B3C"/>
                <w:sz w:val="18"/>
                <w:szCs w:val="18"/>
              </w:rPr>
              <w:t xml:space="preserve">•  </w:t>
            </w:r>
            <w:r>
              <w:rPr>
                <w:rFonts w:eastAsia="Arial" w:cs="Arial"/>
                <w:color w:val="1A2B3C"/>
                <w:sz w:val="18"/>
                <w:szCs w:val="18"/>
              </w:rPr>
              <w:t>ADT A09 message fires to regional HICS / EMS coordination system on every status change</w:t>
            </w:r>
          </w:p>
          <w:p>
            <w:pPr>
              <w:pStyle w:val="Normal"/>
              <w:spacing w:before="0" w:after="50"/>
              <w:rPr/>
            </w:pPr>
            <w:r>
              <w:rPr>
                <w:rFonts w:eastAsia="Arial" w:cs="Arial"/>
                <w:color w:val="1A2B3C"/>
                <w:sz w:val="18"/>
                <w:szCs w:val="18"/>
              </w:rPr>
              <w:t xml:space="preserve">•  </w:t>
            </w:r>
            <w:r>
              <w:rPr>
                <w:rFonts w:eastAsia="Arial" w:cs="Arial"/>
                <w:color w:val="1A2B3C"/>
                <w:sz w:val="18"/>
                <w:szCs w:val="18"/>
              </w:rPr>
              <w:t>Diversion history log shows duration of each diversion event for regulatory reporting</w:t>
            </w:r>
          </w:p>
          <w:p>
            <w:pPr>
              <w:pStyle w:val="Normal"/>
              <w:spacing w:before="0" w:after="50"/>
              <w:rPr/>
            </w:pPr>
            <w:r>
              <w:rPr>
                <w:rFonts w:eastAsia="Arial" w:cs="Arial"/>
                <w:color w:val="1A2B3C"/>
                <w:sz w:val="18"/>
                <w:szCs w:val="18"/>
              </w:rPr>
              <w:t xml:space="preserve">•  </w:t>
            </w:r>
            <w:r>
              <w:rPr>
                <w:rFonts w:eastAsia="Arial" w:cs="Arial"/>
                <w:color w:val="1A2B3C"/>
                <w:sz w:val="18"/>
                <w:szCs w:val="18"/>
              </w:rPr>
              <w:t>Multi-Facility Dashboard aggregates diversion status across all facilities in real time</w:t>
            </w:r>
          </w:p>
        </w:tc>
      </w:tr>
    </w:tbl>
    <w:p>
      <w:pPr>
        <w:pStyle w:val="Normal"/>
        <w:spacing w:before="0" w:after="50"/>
        <w:rPr/>
      </w:pPr>
      <w:r>
        <w:rPr/>
      </w:r>
    </w:p>
    <w:tbl>
      <w:tblPr>
        <w:tblW w:w="9360" w:type="dxa"/>
        <w:jc w:val="left"/>
        <w:tblInd w:w="0" w:type="dxa"/>
        <w:tblLayout w:type="fixed"/>
        <w:tblCellMar>
          <w:top w:w="160" w:type="dxa"/>
          <w:left w:w="260" w:type="dxa"/>
          <w:bottom w:w="160" w:type="dxa"/>
          <w:right w:w="260" w:type="dxa"/>
        </w:tblCellMar>
      </w:tblPr>
      <w:tblGrid>
        <w:gridCol w:w="9360"/>
      </w:tblGrid>
      <w:tr>
        <w:trPr/>
        <w:tc>
          <w:tcPr>
            <w:tcW w:w="9360" w:type="dxa"/>
            <w:tcBorders/>
            <w:shd w:fill="1B3A6B" w:val="clear"/>
          </w:tcPr>
          <w:p>
            <w:pPr>
              <w:pStyle w:val="Normal"/>
              <w:spacing w:before="0" w:after="30"/>
              <w:rPr/>
            </w:pPr>
            <w:r>
              <w:rPr>
                <w:rFonts w:eastAsia="Arial" w:cs="Arial"/>
                <w:b/>
                <w:bCs/>
                <w:color w:val="FFFFFF"/>
                <w:sz w:val="22"/>
                <w:szCs w:val="22"/>
              </w:rPr>
              <w:t>GROUP F  —  Transfer &amp; Referral</w:t>
            </w:r>
          </w:p>
          <w:p>
            <w:pPr>
              <w:pStyle w:val="Normal"/>
              <w:spacing w:before="0" w:after="0"/>
              <w:rPr/>
            </w:pPr>
            <w:r>
              <w:rPr>
                <w:rFonts w:eastAsia="Arial" w:cs="Arial"/>
                <w:color w:val="A8C4D0"/>
                <w:sz w:val="17"/>
                <w:szCs w:val="17"/>
              </w:rPr>
              <w:t>Patient transfers out, discharge referrals, and facility directory</w:t>
            </w:r>
          </w:p>
        </w:tc>
      </w:tr>
    </w:tbl>
    <w:p>
      <w:pPr>
        <w:pStyle w:val="Normal"/>
        <w:spacing w:before="0" w:after="40"/>
        <w:rPr/>
      </w:pPr>
      <w:r>
        <w:rPr/>
      </w:r>
    </w:p>
    <w:tbl>
      <w:tblPr>
        <w:tblW w:w="9360" w:type="dxa"/>
        <w:jc w:val="left"/>
        <w:tblInd w:w="0" w:type="dxa"/>
        <w:tblLayout w:type="fixed"/>
        <w:tblCellMar>
          <w:top w:w="120" w:type="dxa"/>
          <w:left w:w="180" w:type="dxa"/>
          <w:bottom w:w="120" w:type="dxa"/>
          <w:right w:w="180" w:type="dxa"/>
        </w:tblCellMar>
      </w:tblPr>
      <w:tblGrid>
        <w:gridCol w:w="2700"/>
        <w:gridCol w:w="6659"/>
      </w:tblGrid>
      <w:tr>
        <w:trPr/>
        <w:tc>
          <w:tcPr>
            <w:tcW w:w="2700" w:type="dxa"/>
            <w:tcBorders>
              <w:top w:val="single" w:sz="2" w:space="0" w:color="D0DDE8"/>
              <w:left w:val="single" w:sz="2" w:space="0" w:color="D0DDE8"/>
              <w:bottom w:val="single" w:sz="2" w:space="0" w:color="D0DDE8"/>
              <w:right w:val="single" w:sz="2" w:space="0" w:color="D0DDE8"/>
            </w:tcBorders>
            <w:shd w:fill="F4F7FA" w:val="clear"/>
          </w:tcPr>
          <w:p>
            <w:pPr>
              <w:pStyle w:val="Normal"/>
              <w:spacing w:before="0" w:after="40"/>
              <w:rPr/>
            </w:pPr>
            <w:r>
              <w:rPr>
                <w:rFonts w:eastAsia="Arial" w:cs="Arial"/>
                <w:b w:val="false"/>
                <w:bCs w:val="false"/>
                <w:color w:val="6C7A8D"/>
                <w:sz w:val="16"/>
                <w:szCs w:val="16"/>
              </w:rPr>
              <w:t>20</w:t>
            </w:r>
          </w:p>
          <w:p>
            <w:pPr>
              <w:pStyle w:val="Normal"/>
              <w:spacing w:before="0" w:after="60"/>
              <w:rPr/>
            </w:pPr>
            <w:r>
              <w:rPr>
                <w:rFonts w:eastAsia="Arial" w:cs="Arial"/>
                <w:b/>
                <w:bCs/>
                <w:color w:val="1B3A6B"/>
                <w:sz w:val="20"/>
                <w:szCs w:val="20"/>
              </w:rPr>
              <w:t>Transfer Tracking</w:t>
            </w:r>
          </w:p>
          <w:p>
            <w:pPr>
              <w:pStyle w:val="Normal"/>
              <w:spacing w:before="0" w:after="0"/>
              <w:rPr/>
            </w:pPr>
            <w:r>
              <w:rPr>
                <w:rFonts w:eastAsia="Arial" w:cs="Arial"/>
                <w:b w:val="false"/>
                <w:bCs w:val="false"/>
                <w:color w:val="0D6E6E"/>
                <w:sz w:val="15"/>
                <w:szCs w:val="15"/>
              </w:rPr>
              <w:t>TRANSFER &amp; REFERRAL</w:t>
            </w:r>
          </w:p>
        </w:tc>
        <w:tc>
          <w:tcPr>
            <w:tcW w:w="6659" w:type="dxa"/>
            <w:tcBorders>
              <w:top w:val="single" w:sz="2" w:space="0" w:color="D0DDE8"/>
              <w:left w:val="single" w:sz="2" w:space="0" w:color="D0DDE8"/>
              <w:bottom w:val="single" w:sz="2" w:space="0" w:color="D0DDE8"/>
              <w:right w:val="single" w:sz="2" w:space="0" w:color="D0DDE8"/>
            </w:tcBorders>
            <w:shd w:fill="FFFFFF" w:val="clear"/>
            <w:tcMar>
              <w:left w:w="200" w:type="dxa"/>
            </w:tcMar>
          </w:tcPr>
          <w:p>
            <w:pPr>
              <w:pStyle w:val="Normal"/>
              <w:spacing w:before="0" w:after="60"/>
              <w:rPr/>
            </w:pPr>
            <w:r>
              <w:rPr>
                <w:rFonts w:eastAsia="Arial" w:cs="Arial"/>
                <w:b/>
                <w:bCs/>
                <w:color w:val="1A2B3C"/>
                <w:sz w:val="19"/>
                <w:szCs w:val="19"/>
              </w:rPr>
              <w:t>Outbound transfer request, acceptance, and transport coordination workflow</w:t>
            </w:r>
          </w:p>
          <w:p>
            <w:pPr>
              <w:pStyle w:val="Normal"/>
              <w:spacing w:before="0" w:after="80"/>
              <w:rPr/>
            </w:pPr>
            <w:r>
              <w:rPr>
                <w:rFonts w:eastAsia="Arial" w:cs="Arial"/>
                <w:color w:val="6C7A8D"/>
                <w:sz w:val="18"/>
                <w:szCs w:val="18"/>
              </w:rPr>
              <w:t>Manages the complete outbound transfer process: accepting physician identification, report given, consent, records transfer, transport confirmation, and departure. Provides a checklist-driven workflow that ensures nothing is missed.</w:t>
            </w:r>
          </w:p>
          <w:p>
            <w:pPr>
              <w:pStyle w:val="Normal"/>
              <w:spacing w:before="0" w:after="50"/>
              <w:rPr/>
            </w:pPr>
            <w:r>
              <w:rPr>
                <w:rFonts w:eastAsia="Arial" w:cs="Arial"/>
                <w:color w:val="1A2B3C"/>
                <w:sz w:val="18"/>
                <w:szCs w:val="18"/>
              </w:rPr>
              <w:t xml:space="preserve">•  </w:t>
            </w:r>
            <w:r>
              <w:rPr>
                <w:rFonts w:eastAsia="Arial" w:cs="Arial"/>
                <w:color w:val="1A2B3C"/>
                <w:sz w:val="18"/>
                <w:szCs w:val="18"/>
              </w:rPr>
              <w:t>Provider activates Transfer Tracking after CT confirms Grade III splenic laceration requiring OR</w:t>
            </w:r>
          </w:p>
          <w:p>
            <w:pPr>
              <w:pStyle w:val="Normal"/>
              <w:spacing w:before="0" w:after="50"/>
              <w:rPr/>
            </w:pPr>
            <w:r>
              <w:rPr>
                <w:rFonts w:eastAsia="Arial" w:cs="Arial"/>
                <w:color w:val="1A2B3C"/>
                <w:sz w:val="18"/>
                <w:szCs w:val="18"/>
              </w:rPr>
              <w:t xml:space="preserve">•  </w:t>
            </w:r>
            <w:r>
              <w:rPr>
                <w:rFonts w:eastAsia="Arial" w:cs="Arial"/>
                <w:color w:val="1A2B3C"/>
                <w:sz w:val="18"/>
                <w:szCs w:val="18"/>
              </w:rPr>
              <w:t>Checklist walks through each required step — accepting physician, report, consent, transport</w:t>
            </w:r>
          </w:p>
          <w:p>
            <w:pPr>
              <w:pStyle w:val="Normal"/>
              <w:spacing w:before="0" w:after="50"/>
              <w:rPr/>
            </w:pPr>
            <w:r>
              <w:rPr>
                <w:rFonts w:eastAsia="Arial" w:cs="Arial"/>
                <w:color w:val="1A2B3C"/>
                <w:sz w:val="18"/>
                <w:szCs w:val="18"/>
              </w:rPr>
              <w:t xml:space="preserve">•  </w:t>
            </w:r>
            <w:r>
              <w:rPr>
                <w:rFonts w:eastAsia="Arial" w:cs="Arial"/>
                <w:color w:val="1A2B3C"/>
                <w:sz w:val="18"/>
                <w:szCs w:val="18"/>
              </w:rPr>
              <w:t>Transfer status (PENDING → ACCEPTED → TRANSPORT → DEPARTED) visible on ED Board</w:t>
            </w:r>
          </w:p>
          <w:p>
            <w:pPr>
              <w:pStyle w:val="Normal"/>
              <w:spacing w:before="0" w:after="50"/>
              <w:rPr/>
            </w:pPr>
            <w:r>
              <w:rPr>
                <w:rFonts w:eastAsia="Arial" w:cs="Arial"/>
                <w:color w:val="1A2B3C"/>
                <w:sz w:val="18"/>
                <w:szCs w:val="18"/>
              </w:rPr>
              <w:t xml:space="preserve">•  </w:t>
            </w:r>
            <w:r>
              <w:rPr>
                <w:rFonts w:eastAsia="Arial" w:cs="Arial"/>
                <w:color w:val="1A2B3C"/>
                <w:sz w:val="18"/>
                <w:szCs w:val="18"/>
              </w:rPr>
              <w:t>Transfer record linked to episode for regulatory documentation and EMTALA compliance</w:t>
            </w:r>
          </w:p>
          <w:p>
            <w:pPr>
              <w:pStyle w:val="Normal"/>
              <w:spacing w:before="0" w:after="50"/>
              <w:rPr/>
            </w:pPr>
            <w:r>
              <w:rPr>
                <w:rFonts w:eastAsia="Arial" w:cs="Arial"/>
                <w:color w:val="1A2B3C"/>
                <w:sz w:val="18"/>
                <w:szCs w:val="18"/>
              </w:rPr>
              <w:t xml:space="preserve">•  </w:t>
            </w:r>
            <w:r>
              <w:rPr>
                <w:rFonts w:eastAsia="Arial" w:cs="Arial"/>
                <w:color w:val="1A2B3C"/>
                <w:sz w:val="18"/>
                <w:szCs w:val="18"/>
              </w:rPr>
              <w:t>Receiving facility pulled from Facility Directory — fax/phone pre-populated</w:t>
            </w:r>
          </w:p>
        </w:tc>
      </w:tr>
    </w:tbl>
    <w:p>
      <w:pPr>
        <w:pStyle w:val="Normal"/>
        <w:spacing w:before="0" w:after="30"/>
        <w:rPr/>
      </w:pPr>
      <w:r>
        <w:rPr/>
      </w:r>
    </w:p>
    <w:tbl>
      <w:tblPr>
        <w:tblW w:w="9360" w:type="dxa"/>
        <w:jc w:val="left"/>
        <w:tblInd w:w="0" w:type="dxa"/>
        <w:tblLayout w:type="fixed"/>
        <w:tblCellMar>
          <w:top w:w="120" w:type="dxa"/>
          <w:left w:w="180" w:type="dxa"/>
          <w:bottom w:w="120" w:type="dxa"/>
          <w:right w:w="180" w:type="dxa"/>
        </w:tblCellMar>
      </w:tblPr>
      <w:tblGrid>
        <w:gridCol w:w="2700"/>
        <w:gridCol w:w="6659"/>
      </w:tblGrid>
      <w:tr>
        <w:trPr/>
        <w:tc>
          <w:tcPr>
            <w:tcW w:w="2700" w:type="dxa"/>
            <w:tcBorders>
              <w:top w:val="single" w:sz="2" w:space="0" w:color="D0DDE8"/>
              <w:left w:val="single" w:sz="2" w:space="0" w:color="D0DDE8"/>
              <w:bottom w:val="single" w:sz="2" w:space="0" w:color="D0DDE8"/>
              <w:right w:val="single" w:sz="2" w:space="0" w:color="D0DDE8"/>
            </w:tcBorders>
            <w:shd w:fill="F4F7FA" w:val="clear"/>
          </w:tcPr>
          <w:p>
            <w:pPr>
              <w:pStyle w:val="Normal"/>
              <w:spacing w:before="0" w:after="40"/>
              <w:rPr/>
            </w:pPr>
            <w:r>
              <w:rPr>
                <w:rFonts w:eastAsia="Arial" w:cs="Arial"/>
                <w:b w:val="false"/>
                <w:bCs w:val="false"/>
                <w:color w:val="6C7A8D"/>
                <w:sz w:val="16"/>
                <w:szCs w:val="16"/>
              </w:rPr>
              <w:t>21</w:t>
            </w:r>
          </w:p>
          <w:p>
            <w:pPr>
              <w:pStyle w:val="Normal"/>
              <w:spacing w:before="0" w:after="60"/>
              <w:rPr/>
            </w:pPr>
            <w:r>
              <w:rPr>
                <w:rFonts w:eastAsia="Arial" w:cs="Arial"/>
                <w:b/>
                <w:bCs/>
                <w:color w:val="1B3A6B"/>
                <w:sz w:val="20"/>
                <w:szCs w:val="20"/>
              </w:rPr>
              <w:t>E-Referral</w:t>
            </w:r>
          </w:p>
          <w:p>
            <w:pPr>
              <w:pStyle w:val="Normal"/>
              <w:spacing w:before="0" w:after="0"/>
              <w:rPr/>
            </w:pPr>
            <w:r>
              <w:rPr>
                <w:rFonts w:eastAsia="Arial" w:cs="Arial"/>
                <w:b w:val="false"/>
                <w:bCs w:val="false"/>
                <w:color w:val="0D6E6E"/>
                <w:sz w:val="15"/>
                <w:szCs w:val="15"/>
              </w:rPr>
              <w:t>TRANSFER &amp; REFERRAL</w:t>
            </w:r>
          </w:p>
        </w:tc>
        <w:tc>
          <w:tcPr>
            <w:tcW w:w="6659" w:type="dxa"/>
            <w:tcBorders>
              <w:top w:val="single" w:sz="2" w:space="0" w:color="D0DDE8"/>
              <w:left w:val="single" w:sz="2" w:space="0" w:color="D0DDE8"/>
              <w:bottom w:val="single" w:sz="2" w:space="0" w:color="D0DDE8"/>
              <w:right w:val="single" w:sz="2" w:space="0" w:color="D0DDE8"/>
            </w:tcBorders>
            <w:shd w:fill="FFFFFF" w:val="clear"/>
            <w:tcMar>
              <w:left w:w="200" w:type="dxa"/>
            </w:tcMar>
          </w:tcPr>
          <w:p>
            <w:pPr>
              <w:pStyle w:val="Normal"/>
              <w:spacing w:before="0" w:after="60"/>
              <w:rPr/>
            </w:pPr>
            <w:r>
              <w:rPr>
                <w:rFonts w:eastAsia="Arial" w:cs="Arial"/>
                <w:b/>
                <w:bCs/>
                <w:color w:val="1A2B3C"/>
                <w:sz w:val="19"/>
                <w:szCs w:val="19"/>
              </w:rPr>
              <w:t>Discharge and transfer referral generation, routing, and response tracking</w:t>
            </w:r>
          </w:p>
          <w:p>
            <w:pPr>
              <w:pStyle w:val="Normal"/>
              <w:spacing w:before="0" w:after="80"/>
              <w:rPr/>
            </w:pPr>
            <w:r>
              <w:rPr>
                <w:rFonts w:eastAsia="Arial" w:cs="Arial"/>
                <w:color w:val="6C7A8D"/>
                <w:sz w:val="18"/>
                <w:szCs w:val="18"/>
              </w:rPr>
              <w:t>Generates structured referral documents for post-discharge care: SNF, home health, cardiology follow-up, or psychiatric transfer. Auto-populated from triage data, clinical summary, and active MAR orders. Supports DRAFT, SENT, and ACCEPTED workflow states.</w:t>
            </w:r>
          </w:p>
          <w:p>
            <w:pPr>
              <w:pStyle w:val="Normal"/>
              <w:spacing w:before="0" w:after="50"/>
              <w:rPr/>
            </w:pPr>
            <w:r>
              <w:rPr>
                <w:rFonts w:eastAsia="Arial" w:cs="Arial"/>
                <w:color w:val="1A2B3C"/>
                <w:sz w:val="18"/>
                <w:szCs w:val="18"/>
              </w:rPr>
              <w:t xml:space="preserve">•  </w:t>
            </w:r>
            <w:r>
              <w:rPr>
                <w:rFonts w:eastAsia="Arial" w:cs="Arial"/>
                <w:color w:val="1A2B3C"/>
                <w:sz w:val="18"/>
                <w:szCs w:val="18"/>
              </w:rPr>
              <w:t>At disposition, E-Referral is auto-drafted with clinical summary, diagnosis, and current medications</w:t>
            </w:r>
          </w:p>
          <w:p>
            <w:pPr>
              <w:pStyle w:val="Normal"/>
              <w:spacing w:before="0" w:after="50"/>
              <w:rPr/>
            </w:pPr>
            <w:r>
              <w:rPr>
                <w:rFonts w:eastAsia="Arial" w:cs="Arial"/>
                <w:color w:val="1A2B3C"/>
                <w:sz w:val="18"/>
                <w:szCs w:val="18"/>
              </w:rPr>
              <w:t xml:space="preserve">•  </w:t>
            </w:r>
            <w:r>
              <w:rPr>
                <w:rFonts w:eastAsia="Arial" w:cs="Arial"/>
                <w:color w:val="1A2B3C"/>
                <w:sz w:val="18"/>
                <w:szCs w:val="18"/>
              </w:rPr>
              <w:t>Medications summary populated directly from active MAR orders — no manual transcription</w:t>
            </w:r>
          </w:p>
          <w:p>
            <w:pPr>
              <w:pStyle w:val="Normal"/>
              <w:spacing w:before="0" w:after="50"/>
              <w:rPr/>
            </w:pPr>
            <w:r>
              <w:rPr>
                <w:rFonts w:eastAsia="Arial" w:cs="Arial"/>
                <w:color w:val="1A2B3C"/>
                <w:sz w:val="18"/>
                <w:szCs w:val="18"/>
              </w:rPr>
              <w:t xml:space="preserve">•  </w:t>
            </w:r>
            <w:r>
              <w:rPr>
                <w:rFonts w:eastAsia="Arial" w:cs="Arial"/>
                <w:color w:val="1A2B3C"/>
                <w:sz w:val="18"/>
                <w:szCs w:val="18"/>
              </w:rPr>
              <w:t>Referral sent via fax or phone to destination facility; method and timestamp recorded</w:t>
            </w:r>
          </w:p>
          <w:p>
            <w:pPr>
              <w:pStyle w:val="Normal"/>
              <w:spacing w:before="0" w:after="50"/>
              <w:rPr/>
            </w:pPr>
            <w:r>
              <w:rPr>
                <w:rFonts w:eastAsia="Arial" w:cs="Arial"/>
                <w:color w:val="1A2B3C"/>
                <w:sz w:val="18"/>
                <w:szCs w:val="18"/>
              </w:rPr>
              <w:t xml:space="preserve">•  </w:t>
            </w:r>
            <w:r>
              <w:rPr>
                <w:rFonts w:eastAsia="Arial" w:cs="Arial"/>
                <w:color w:val="1A2B3C"/>
                <w:sz w:val="18"/>
                <w:szCs w:val="18"/>
              </w:rPr>
              <w:t>Accepting facility can confirm via response entry — status updates to ACCEPTED</w:t>
            </w:r>
          </w:p>
          <w:p>
            <w:pPr>
              <w:pStyle w:val="Normal"/>
              <w:spacing w:before="0" w:after="50"/>
              <w:rPr/>
            </w:pPr>
            <w:r>
              <w:rPr>
                <w:rFonts w:eastAsia="Arial" w:cs="Arial"/>
                <w:color w:val="1A2B3C"/>
                <w:sz w:val="18"/>
                <w:szCs w:val="18"/>
              </w:rPr>
              <w:t xml:space="preserve">•  </w:t>
            </w:r>
            <w:r>
              <w:rPr>
                <w:rFonts w:eastAsia="Arial" w:cs="Arial"/>
                <w:color w:val="1A2B3C"/>
                <w:sz w:val="18"/>
                <w:szCs w:val="18"/>
              </w:rPr>
              <w:t>Sent referrals archived per episode for continuity-of-care documentation</w:t>
            </w:r>
          </w:p>
          <w:p>
            <w:pPr>
              <w:pStyle w:val="Normal"/>
              <w:spacing w:before="0" w:after="50"/>
              <w:rPr/>
            </w:pPr>
            <w:r>
              <w:rPr>
                <w:rFonts w:eastAsia="Arial" w:cs="Arial"/>
                <w:color w:val="1A2B3C"/>
                <w:sz w:val="18"/>
                <w:szCs w:val="18"/>
              </w:rPr>
              <w:t xml:space="preserve">•  </w:t>
            </w:r>
            <w:r>
              <w:rPr>
                <w:rFonts w:eastAsia="Arial" w:cs="Arial"/>
                <w:color w:val="1A2B3C"/>
                <w:sz w:val="18"/>
                <w:szCs w:val="18"/>
              </w:rPr>
              <w:t>Cardiology follow-up referral generated for every chest pain OBS discharge automatically</w:t>
            </w:r>
          </w:p>
        </w:tc>
      </w:tr>
    </w:tbl>
    <w:p>
      <w:pPr>
        <w:pStyle w:val="Normal"/>
        <w:spacing w:before="0" w:after="30"/>
        <w:rPr/>
      </w:pPr>
      <w:r>
        <w:rPr/>
      </w:r>
    </w:p>
    <w:tbl>
      <w:tblPr>
        <w:tblW w:w="9360" w:type="dxa"/>
        <w:jc w:val="left"/>
        <w:tblInd w:w="0" w:type="dxa"/>
        <w:tblLayout w:type="fixed"/>
        <w:tblCellMar>
          <w:top w:w="120" w:type="dxa"/>
          <w:left w:w="180" w:type="dxa"/>
          <w:bottom w:w="120" w:type="dxa"/>
          <w:right w:w="180" w:type="dxa"/>
        </w:tblCellMar>
      </w:tblPr>
      <w:tblGrid>
        <w:gridCol w:w="2700"/>
        <w:gridCol w:w="6659"/>
      </w:tblGrid>
      <w:tr>
        <w:trPr/>
        <w:tc>
          <w:tcPr>
            <w:tcW w:w="2700" w:type="dxa"/>
            <w:tcBorders>
              <w:top w:val="single" w:sz="2" w:space="0" w:color="D0DDE8"/>
              <w:left w:val="single" w:sz="2" w:space="0" w:color="D0DDE8"/>
              <w:bottom w:val="single" w:sz="2" w:space="0" w:color="D0DDE8"/>
              <w:right w:val="single" w:sz="2" w:space="0" w:color="D0DDE8"/>
            </w:tcBorders>
            <w:shd w:fill="F4F7FA" w:val="clear"/>
          </w:tcPr>
          <w:p>
            <w:pPr>
              <w:pStyle w:val="Normal"/>
              <w:spacing w:before="0" w:after="40"/>
              <w:rPr/>
            </w:pPr>
            <w:r>
              <w:rPr>
                <w:rFonts w:eastAsia="Arial" w:cs="Arial"/>
                <w:b w:val="false"/>
                <w:bCs w:val="false"/>
                <w:color w:val="6C7A8D"/>
                <w:sz w:val="16"/>
                <w:szCs w:val="16"/>
              </w:rPr>
              <w:t>22</w:t>
            </w:r>
          </w:p>
          <w:p>
            <w:pPr>
              <w:pStyle w:val="Normal"/>
              <w:spacing w:before="0" w:after="60"/>
              <w:rPr/>
            </w:pPr>
            <w:r>
              <w:rPr>
                <w:rFonts w:eastAsia="Arial" w:cs="Arial"/>
                <w:b/>
                <w:bCs/>
                <w:color w:val="1B3A6B"/>
                <w:sz w:val="20"/>
                <w:szCs w:val="20"/>
              </w:rPr>
              <w:t>Facility Directory</w:t>
            </w:r>
          </w:p>
          <w:p>
            <w:pPr>
              <w:pStyle w:val="Normal"/>
              <w:spacing w:before="0" w:after="0"/>
              <w:rPr/>
            </w:pPr>
            <w:r>
              <w:rPr>
                <w:rFonts w:eastAsia="Arial" w:cs="Arial"/>
                <w:b w:val="false"/>
                <w:bCs w:val="false"/>
                <w:color w:val="0D6E6E"/>
                <w:sz w:val="15"/>
                <w:szCs w:val="15"/>
              </w:rPr>
              <w:t>TRANSFER &amp; REFERRAL</w:t>
            </w:r>
          </w:p>
        </w:tc>
        <w:tc>
          <w:tcPr>
            <w:tcW w:w="6659" w:type="dxa"/>
            <w:tcBorders>
              <w:top w:val="single" w:sz="2" w:space="0" w:color="D0DDE8"/>
              <w:left w:val="single" w:sz="2" w:space="0" w:color="D0DDE8"/>
              <w:bottom w:val="single" w:sz="2" w:space="0" w:color="D0DDE8"/>
              <w:right w:val="single" w:sz="2" w:space="0" w:color="D0DDE8"/>
            </w:tcBorders>
            <w:shd w:fill="FFFFFF" w:val="clear"/>
            <w:tcMar>
              <w:left w:w="200" w:type="dxa"/>
            </w:tcMar>
          </w:tcPr>
          <w:p>
            <w:pPr>
              <w:pStyle w:val="Normal"/>
              <w:spacing w:before="0" w:after="60"/>
              <w:rPr/>
            </w:pPr>
            <w:r>
              <w:rPr>
                <w:rFonts w:eastAsia="Arial" w:cs="Arial"/>
                <w:b/>
                <w:bCs/>
                <w:color w:val="1A2B3C"/>
                <w:sz w:val="19"/>
                <w:szCs w:val="19"/>
              </w:rPr>
              <w:t>Curated directory of receiving facilities, specialists, and post-acute partners</w:t>
            </w:r>
          </w:p>
          <w:p>
            <w:pPr>
              <w:pStyle w:val="Normal"/>
              <w:spacing w:before="0" w:after="80"/>
              <w:rPr/>
            </w:pPr>
            <w:r>
              <w:rPr>
                <w:rFonts w:eastAsia="Arial" w:cs="Arial"/>
                <w:color w:val="6C7A8D"/>
                <w:sz w:val="18"/>
                <w:szCs w:val="18"/>
              </w:rPr>
              <w:t>Maintains the organized list of referral destinations: trauma centers, ICUs, SNFs, home health agencies, BH facilities, and specialist groups. Each entry holds phone, fax, address, hours, and service type.</w:t>
            </w:r>
          </w:p>
          <w:p>
            <w:pPr>
              <w:pStyle w:val="Normal"/>
              <w:spacing w:before="0" w:after="50"/>
              <w:rPr/>
            </w:pPr>
            <w:r>
              <w:rPr>
                <w:rFonts w:eastAsia="Arial" w:cs="Arial"/>
                <w:color w:val="1A2B3C"/>
                <w:sz w:val="18"/>
                <w:szCs w:val="18"/>
              </w:rPr>
              <w:t xml:space="preserve">•  </w:t>
            </w:r>
            <w:r>
              <w:rPr>
                <w:rFonts w:eastAsia="Arial" w:cs="Arial"/>
                <w:color w:val="1A2B3C"/>
                <w:sz w:val="18"/>
                <w:szCs w:val="18"/>
              </w:rPr>
              <w:t>E-Referral lookup pulls destination name, fax, and phone from directory automatically</w:t>
            </w:r>
          </w:p>
          <w:p>
            <w:pPr>
              <w:pStyle w:val="Normal"/>
              <w:spacing w:before="0" w:after="50"/>
              <w:rPr/>
            </w:pPr>
            <w:r>
              <w:rPr>
                <w:rFonts w:eastAsia="Arial" w:cs="Arial"/>
                <w:color w:val="1A2B3C"/>
                <w:sz w:val="18"/>
                <w:szCs w:val="18"/>
              </w:rPr>
              <w:t xml:space="preserve">•  </w:t>
            </w:r>
            <w:r>
              <w:rPr>
                <w:rFonts w:eastAsia="Arial" w:cs="Arial"/>
                <w:color w:val="1A2B3C"/>
                <w:sz w:val="18"/>
                <w:szCs w:val="18"/>
              </w:rPr>
              <w:t>BH Boarding page filters directory to BH service type for placement call list</w:t>
            </w:r>
          </w:p>
          <w:p>
            <w:pPr>
              <w:pStyle w:val="Normal"/>
              <w:spacing w:before="0" w:after="50"/>
              <w:rPr/>
            </w:pPr>
            <w:r>
              <w:rPr>
                <w:rFonts w:eastAsia="Arial" w:cs="Arial"/>
                <w:color w:val="1A2B3C"/>
                <w:sz w:val="18"/>
                <w:szCs w:val="18"/>
              </w:rPr>
              <w:t xml:space="preserve">•  </w:t>
            </w:r>
            <w:r>
              <w:rPr>
                <w:rFonts w:eastAsia="Arial" w:cs="Arial"/>
                <w:color w:val="1A2B3C"/>
                <w:sz w:val="18"/>
                <w:szCs w:val="18"/>
              </w:rPr>
              <w:t>Transfer Tracking pre-populates receiving facility contact from directory entry</w:t>
            </w:r>
          </w:p>
          <w:p>
            <w:pPr>
              <w:pStyle w:val="Normal"/>
              <w:spacing w:before="0" w:after="50"/>
              <w:rPr/>
            </w:pPr>
            <w:r>
              <w:rPr>
                <w:rFonts w:eastAsia="Arial" w:cs="Arial"/>
                <w:color w:val="1A2B3C"/>
                <w:sz w:val="18"/>
                <w:szCs w:val="18"/>
              </w:rPr>
              <w:t xml:space="preserve">•  </w:t>
            </w:r>
            <w:r>
              <w:rPr>
                <w:rFonts w:eastAsia="Arial" w:cs="Arial"/>
                <w:color w:val="1A2B3C"/>
                <w:sz w:val="18"/>
                <w:szCs w:val="18"/>
              </w:rPr>
              <w:t>Directory maintained by admin — updates propagate immediately to all referral workflows</w:t>
            </w:r>
          </w:p>
          <w:p>
            <w:pPr>
              <w:pStyle w:val="Normal"/>
              <w:spacing w:before="0" w:after="50"/>
              <w:rPr/>
            </w:pPr>
            <w:r>
              <w:rPr>
                <w:rFonts w:eastAsia="Arial" w:cs="Arial"/>
                <w:color w:val="1A2B3C"/>
                <w:sz w:val="18"/>
                <w:szCs w:val="18"/>
              </w:rPr>
              <w:t xml:space="preserve">•  </w:t>
            </w:r>
            <w:r>
              <w:rPr>
                <w:rFonts w:eastAsia="Arial" w:cs="Arial"/>
                <w:color w:val="1A2B3C"/>
                <w:sz w:val="18"/>
                <w:szCs w:val="18"/>
              </w:rPr>
              <w:t>Service type filtering (ICU, SNF, CARDIOLOGY) surfaces relevant destinations contextually</w:t>
            </w:r>
          </w:p>
        </w:tc>
      </w:tr>
    </w:tbl>
    <w:p>
      <w:pPr>
        <w:pStyle w:val="Normal"/>
        <w:spacing w:before="0" w:after="50"/>
        <w:rPr/>
      </w:pPr>
      <w:r>
        <w:rPr/>
      </w:r>
    </w:p>
    <w:p>
      <w:pPr>
        <w:pStyle w:val="Normal"/>
        <w:rPr/>
      </w:pPr>
      <w:r>
        <w:rPr/>
      </w:r>
      <w:r>
        <w:br w:type="page"/>
      </w:r>
    </w:p>
    <w:tbl>
      <w:tblPr>
        <w:tblW w:w="9360" w:type="dxa"/>
        <w:jc w:val="left"/>
        <w:tblInd w:w="0" w:type="dxa"/>
        <w:tblLayout w:type="fixed"/>
        <w:tblCellMar>
          <w:top w:w="160" w:type="dxa"/>
          <w:left w:w="260" w:type="dxa"/>
          <w:bottom w:w="160" w:type="dxa"/>
          <w:right w:w="260" w:type="dxa"/>
        </w:tblCellMar>
      </w:tblPr>
      <w:tblGrid>
        <w:gridCol w:w="9360"/>
      </w:tblGrid>
      <w:tr>
        <w:trPr/>
        <w:tc>
          <w:tcPr>
            <w:tcW w:w="9360" w:type="dxa"/>
            <w:tcBorders/>
            <w:shd w:fill="1B3A6B" w:val="clear"/>
          </w:tcPr>
          <w:p>
            <w:pPr>
              <w:pStyle w:val="Normal"/>
              <w:pageBreakBefore/>
              <w:spacing w:before="0" w:after="30"/>
              <w:rPr/>
            </w:pPr>
            <w:r>
              <w:rPr>
                <w:rFonts w:eastAsia="Arial" w:cs="Arial"/>
                <w:b/>
                <w:bCs/>
                <w:color w:val="FFFFFF"/>
                <w:sz w:val="22"/>
                <w:szCs w:val="22"/>
              </w:rPr>
              <w:t>GROUP G  —  Operations &amp; Administration</w:t>
            </w:r>
          </w:p>
          <w:p>
            <w:pPr>
              <w:pStyle w:val="Normal"/>
              <w:spacing w:before="0" w:after="0"/>
              <w:rPr/>
            </w:pPr>
            <w:r>
              <w:rPr>
                <w:rFonts w:eastAsia="Arial" w:cs="Arial"/>
                <w:color w:val="A8C4D0"/>
                <w:sz w:val="17"/>
                <w:szCs w:val="17"/>
              </w:rPr>
              <w:t>Throughput analytics, multi-facility oversight, and system configuration</w:t>
            </w:r>
          </w:p>
        </w:tc>
      </w:tr>
    </w:tbl>
    <w:p>
      <w:pPr>
        <w:pStyle w:val="Normal"/>
        <w:spacing w:before="0" w:after="40"/>
        <w:rPr/>
      </w:pPr>
      <w:r>
        <w:rPr/>
      </w:r>
    </w:p>
    <w:tbl>
      <w:tblPr>
        <w:tblW w:w="9360" w:type="dxa"/>
        <w:jc w:val="left"/>
        <w:tblInd w:w="0" w:type="dxa"/>
        <w:tblLayout w:type="fixed"/>
        <w:tblCellMar>
          <w:top w:w="120" w:type="dxa"/>
          <w:left w:w="180" w:type="dxa"/>
          <w:bottom w:w="120" w:type="dxa"/>
          <w:right w:w="180" w:type="dxa"/>
        </w:tblCellMar>
      </w:tblPr>
      <w:tblGrid>
        <w:gridCol w:w="2700"/>
        <w:gridCol w:w="6659"/>
      </w:tblGrid>
      <w:tr>
        <w:trPr/>
        <w:tc>
          <w:tcPr>
            <w:tcW w:w="2700" w:type="dxa"/>
            <w:tcBorders>
              <w:top w:val="single" w:sz="2" w:space="0" w:color="D0DDE8"/>
              <w:left w:val="single" w:sz="2" w:space="0" w:color="D0DDE8"/>
              <w:bottom w:val="single" w:sz="2" w:space="0" w:color="D0DDE8"/>
              <w:right w:val="single" w:sz="2" w:space="0" w:color="D0DDE8"/>
            </w:tcBorders>
            <w:shd w:fill="F4F7FA" w:val="clear"/>
          </w:tcPr>
          <w:p>
            <w:pPr>
              <w:pStyle w:val="Normal"/>
              <w:spacing w:before="0" w:after="40"/>
              <w:rPr/>
            </w:pPr>
            <w:r>
              <w:rPr>
                <w:rFonts w:eastAsia="Arial" w:cs="Arial"/>
                <w:b w:val="false"/>
                <w:bCs w:val="false"/>
                <w:color w:val="6C7A8D"/>
                <w:sz w:val="16"/>
                <w:szCs w:val="16"/>
              </w:rPr>
              <w:t>23</w:t>
            </w:r>
          </w:p>
          <w:p>
            <w:pPr>
              <w:pStyle w:val="Normal"/>
              <w:spacing w:before="0" w:after="60"/>
              <w:rPr/>
            </w:pPr>
            <w:r>
              <w:rPr>
                <w:rFonts w:eastAsia="Arial" w:cs="Arial"/>
                <w:b/>
                <w:bCs/>
                <w:color w:val="1B3A6B"/>
                <w:sz w:val="20"/>
                <w:szCs w:val="20"/>
              </w:rPr>
              <w:t>ED Board</w:t>
            </w:r>
          </w:p>
          <w:p>
            <w:pPr>
              <w:pStyle w:val="Normal"/>
              <w:spacing w:before="0" w:after="0"/>
              <w:rPr/>
            </w:pPr>
            <w:r>
              <w:rPr>
                <w:rFonts w:eastAsia="Arial" w:cs="Arial"/>
                <w:b w:val="false"/>
                <w:bCs w:val="false"/>
                <w:color w:val="0D6E6E"/>
                <w:sz w:val="15"/>
                <w:szCs w:val="15"/>
              </w:rPr>
              <w:t>OPERATIONS</w:t>
            </w:r>
          </w:p>
        </w:tc>
        <w:tc>
          <w:tcPr>
            <w:tcW w:w="6659" w:type="dxa"/>
            <w:tcBorders>
              <w:top w:val="single" w:sz="2" w:space="0" w:color="D0DDE8"/>
              <w:left w:val="single" w:sz="2" w:space="0" w:color="D0DDE8"/>
              <w:bottom w:val="single" w:sz="2" w:space="0" w:color="D0DDE8"/>
              <w:right w:val="single" w:sz="2" w:space="0" w:color="D0DDE8"/>
            </w:tcBorders>
            <w:shd w:fill="FFFFFF" w:val="clear"/>
            <w:tcMar>
              <w:left w:w="200" w:type="dxa"/>
            </w:tcMar>
          </w:tcPr>
          <w:p>
            <w:pPr>
              <w:pStyle w:val="Normal"/>
              <w:spacing w:before="0" w:after="60"/>
              <w:rPr/>
            </w:pPr>
            <w:r>
              <w:rPr>
                <w:rFonts w:eastAsia="Arial" w:cs="Arial"/>
                <w:b/>
                <w:bCs/>
                <w:color w:val="1A2B3C"/>
                <w:sz w:val="19"/>
                <w:szCs w:val="19"/>
              </w:rPr>
              <w:t>The primary real-time command surface for the emergency department</w:t>
            </w:r>
          </w:p>
          <w:p>
            <w:pPr>
              <w:pStyle w:val="Normal"/>
              <w:spacing w:before="0" w:after="80"/>
              <w:rPr/>
            </w:pPr>
            <w:r>
              <w:rPr>
                <w:rFonts w:eastAsia="Arial" w:cs="Arial"/>
                <w:color w:val="6C7A8D"/>
                <w:sz w:val="18"/>
                <w:szCs w:val="18"/>
              </w:rPr>
              <w:t>The central operational view: all active patients on a single screen with ESI color coding, room assignment, elapsed time, status badges, alert indicators, task counts, and MAR flags. Designed for the charge nurse to manage the entire department at a glance.</w:t>
            </w:r>
          </w:p>
          <w:p>
            <w:pPr>
              <w:pStyle w:val="Normal"/>
              <w:spacing w:before="0" w:after="50"/>
              <w:rPr/>
            </w:pPr>
            <w:r>
              <w:rPr>
                <w:rFonts w:eastAsia="Arial" w:cs="Arial"/>
                <w:color w:val="1A2B3C"/>
                <w:sz w:val="18"/>
                <w:szCs w:val="18"/>
              </w:rPr>
              <w:t xml:space="preserve">•  </w:t>
            </w:r>
            <w:r>
              <w:rPr>
                <w:rFonts w:eastAsia="Arial" w:cs="Arial"/>
                <w:color w:val="1A2B3C"/>
                <w:sz w:val="18"/>
                <w:szCs w:val="18"/>
              </w:rPr>
              <w:t>Charge nurse keeps ED Board open as the primary screen throughout the shift</w:t>
            </w:r>
          </w:p>
          <w:p>
            <w:pPr>
              <w:pStyle w:val="Normal"/>
              <w:spacing w:before="0" w:after="50"/>
              <w:rPr/>
            </w:pPr>
            <w:r>
              <w:rPr>
                <w:rFonts w:eastAsia="Arial" w:cs="Arial"/>
                <w:color w:val="1A2B3C"/>
                <w:sz w:val="18"/>
                <w:szCs w:val="18"/>
              </w:rPr>
              <w:t xml:space="preserve">•  </w:t>
            </w:r>
            <w:r>
              <w:rPr>
                <w:rFonts w:eastAsia="Arial" w:cs="Arial"/>
                <w:color w:val="1A2B3C"/>
                <w:sz w:val="18"/>
                <w:szCs w:val="18"/>
              </w:rPr>
              <w:t>ESI-1 patients shown with black badge; ESI-2 red; ESI-3 orange — immediately visible priority</w:t>
            </w:r>
          </w:p>
          <w:p>
            <w:pPr>
              <w:pStyle w:val="Normal"/>
              <w:spacing w:before="0" w:after="50"/>
              <w:rPr/>
            </w:pPr>
            <w:r>
              <w:rPr>
                <w:rFonts w:eastAsia="Arial" w:cs="Arial"/>
                <w:color w:val="1A2B3C"/>
                <w:sz w:val="18"/>
                <w:szCs w:val="18"/>
              </w:rPr>
              <w:t xml:space="preserve">•  </w:t>
            </w:r>
            <w:r>
              <w:rPr>
                <w:rFonts w:eastAsia="Arial" w:cs="Arial"/>
                <w:color w:val="1A2B3C"/>
                <w:sz w:val="18"/>
                <w:szCs w:val="18"/>
              </w:rPr>
              <w:t>Elapsed time column turns red when LWBS threshold exceeded (configurable, default 120 min)</w:t>
            </w:r>
          </w:p>
          <w:p>
            <w:pPr>
              <w:pStyle w:val="Normal"/>
              <w:spacing w:before="0" w:after="50"/>
              <w:rPr/>
            </w:pPr>
            <w:r>
              <w:rPr>
                <w:rFonts w:eastAsia="Arial" w:cs="Arial"/>
                <w:color w:val="1A2B3C"/>
                <w:sz w:val="18"/>
                <w:szCs w:val="18"/>
              </w:rPr>
              <w:t xml:space="preserve">•  </w:t>
            </w:r>
            <w:r>
              <w:rPr>
                <w:rFonts w:eastAsia="Arial" w:cs="Arial"/>
                <w:color w:val="1A2B3C"/>
                <w:sz w:val="18"/>
                <w:szCs w:val="18"/>
              </w:rPr>
              <w:t>Alert icons (sepsis, MAR overdue, boarding) overlay each patient row without separate navigation</w:t>
            </w:r>
          </w:p>
          <w:p>
            <w:pPr>
              <w:pStyle w:val="Normal"/>
              <w:spacing w:before="0" w:after="50"/>
              <w:rPr/>
            </w:pPr>
            <w:r>
              <w:rPr>
                <w:rFonts w:eastAsia="Arial" w:cs="Arial"/>
                <w:color w:val="1A2B3C"/>
                <w:sz w:val="18"/>
                <w:szCs w:val="18"/>
              </w:rPr>
              <w:t xml:space="preserve">•  </w:t>
            </w:r>
            <w:r>
              <w:rPr>
                <w:rFonts w:eastAsia="Arial" w:cs="Arial"/>
                <w:color w:val="1A2B3C"/>
                <w:sz w:val="18"/>
                <w:szCs w:val="18"/>
              </w:rPr>
              <w:t>Door-to-provider and door-to-room intervals calculated live for every patient</w:t>
            </w:r>
          </w:p>
          <w:p>
            <w:pPr>
              <w:pStyle w:val="Normal"/>
              <w:spacing w:before="0" w:after="50"/>
              <w:rPr/>
            </w:pPr>
            <w:r>
              <w:rPr>
                <w:rFonts w:eastAsia="Arial" w:cs="Arial"/>
                <w:color w:val="1A2B3C"/>
                <w:sz w:val="18"/>
                <w:szCs w:val="18"/>
              </w:rPr>
              <w:t xml:space="preserve">•  </w:t>
            </w:r>
            <w:r>
              <w:rPr>
                <w:rFonts w:eastAsia="Arial" w:cs="Arial"/>
                <w:color w:val="1A2B3C"/>
                <w:sz w:val="18"/>
                <w:szCs w:val="18"/>
              </w:rPr>
              <w:t>Auto-refreshes every 60 seconds — no manual page reload required</w:t>
            </w:r>
          </w:p>
        </w:tc>
      </w:tr>
    </w:tbl>
    <w:p>
      <w:pPr>
        <w:pStyle w:val="Normal"/>
        <w:spacing w:before="0" w:after="30"/>
        <w:rPr/>
      </w:pPr>
      <w:r>
        <w:rPr/>
      </w:r>
    </w:p>
    <w:tbl>
      <w:tblPr>
        <w:tblW w:w="9360" w:type="dxa"/>
        <w:jc w:val="left"/>
        <w:tblInd w:w="0" w:type="dxa"/>
        <w:tblLayout w:type="fixed"/>
        <w:tblCellMar>
          <w:top w:w="120" w:type="dxa"/>
          <w:left w:w="180" w:type="dxa"/>
          <w:bottom w:w="120" w:type="dxa"/>
          <w:right w:w="180" w:type="dxa"/>
        </w:tblCellMar>
      </w:tblPr>
      <w:tblGrid>
        <w:gridCol w:w="2700"/>
        <w:gridCol w:w="6659"/>
      </w:tblGrid>
      <w:tr>
        <w:trPr/>
        <w:tc>
          <w:tcPr>
            <w:tcW w:w="2700" w:type="dxa"/>
            <w:tcBorders>
              <w:top w:val="single" w:sz="2" w:space="0" w:color="D0DDE8"/>
              <w:left w:val="single" w:sz="2" w:space="0" w:color="D0DDE8"/>
              <w:bottom w:val="single" w:sz="2" w:space="0" w:color="D0DDE8"/>
              <w:right w:val="single" w:sz="2" w:space="0" w:color="D0DDE8"/>
            </w:tcBorders>
            <w:shd w:fill="F4F7FA" w:val="clear"/>
          </w:tcPr>
          <w:p>
            <w:pPr>
              <w:pStyle w:val="Normal"/>
              <w:spacing w:before="0" w:after="40"/>
              <w:rPr/>
            </w:pPr>
            <w:r>
              <w:rPr>
                <w:rFonts w:eastAsia="Arial" w:cs="Arial"/>
                <w:b w:val="false"/>
                <w:bCs w:val="false"/>
                <w:color w:val="6C7A8D"/>
                <w:sz w:val="16"/>
                <w:szCs w:val="16"/>
              </w:rPr>
              <w:t>24</w:t>
            </w:r>
          </w:p>
          <w:p>
            <w:pPr>
              <w:pStyle w:val="Normal"/>
              <w:spacing w:before="0" w:after="60"/>
              <w:rPr/>
            </w:pPr>
            <w:r>
              <w:rPr>
                <w:rFonts w:eastAsia="Arial" w:cs="Arial"/>
                <w:b/>
                <w:bCs/>
                <w:color w:val="1B3A6B"/>
                <w:sz w:val="20"/>
                <w:szCs w:val="20"/>
              </w:rPr>
              <w:t>Throughput Dashboard</w:t>
            </w:r>
          </w:p>
          <w:p>
            <w:pPr>
              <w:pStyle w:val="Normal"/>
              <w:spacing w:before="0" w:after="0"/>
              <w:rPr/>
            </w:pPr>
            <w:r>
              <w:rPr>
                <w:rFonts w:eastAsia="Arial" w:cs="Arial"/>
                <w:b w:val="false"/>
                <w:bCs w:val="false"/>
                <w:color w:val="0D6E6E"/>
                <w:sz w:val="15"/>
                <w:szCs w:val="15"/>
              </w:rPr>
              <w:t>OPERATIONS</w:t>
            </w:r>
          </w:p>
        </w:tc>
        <w:tc>
          <w:tcPr>
            <w:tcW w:w="6659" w:type="dxa"/>
            <w:tcBorders>
              <w:top w:val="single" w:sz="2" w:space="0" w:color="D0DDE8"/>
              <w:left w:val="single" w:sz="2" w:space="0" w:color="D0DDE8"/>
              <w:bottom w:val="single" w:sz="2" w:space="0" w:color="D0DDE8"/>
              <w:right w:val="single" w:sz="2" w:space="0" w:color="D0DDE8"/>
            </w:tcBorders>
            <w:shd w:fill="FFFFFF" w:val="clear"/>
            <w:tcMar>
              <w:left w:w="200" w:type="dxa"/>
            </w:tcMar>
          </w:tcPr>
          <w:p>
            <w:pPr>
              <w:pStyle w:val="Normal"/>
              <w:spacing w:before="0" w:after="60"/>
              <w:rPr/>
            </w:pPr>
            <w:r>
              <w:rPr>
                <w:rFonts w:eastAsia="Arial" w:cs="Arial"/>
                <w:b/>
                <w:bCs/>
                <w:color w:val="1A2B3C"/>
                <w:sz w:val="19"/>
                <w:szCs w:val="19"/>
              </w:rPr>
              <w:t>Department-level flow metrics with real-time and historical trending</w:t>
            </w:r>
          </w:p>
          <w:p>
            <w:pPr>
              <w:pStyle w:val="Normal"/>
              <w:spacing w:before="0" w:after="80"/>
              <w:rPr/>
            </w:pPr>
            <w:r>
              <w:rPr>
                <w:rFonts w:eastAsia="Arial" w:cs="Arial"/>
                <w:color w:val="6C7A8D"/>
                <w:sz w:val="18"/>
                <w:szCs w:val="18"/>
              </w:rPr>
              <w:t>Aggregates throughput metrics across all active and recent episodes: door-to-triage, door-to-room, door-to-provider, length-of-stay, LWBS rate, and obs conversion rate. Rendered with Canvas-drawn trend charts.</w:t>
            </w:r>
          </w:p>
          <w:p>
            <w:pPr>
              <w:pStyle w:val="Normal"/>
              <w:spacing w:before="0" w:after="50"/>
              <w:rPr/>
            </w:pPr>
            <w:r>
              <w:rPr>
                <w:rFonts w:eastAsia="Arial" w:cs="Arial"/>
                <w:color w:val="1A2B3C"/>
                <w:sz w:val="18"/>
                <w:szCs w:val="18"/>
              </w:rPr>
              <w:t xml:space="preserve">•  </w:t>
            </w:r>
            <w:r>
              <w:rPr>
                <w:rFonts w:eastAsia="Arial" w:cs="Arial"/>
                <w:color w:val="1A2B3C"/>
                <w:sz w:val="18"/>
                <w:szCs w:val="18"/>
              </w:rPr>
              <w:t>Nursing director reviews Throughput at the start of each shift to assess current flow pressure</w:t>
            </w:r>
          </w:p>
          <w:p>
            <w:pPr>
              <w:pStyle w:val="Normal"/>
              <w:spacing w:before="0" w:after="50"/>
              <w:rPr/>
            </w:pPr>
            <w:r>
              <w:rPr>
                <w:rFonts w:eastAsia="Arial" w:cs="Arial"/>
                <w:color w:val="1A2B3C"/>
                <w:sz w:val="18"/>
                <w:szCs w:val="18"/>
              </w:rPr>
              <w:t xml:space="preserve">•  </w:t>
            </w:r>
            <w:r>
              <w:rPr>
                <w:rFonts w:eastAsia="Arial" w:cs="Arial"/>
                <w:color w:val="1A2B3C"/>
                <w:sz w:val="18"/>
                <w:szCs w:val="18"/>
              </w:rPr>
              <w:t>LOS distribution chart identifies outlier episodes for intervention</w:t>
            </w:r>
          </w:p>
          <w:p>
            <w:pPr>
              <w:pStyle w:val="Normal"/>
              <w:spacing w:before="0" w:after="50"/>
              <w:rPr/>
            </w:pPr>
            <w:r>
              <w:rPr>
                <w:rFonts w:eastAsia="Arial" w:cs="Arial"/>
                <w:color w:val="1A2B3C"/>
                <w:sz w:val="18"/>
                <w:szCs w:val="18"/>
              </w:rPr>
              <w:t xml:space="preserve">•  </w:t>
            </w:r>
            <w:r>
              <w:rPr>
                <w:rFonts w:eastAsia="Arial" w:cs="Arial"/>
                <w:color w:val="1A2B3C"/>
                <w:sz w:val="18"/>
                <w:szCs w:val="18"/>
              </w:rPr>
              <w:t>LWBS rate trending over 30 days surfaces operational bottlenecks</w:t>
            </w:r>
          </w:p>
          <w:p>
            <w:pPr>
              <w:pStyle w:val="Normal"/>
              <w:spacing w:before="0" w:after="50"/>
              <w:rPr/>
            </w:pPr>
            <w:r>
              <w:rPr>
                <w:rFonts w:eastAsia="Arial" w:cs="Arial"/>
                <w:color w:val="1A2B3C"/>
                <w:sz w:val="18"/>
                <w:szCs w:val="18"/>
              </w:rPr>
              <w:t xml:space="preserve">•  </w:t>
            </w:r>
            <w:r>
              <w:rPr>
                <w:rFonts w:eastAsia="Arial" w:cs="Arial"/>
                <w:color w:val="1A2B3C"/>
                <w:sz w:val="18"/>
                <w:szCs w:val="18"/>
              </w:rPr>
              <w:t>Peak volume heatmap by hour of day informs staffing and resource planning decisions</w:t>
            </w:r>
          </w:p>
          <w:p>
            <w:pPr>
              <w:pStyle w:val="Normal"/>
              <w:spacing w:before="0" w:after="50"/>
              <w:rPr/>
            </w:pPr>
            <w:r>
              <w:rPr>
                <w:rFonts w:eastAsia="Arial" w:cs="Arial"/>
                <w:color w:val="1A2B3C"/>
                <w:sz w:val="18"/>
                <w:szCs w:val="18"/>
              </w:rPr>
              <w:t xml:space="preserve">•  </w:t>
            </w:r>
            <w:r>
              <w:rPr>
                <w:rFonts w:eastAsia="Arial" w:cs="Arial"/>
                <w:color w:val="1A2B3C"/>
                <w:sz w:val="18"/>
                <w:szCs w:val="18"/>
              </w:rPr>
              <w:t>All metrics filterable by date range, acuity level, and arrival mode</w:t>
            </w:r>
          </w:p>
        </w:tc>
      </w:tr>
    </w:tbl>
    <w:p>
      <w:pPr>
        <w:pStyle w:val="Normal"/>
        <w:spacing w:before="0" w:after="30"/>
        <w:rPr/>
      </w:pPr>
      <w:r>
        <w:rPr/>
      </w:r>
    </w:p>
    <w:tbl>
      <w:tblPr>
        <w:tblW w:w="9360" w:type="dxa"/>
        <w:jc w:val="left"/>
        <w:tblInd w:w="0" w:type="dxa"/>
        <w:tblLayout w:type="fixed"/>
        <w:tblCellMar>
          <w:top w:w="120" w:type="dxa"/>
          <w:left w:w="180" w:type="dxa"/>
          <w:bottom w:w="120" w:type="dxa"/>
          <w:right w:w="180" w:type="dxa"/>
        </w:tblCellMar>
      </w:tblPr>
      <w:tblGrid>
        <w:gridCol w:w="2700"/>
        <w:gridCol w:w="6659"/>
      </w:tblGrid>
      <w:tr>
        <w:trPr/>
        <w:tc>
          <w:tcPr>
            <w:tcW w:w="2700" w:type="dxa"/>
            <w:tcBorders>
              <w:top w:val="single" w:sz="2" w:space="0" w:color="D0DDE8"/>
              <w:left w:val="single" w:sz="2" w:space="0" w:color="D0DDE8"/>
              <w:bottom w:val="single" w:sz="2" w:space="0" w:color="D0DDE8"/>
              <w:right w:val="single" w:sz="2" w:space="0" w:color="D0DDE8"/>
            </w:tcBorders>
            <w:shd w:fill="F4F7FA" w:val="clear"/>
          </w:tcPr>
          <w:p>
            <w:pPr>
              <w:pStyle w:val="Normal"/>
              <w:spacing w:before="0" w:after="40"/>
              <w:rPr/>
            </w:pPr>
            <w:r>
              <w:rPr>
                <w:rFonts w:eastAsia="Arial" w:cs="Arial"/>
                <w:b w:val="false"/>
                <w:bCs w:val="false"/>
                <w:color w:val="6C7A8D"/>
                <w:sz w:val="16"/>
                <w:szCs w:val="16"/>
              </w:rPr>
              <w:t>25</w:t>
            </w:r>
          </w:p>
          <w:p>
            <w:pPr>
              <w:pStyle w:val="Normal"/>
              <w:spacing w:before="0" w:after="60"/>
              <w:rPr/>
            </w:pPr>
            <w:r>
              <w:rPr>
                <w:rFonts w:eastAsia="Arial" w:cs="Arial"/>
                <w:b/>
                <w:bCs/>
                <w:color w:val="1B3A6B"/>
                <w:sz w:val="20"/>
                <w:szCs w:val="20"/>
              </w:rPr>
              <w:t>Command Center</w:t>
            </w:r>
          </w:p>
          <w:p>
            <w:pPr>
              <w:pStyle w:val="Normal"/>
              <w:spacing w:before="0" w:after="0"/>
              <w:rPr/>
            </w:pPr>
            <w:r>
              <w:rPr>
                <w:rFonts w:eastAsia="Arial" w:cs="Arial"/>
                <w:b w:val="false"/>
                <w:bCs w:val="false"/>
                <w:color w:val="0D6E6E"/>
                <w:sz w:val="15"/>
                <w:szCs w:val="15"/>
              </w:rPr>
              <w:t>OPERATIONS</w:t>
            </w:r>
          </w:p>
        </w:tc>
        <w:tc>
          <w:tcPr>
            <w:tcW w:w="6659" w:type="dxa"/>
            <w:tcBorders>
              <w:top w:val="single" w:sz="2" w:space="0" w:color="D0DDE8"/>
              <w:left w:val="single" w:sz="2" w:space="0" w:color="D0DDE8"/>
              <w:bottom w:val="single" w:sz="2" w:space="0" w:color="D0DDE8"/>
              <w:right w:val="single" w:sz="2" w:space="0" w:color="D0DDE8"/>
            </w:tcBorders>
            <w:shd w:fill="FFFFFF" w:val="clear"/>
            <w:tcMar>
              <w:left w:w="200" w:type="dxa"/>
            </w:tcMar>
          </w:tcPr>
          <w:p>
            <w:pPr>
              <w:pStyle w:val="Normal"/>
              <w:spacing w:before="0" w:after="60"/>
              <w:rPr/>
            </w:pPr>
            <w:r>
              <w:rPr>
                <w:rFonts w:eastAsia="Arial" w:cs="Arial"/>
                <w:b/>
                <w:bCs/>
                <w:color w:val="1A2B3C"/>
                <w:sz w:val="19"/>
                <w:szCs w:val="19"/>
              </w:rPr>
              <w:t>Executive situational awareness: capacity, diversion, and critical census at a glance</w:t>
            </w:r>
          </w:p>
          <w:p>
            <w:pPr>
              <w:pStyle w:val="Normal"/>
              <w:spacing w:before="0" w:after="80"/>
              <w:rPr/>
            </w:pPr>
            <w:r>
              <w:rPr>
                <w:rFonts w:eastAsia="Arial" w:cs="Arial"/>
                <w:color w:val="6C7A8D"/>
                <w:sz w:val="18"/>
                <w:szCs w:val="18"/>
              </w:rPr>
              <w:t>A high-level operational dashboard designed for nursing directors and administrators: real-time capacity utilization, diversion status summary, boarding count, patients by acuity, and high-priority alert count.</w:t>
            </w:r>
          </w:p>
          <w:p>
            <w:pPr>
              <w:pStyle w:val="Normal"/>
              <w:spacing w:before="0" w:after="50"/>
              <w:rPr/>
            </w:pPr>
            <w:r>
              <w:rPr>
                <w:rFonts w:eastAsia="Arial" w:cs="Arial"/>
                <w:color w:val="1A2B3C"/>
                <w:sz w:val="18"/>
                <w:szCs w:val="18"/>
              </w:rPr>
              <w:t xml:space="preserve">•  </w:t>
            </w:r>
            <w:r>
              <w:rPr>
                <w:rFonts w:eastAsia="Arial" w:cs="Arial"/>
                <w:color w:val="1A2B3C"/>
                <w:sz w:val="18"/>
                <w:szCs w:val="18"/>
              </w:rPr>
              <w:t>Nursing director opens Command Center at shift change — 20-second situational awareness</w:t>
            </w:r>
          </w:p>
          <w:p>
            <w:pPr>
              <w:pStyle w:val="Normal"/>
              <w:spacing w:before="0" w:after="50"/>
              <w:rPr/>
            </w:pPr>
            <w:r>
              <w:rPr>
                <w:rFonts w:eastAsia="Arial" w:cs="Arial"/>
                <w:color w:val="1A2B3C"/>
                <w:sz w:val="18"/>
                <w:szCs w:val="18"/>
              </w:rPr>
              <w:t xml:space="preserve">•  </w:t>
            </w:r>
            <w:r>
              <w:rPr>
                <w:rFonts w:eastAsia="Arial" w:cs="Arial"/>
                <w:color w:val="1A2B3C"/>
                <w:sz w:val="18"/>
                <w:szCs w:val="18"/>
              </w:rPr>
              <w:t>Capacity gauge (SVG arc) shows current occupancy vs. licensed capacity</w:t>
            </w:r>
          </w:p>
          <w:p>
            <w:pPr>
              <w:pStyle w:val="Normal"/>
              <w:spacing w:before="0" w:after="50"/>
              <w:rPr/>
            </w:pPr>
            <w:r>
              <w:rPr>
                <w:rFonts w:eastAsia="Arial" w:cs="Arial"/>
                <w:color w:val="1A2B3C"/>
                <w:sz w:val="18"/>
                <w:szCs w:val="18"/>
              </w:rPr>
              <w:t xml:space="preserve">•  </w:t>
            </w:r>
            <w:r>
              <w:rPr>
                <w:rFonts w:eastAsia="Arial" w:cs="Arial"/>
                <w:color w:val="1A2B3C"/>
                <w:sz w:val="18"/>
                <w:szCs w:val="18"/>
              </w:rPr>
              <w:t>Boarding count and longest boarding time shown prominently — first regulatory question asked</w:t>
            </w:r>
          </w:p>
          <w:p>
            <w:pPr>
              <w:pStyle w:val="Normal"/>
              <w:spacing w:before="0" w:after="50"/>
              <w:rPr/>
            </w:pPr>
            <w:r>
              <w:rPr>
                <w:rFonts w:eastAsia="Arial" w:cs="Arial"/>
                <w:color w:val="1A2B3C"/>
                <w:sz w:val="18"/>
                <w:szCs w:val="18"/>
              </w:rPr>
              <w:t xml:space="preserve">•  </w:t>
            </w:r>
            <w:r>
              <w:rPr>
                <w:rFonts w:eastAsia="Arial" w:cs="Arial"/>
                <w:color w:val="1A2B3C"/>
                <w:sz w:val="18"/>
                <w:szCs w:val="18"/>
              </w:rPr>
              <w:t>High-priority alert count with direct link to Alerts Dashboard for immediate investigation</w:t>
            </w:r>
          </w:p>
          <w:p>
            <w:pPr>
              <w:pStyle w:val="Normal"/>
              <w:spacing w:before="0" w:after="50"/>
              <w:rPr/>
            </w:pPr>
            <w:r>
              <w:rPr>
                <w:rFonts w:eastAsia="Arial" w:cs="Arial"/>
                <w:color w:val="1A2B3C"/>
                <w:sz w:val="18"/>
                <w:szCs w:val="18"/>
              </w:rPr>
              <w:t xml:space="preserve">•  </w:t>
            </w:r>
            <w:r>
              <w:rPr>
                <w:rFonts w:eastAsia="Arial" w:cs="Arial"/>
                <w:color w:val="1A2B3C"/>
                <w:sz w:val="18"/>
                <w:szCs w:val="18"/>
              </w:rPr>
              <w:t>Diversion status per service line with time since last change</w:t>
            </w:r>
          </w:p>
        </w:tc>
      </w:tr>
    </w:tbl>
    <w:p>
      <w:pPr>
        <w:pStyle w:val="Normal"/>
        <w:spacing w:before="0" w:after="30"/>
        <w:rPr/>
      </w:pPr>
      <w:r>
        <w:rPr/>
      </w:r>
    </w:p>
    <w:tbl>
      <w:tblPr>
        <w:tblW w:w="9360" w:type="dxa"/>
        <w:jc w:val="left"/>
        <w:tblInd w:w="0" w:type="dxa"/>
        <w:tblLayout w:type="fixed"/>
        <w:tblCellMar>
          <w:top w:w="120" w:type="dxa"/>
          <w:left w:w="180" w:type="dxa"/>
          <w:bottom w:w="120" w:type="dxa"/>
          <w:right w:w="180" w:type="dxa"/>
        </w:tblCellMar>
      </w:tblPr>
      <w:tblGrid>
        <w:gridCol w:w="2700"/>
        <w:gridCol w:w="6659"/>
      </w:tblGrid>
      <w:tr>
        <w:trPr/>
        <w:tc>
          <w:tcPr>
            <w:tcW w:w="2700" w:type="dxa"/>
            <w:tcBorders>
              <w:top w:val="single" w:sz="2" w:space="0" w:color="D0DDE8"/>
              <w:left w:val="single" w:sz="2" w:space="0" w:color="D0DDE8"/>
              <w:bottom w:val="single" w:sz="2" w:space="0" w:color="D0DDE8"/>
              <w:right w:val="single" w:sz="2" w:space="0" w:color="D0DDE8"/>
            </w:tcBorders>
            <w:shd w:fill="F4F7FA" w:val="clear"/>
          </w:tcPr>
          <w:p>
            <w:pPr>
              <w:pStyle w:val="Normal"/>
              <w:spacing w:before="0" w:after="40"/>
              <w:rPr/>
            </w:pPr>
            <w:r>
              <w:rPr>
                <w:rFonts w:eastAsia="Arial" w:cs="Arial"/>
                <w:b w:val="false"/>
                <w:bCs w:val="false"/>
                <w:color w:val="6C7A8D"/>
                <w:sz w:val="16"/>
                <w:szCs w:val="16"/>
              </w:rPr>
              <w:t>26</w:t>
            </w:r>
          </w:p>
          <w:p>
            <w:pPr>
              <w:pStyle w:val="Normal"/>
              <w:spacing w:before="0" w:after="60"/>
              <w:rPr/>
            </w:pPr>
            <w:r>
              <w:rPr>
                <w:rFonts w:eastAsia="Arial" w:cs="Arial"/>
                <w:b/>
                <w:bCs/>
                <w:color w:val="1B3A6B"/>
                <w:sz w:val="20"/>
                <w:szCs w:val="20"/>
              </w:rPr>
              <w:t>Multi-Facility Dashboard</w:t>
            </w:r>
          </w:p>
          <w:p>
            <w:pPr>
              <w:pStyle w:val="Normal"/>
              <w:spacing w:before="0" w:after="0"/>
              <w:rPr/>
            </w:pPr>
            <w:r>
              <w:rPr>
                <w:rFonts w:eastAsia="Arial" w:cs="Arial"/>
                <w:b w:val="false"/>
                <w:bCs w:val="false"/>
                <w:color w:val="0D6E6E"/>
                <w:sz w:val="15"/>
                <w:szCs w:val="15"/>
              </w:rPr>
              <w:t>OPERATIONS</w:t>
            </w:r>
          </w:p>
        </w:tc>
        <w:tc>
          <w:tcPr>
            <w:tcW w:w="6659" w:type="dxa"/>
            <w:tcBorders>
              <w:top w:val="single" w:sz="2" w:space="0" w:color="D0DDE8"/>
              <w:left w:val="single" w:sz="2" w:space="0" w:color="D0DDE8"/>
              <w:bottom w:val="single" w:sz="2" w:space="0" w:color="D0DDE8"/>
              <w:right w:val="single" w:sz="2" w:space="0" w:color="D0DDE8"/>
            </w:tcBorders>
            <w:shd w:fill="FFFFFF" w:val="clear"/>
            <w:tcMar>
              <w:left w:w="200" w:type="dxa"/>
            </w:tcMar>
          </w:tcPr>
          <w:p>
            <w:pPr>
              <w:pStyle w:val="Normal"/>
              <w:spacing w:before="0" w:after="60"/>
              <w:rPr/>
            </w:pPr>
            <w:r>
              <w:rPr>
                <w:rFonts w:eastAsia="Arial" w:cs="Arial"/>
                <w:b/>
                <w:bCs/>
                <w:color w:val="1A2B3C"/>
                <w:sz w:val="19"/>
                <w:szCs w:val="19"/>
              </w:rPr>
              <w:t>Health system-wide operational visibility across all campuses</w:t>
            </w:r>
          </w:p>
          <w:p>
            <w:pPr>
              <w:pStyle w:val="Normal"/>
              <w:spacing w:before="0" w:after="80"/>
              <w:rPr/>
            </w:pPr>
            <w:r>
              <w:rPr>
                <w:rFonts w:eastAsia="Arial" w:cs="Arial"/>
                <w:color w:val="6C7A8D"/>
                <w:sz w:val="18"/>
                <w:szCs w:val="18"/>
              </w:rPr>
              <w:t>Aggregates key metrics from every facility in the health system onto a single dashboard: active census, capacity, diversion status, boarding count, and critical alert count per facility. Auto-refreshes every 5 minutes.</w:t>
            </w:r>
          </w:p>
          <w:p>
            <w:pPr>
              <w:pStyle w:val="Normal"/>
              <w:spacing w:before="0" w:after="50"/>
              <w:rPr/>
            </w:pPr>
            <w:r>
              <w:rPr>
                <w:rFonts w:eastAsia="Arial" w:cs="Arial"/>
                <w:color w:val="1A2B3C"/>
                <w:sz w:val="18"/>
                <w:szCs w:val="18"/>
              </w:rPr>
              <w:t xml:space="preserve">•  </w:t>
            </w:r>
            <w:r>
              <w:rPr>
                <w:rFonts w:eastAsia="Arial" w:cs="Arial"/>
                <w:color w:val="1A2B3C"/>
                <w:sz w:val="18"/>
                <w:szCs w:val="18"/>
              </w:rPr>
              <w:t>CNO monitors all campuses from a single screen without logging in and out of each facility</w:t>
            </w:r>
          </w:p>
          <w:p>
            <w:pPr>
              <w:pStyle w:val="Normal"/>
              <w:spacing w:before="0" w:after="50"/>
              <w:rPr/>
            </w:pPr>
            <w:r>
              <w:rPr>
                <w:rFonts w:eastAsia="Arial" w:cs="Arial"/>
                <w:color w:val="1A2B3C"/>
                <w:sz w:val="18"/>
                <w:szCs w:val="18"/>
              </w:rPr>
              <w:t xml:space="preserve">•  </w:t>
            </w:r>
            <w:r>
              <w:rPr>
                <w:rFonts w:eastAsia="Arial" w:cs="Arial"/>
                <w:color w:val="1A2B3C"/>
                <w:sz w:val="18"/>
                <w:szCs w:val="18"/>
              </w:rPr>
              <w:t>Facility card turns red when any campus reaches DIVERSION status — immediate visual signal</w:t>
            </w:r>
          </w:p>
          <w:p>
            <w:pPr>
              <w:pStyle w:val="Normal"/>
              <w:spacing w:before="0" w:after="50"/>
              <w:rPr/>
            </w:pPr>
            <w:r>
              <w:rPr>
                <w:rFonts w:eastAsia="Arial" w:cs="Arial"/>
                <w:color w:val="1A2B3C"/>
                <w:sz w:val="18"/>
                <w:szCs w:val="18"/>
              </w:rPr>
              <w:t xml:space="preserve">•  </w:t>
            </w:r>
            <w:r>
              <w:rPr>
                <w:rFonts w:eastAsia="Arial" w:cs="Arial"/>
                <w:color w:val="1A2B3C"/>
                <w:sz w:val="18"/>
                <w:szCs w:val="18"/>
              </w:rPr>
              <w:t>Boarding and LOS outliers surfaced across all campuses for system-level intervention</w:t>
            </w:r>
          </w:p>
          <w:p>
            <w:pPr>
              <w:pStyle w:val="Normal"/>
              <w:spacing w:before="0" w:after="50"/>
              <w:rPr/>
            </w:pPr>
            <w:r>
              <w:rPr>
                <w:rFonts w:eastAsia="Arial" w:cs="Arial"/>
                <w:color w:val="1A2B3C"/>
                <w:sz w:val="18"/>
                <w:szCs w:val="18"/>
              </w:rPr>
              <w:t xml:space="preserve">•  </w:t>
            </w:r>
            <w:r>
              <w:rPr>
                <w:rFonts w:eastAsia="Arial" w:cs="Arial"/>
                <w:color w:val="1A2B3C"/>
                <w:sz w:val="18"/>
                <w:szCs w:val="18"/>
              </w:rPr>
              <w:t>Health system-level quality measure aggregation for board-level reporting</w:t>
            </w:r>
          </w:p>
          <w:p>
            <w:pPr>
              <w:pStyle w:val="Normal"/>
              <w:spacing w:before="0" w:after="50"/>
              <w:rPr/>
            </w:pPr>
            <w:r>
              <w:rPr>
                <w:rFonts w:eastAsia="Arial" w:cs="Arial"/>
                <w:color w:val="1A2B3C"/>
                <w:sz w:val="18"/>
                <w:szCs w:val="18"/>
              </w:rPr>
              <w:t xml:space="preserve">•  </w:t>
            </w:r>
            <w:r>
              <w:rPr>
                <w:rFonts w:eastAsia="Arial" w:cs="Arial"/>
                <w:color w:val="1A2B3C"/>
                <w:sz w:val="18"/>
                <w:szCs w:val="18"/>
              </w:rPr>
              <w:t>Critical alert count per facility enables centralized clinical oversight</w:t>
            </w:r>
          </w:p>
        </w:tc>
      </w:tr>
    </w:tbl>
    <w:p>
      <w:pPr>
        <w:pStyle w:val="Normal"/>
        <w:spacing w:before="0" w:after="30"/>
        <w:rPr/>
      </w:pPr>
      <w:r>
        <w:rPr/>
      </w:r>
    </w:p>
    <w:tbl>
      <w:tblPr>
        <w:tblW w:w="9360" w:type="dxa"/>
        <w:jc w:val="left"/>
        <w:tblInd w:w="0" w:type="dxa"/>
        <w:tblLayout w:type="fixed"/>
        <w:tblCellMar>
          <w:top w:w="120" w:type="dxa"/>
          <w:left w:w="180" w:type="dxa"/>
          <w:bottom w:w="120" w:type="dxa"/>
          <w:right w:w="180" w:type="dxa"/>
        </w:tblCellMar>
      </w:tblPr>
      <w:tblGrid>
        <w:gridCol w:w="2700"/>
        <w:gridCol w:w="6659"/>
      </w:tblGrid>
      <w:tr>
        <w:trPr/>
        <w:tc>
          <w:tcPr>
            <w:tcW w:w="2700" w:type="dxa"/>
            <w:tcBorders>
              <w:top w:val="single" w:sz="2" w:space="0" w:color="D0DDE8"/>
              <w:left w:val="single" w:sz="2" w:space="0" w:color="D0DDE8"/>
              <w:bottom w:val="single" w:sz="2" w:space="0" w:color="D0DDE8"/>
              <w:right w:val="single" w:sz="2" w:space="0" w:color="D0DDE8"/>
            </w:tcBorders>
            <w:shd w:fill="F4F7FA" w:val="clear"/>
          </w:tcPr>
          <w:p>
            <w:pPr>
              <w:pStyle w:val="Normal"/>
              <w:spacing w:before="0" w:after="40"/>
              <w:rPr/>
            </w:pPr>
            <w:r>
              <w:rPr>
                <w:rFonts w:eastAsia="Arial" w:cs="Arial"/>
                <w:b w:val="false"/>
                <w:bCs w:val="false"/>
                <w:color w:val="6C7A8D"/>
                <w:sz w:val="16"/>
                <w:szCs w:val="16"/>
              </w:rPr>
              <w:t>27</w:t>
            </w:r>
          </w:p>
          <w:p>
            <w:pPr>
              <w:pStyle w:val="Normal"/>
              <w:spacing w:before="0" w:after="60"/>
              <w:rPr/>
            </w:pPr>
            <w:r>
              <w:rPr>
                <w:rFonts w:eastAsia="Arial" w:cs="Arial"/>
                <w:b/>
                <w:bCs/>
                <w:color w:val="1B3A6B"/>
                <w:sz w:val="20"/>
                <w:szCs w:val="20"/>
              </w:rPr>
              <w:t>ADT Lite</w:t>
            </w:r>
          </w:p>
          <w:p>
            <w:pPr>
              <w:pStyle w:val="Normal"/>
              <w:spacing w:before="0" w:after="0"/>
              <w:rPr/>
            </w:pPr>
            <w:r>
              <w:rPr>
                <w:rFonts w:eastAsia="Arial" w:cs="Arial"/>
                <w:b w:val="false"/>
                <w:bCs w:val="false"/>
                <w:color w:val="0D6E6E"/>
                <w:sz w:val="15"/>
                <w:szCs w:val="15"/>
              </w:rPr>
              <w:t>OPERATIONS</w:t>
            </w:r>
          </w:p>
        </w:tc>
        <w:tc>
          <w:tcPr>
            <w:tcW w:w="6659" w:type="dxa"/>
            <w:tcBorders>
              <w:top w:val="single" w:sz="2" w:space="0" w:color="D0DDE8"/>
              <w:left w:val="single" w:sz="2" w:space="0" w:color="D0DDE8"/>
              <w:bottom w:val="single" w:sz="2" w:space="0" w:color="D0DDE8"/>
              <w:right w:val="single" w:sz="2" w:space="0" w:color="D0DDE8"/>
            </w:tcBorders>
            <w:shd w:fill="FFFFFF" w:val="clear"/>
            <w:tcMar>
              <w:left w:w="200" w:type="dxa"/>
            </w:tcMar>
          </w:tcPr>
          <w:p>
            <w:pPr>
              <w:pStyle w:val="Normal"/>
              <w:spacing w:before="0" w:after="60"/>
              <w:rPr/>
            </w:pPr>
            <w:r>
              <w:rPr>
                <w:rFonts w:eastAsia="Arial" w:cs="Arial"/>
                <w:b/>
                <w:bCs/>
                <w:color w:val="1A2B3C"/>
                <w:sz w:val="19"/>
                <w:szCs w:val="19"/>
              </w:rPr>
              <w:t>Simplified ADT (Admit-Discharge-Transfer) event management interface</w:t>
            </w:r>
          </w:p>
          <w:p>
            <w:pPr>
              <w:pStyle w:val="Normal"/>
              <w:spacing w:before="0" w:after="80"/>
              <w:rPr/>
            </w:pPr>
            <w:r>
              <w:rPr>
                <w:rFonts w:eastAsia="Arial" w:cs="Arial"/>
                <w:color w:val="6C7A8D"/>
                <w:sz w:val="18"/>
                <w:szCs w:val="18"/>
              </w:rPr>
              <w:t>Provides a direct interface for creating and managing ADT events outside the normal ED workflow: scheduled admissions, direct admits, inter-facility transfers in, and administrative corrections. Ensures the episode log is complete even when patients bypass the standard intake path.</w:t>
            </w:r>
          </w:p>
          <w:p>
            <w:pPr>
              <w:pStyle w:val="Normal"/>
              <w:spacing w:before="0" w:after="50"/>
              <w:rPr/>
            </w:pPr>
            <w:r>
              <w:rPr>
                <w:rFonts w:eastAsia="Arial" w:cs="Arial"/>
                <w:color w:val="1A2B3C"/>
                <w:sz w:val="18"/>
                <w:szCs w:val="18"/>
              </w:rPr>
              <w:t xml:space="preserve">•  </w:t>
            </w:r>
            <w:r>
              <w:rPr>
                <w:rFonts w:eastAsia="Arial" w:cs="Arial"/>
                <w:color w:val="1A2B3C"/>
                <w:sz w:val="18"/>
                <w:szCs w:val="18"/>
              </w:rPr>
              <w:t>Scheduled surgical admission entered as ADT direct admit — bypasses triage, goes directly to OBS</w:t>
            </w:r>
          </w:p>
          <w:p>
            <w:pPr>
              <w:pStyle w:val="Normal"/>
              <w:spacing w:before="0" w:after="50"/>
              <w:rPr/>
            </w:pPr>
            <w:r>
              <w:rPr>
                <w:rFonts w:eastAsia="Arial" w:cs="Arial"/>
                <w:color w:val="1A2B3C"/>
                <w:sz w:val="18"/>
                <w:szCs w:val="18"/>
              </w:rPr>
              <w:t xml:space="preserve">•  </w:t>
            </w:r>
            <w:r>
              <w:rPr>
                <w:rFonts w:eastAsia="Arial" w:cs="Arial"/>
                <w:color w:val="1A2B3C"/>
                <w:sz w:val="18"/>
                <w:szCs w:val="18"/>
              </w:rPr>
              <w:t>Corrections to erroneous arrival times entered through ADT Lite with audit trail</w:t>
            </w:r>
          </w:p>
          <w:p>
            <w:pPr>
              <w:pStyle w:val="Normal"/>
              <w:spacing w:before="0" w:after="50"/>
              <w:rPr/>
            </w:pPr>
            <w:r>
              <w:rPr>
                <w:rFonts w:eastAsia="Arial" w:cs="Arial"/>
                <w:color w:val="1A2B3C"/>
                <w:sz w:val="18"/>
                <w:szCs w:val="18"/>
              </w:rPr>
              <w:t xml:space="preserve">•  </w:t>
            </w:r>
            <w:r>
              <w:rPr>
                <w:rFonts w:eastAsia="Arial" w:cs="Arial"/>
                <w:color w:val="1A2B3C"/>
                <w:sz w:val="18"/>
                <w:szCs w:val="18"/>
              </w:rPr>
              <w:t>Inter-facility transfer arrivals created with source facility and transfer reason captured</w:t>
            </w:r>
          </w:p>
          <w:p>
            <w:pPr>
              <w:pStyle w:val="Normal"/>
              <w:spacing w:before="0" w:after="50"/>
              <w:rPr/>
            </w:pPr>
            <w:r>
              <w:rPr>
                <w:rFonts w:eastAsia="Arial" w:cs="Arial"/>
                <w:color w:val="1A2B3C"/>
                <w:sz w:val="18"/>
                <w:szCs w:val="18"/>
              </w:rPr>
              <w:t xml:space="preserve">•  </w:t>
            </w:r>
            <w:r>
              <w:rPr>
                <w:rFonts w:eastAsia="Arial" w:cs="Arial"/>
                <w:color w:val="1A2B3C"/>
                <w:sz w:val="18"/>
                <w:szCs w:val="18"/>
              </w:rPr>
              <w:t>All ADT events fire appropriate HL7 messages to downstream systems</w:t>
            </w:r>
          </w:p>
        </w:tc>
      </w:tr>
    </w:tbl>
    <w:p>
      <w:pPr>
        <w:pStyle w:val="Normal"/>
        <w:spacing w:before="0" w:after="30"/>
        <w:rPr/>
      </w:pPr>
      <w:r>
        <w:rPr/>
      </w:r>
    </w:p>
    <w:tbl>
      <w:tblPr>
        <w:tblW w:w="9360" w:type="dxa"/>
        <w:jc w:val="left"/>
        <w:tblInd w:w="0" w:type="dxa"/>
        <w:tblLayout w:type="fixed"/>
        <w:tblCellMar>
          <w:top w:w="120" w:type="dxa"/>
          <w:left w:w="180" w:type="dxa"/>
          <w:bottom w:w="120" w:type="dxa"/>
          <w:right w:w="180" w:type="dxa"/>
        </w:tblCellMar>
      </w:tblPr>
      <w:tblGrid>
        <w:gridCol w:w="2700"/>
        <w:gridCol w:w="6659"/>
      </w:tblGrid>
      <w:tr>
        <w:trPr/>
        <w:tc>
          <w:tcPr>
            <w:tcW w:w="2700" w:type="dxa"/>
            <w:tcBorders>
              <w:top w:val="single" w:sz="2" w:space="0" w:color="D0DDE8"/>
              <w:left w:val="single" w:sz="2" w:space="0" w:color="D0DDE8"/>
              <w:bottom w:val="single" w:sz="2" w:space="0" w:color="D0DDE8"/>
              <w:right w:val="single" w:sz="2" w:space="0" w:color="D0DDE8"/>
            </w:tcBorders>
            <w:shd w:fill="F4F7FA" w:val="clear"/>
          </w:tcPr>
          <w:p>
            <w:pPr>
              <w:pStyle w:val="Normal"/>
              <w:spacing w:before="0" w:after="40"/>
              <w:rPr/>
            </w:pPr>
            <w:r>
              <w:rPr>
                <w:rFonts w:eastAsia="Arial" w:cs="Arial"/>
                <w:b w:val="false"/>
                <w:bCs w:val="false"/>
                <w:color w:val="6C7A8D"/>
                <w:sz w:val="16"/>
                <w:szCs w:val="16"/>
              </w:rPr>
              <w:t>28</w:t>
            </w:r>
          </w:p>
          <w:p>
            <w:pPr>
              <w:pStyle w:val="Normal"/>
              <w:spacing w:before="0" w:after="60"/>
              <w:rPr/>
            </w:pPr>
            <w:r>
              <w:rPr>
                <w:rFonts w:eastAsia="Arial" w:cs="Arial"/>
                <w:b/>
                <w:bCs/>
                <w:color w:val="1B3A6B"/>
                <w:sz w:val="20"/>
                <w:szCs w:val="20"/>
              </w:rPr>
              <w:t>HL7 ADT Integration</w:t>
            </w:r>
          </w:p>
          <w:p>
            <w:pPr>
              <w:pStyle w:val="Normal"/>
              <w:spacing w:before="0" w:after="0"/>
              <w:rPr/>
            </w:pPr>
            <w:r>
              <w:rPr>
                <w:rFonts w:eastAsia="Arial" w:cs="Arial"/>
                <w:b w:val="false"/>
                <w:bCs w:val="false"/>
                <w:color w:val="0D6E6E"/>
                <w:sz w:val="15"/>
                <w:szCs w:val="15"/>
              </w:rPr>
              <w:t>OPERATIONS</w:t>
            </w:r>
          </w:p>
        </w:tc>
        <w:tc>
          <w:tcPr>
            <w:tcW w:w="6659" w:type="dxa"/>
            <w:tcBorders>
              <w:top w:val="single" w:sz="2" w:space="0" w:color="D0DDE8"/>
              <w:left w:val="single" w:sz="2" w:space="0" w:color="D0DDE8"/>
              <w:bottom w:val="single" w:sz="2" w:space="0" w:color="D0DDE8"/>
              <w:right w:val="single" w:sz="2" w:space="0" w:color="D0DDE8"/>
            </w:tcBorders>
            <w:shd w:fill="FFFFFF" w:val="clear"/>
            <w:tcMar>
              <w:left w:w="200" w:type="dxa"/>
            </w:tcMar>
          </w:tcPr>
          <w:p>
            <w:pPr>
              <w:pStyle w:val="Normal"/>
              <w:spacing w:before="0" w:after="60"/>
              <w:rPr/>
            </w:pPr>
            <w:r>
              <w:rPr>
                <w:rFonts w:eastAsia="Arial" w:cs="Arial"/>
                <w:b/>
                <w:bCs/>
                <w:color w:val="1A2B3C"/>
                <w:sz w:val="19"/>
                <w:szCs w:val="19"/>
              </w:rPr>
              <w:t>Automated HL7 v2.5.1 ADT message generation and outbound transmission log</w:t>
            </w:r>
          </w:p>
          <w:p>
            <w:pPr>
              <w:pStyle w:val="Normal"/>
              <w:spacing w:before="0" w:after="80"/>
              <w:rPr/>
            </w:pPr>
            <w:r>
              <w:rPr>
                <w:rFonts w:eastAsia="Arial" w:cs="Arial"/>
                <w:color w:val="6C7A8D"/>
                <w:sz w:val="18"/>
                <w:szCs w:val="18"/>
              </w:rPr>
              <w:t>Automatically generates and transmits HL7 ADT messages at every clinical workflow trigger point: A04 on arrival, A02 on room assignment, A01 on observation admission, A03 on discharge/transfer, A08 on status update, and A09 on diversion change. Supports MLLP and HTTP transport.</w:t>
            </w:r>
          </w:p>
          <w:p>
            <w:pPr>
              <w:pStyle w:val="Normal"/>
              <w:spacing w:before="0" w:after="50"/>
              <w:rPr/>
            </w:pPr>
            <w:r>
              <w:rPr>
                <w:rFonts w:eastAsia="Arial" w:cs="Arial"/>
                <w:color w:val="1A2B3C"/>
                <w:sz w:val="18"/>
                <w:szCs w:val="18"/>
              </w:rPr>
              <w:t xml:space="preserve">•  </w:t>
            </w:r>
            <w:r>
              <w:rPr>
                <w:rFonts w:eastAsia="Arial" w:cs="Arial"/>
                <w:color w:val="1A2B3C"/>
                <w:sz w:val="18"/>
                <w:szCs w:val="18"/>
              </w:rPr>
              <w:t>Hospital’s existing ADT feed receives real-time patient movement updates without manual entry</w:t>
            </w:r>
          </w:p>
          <w:p>
            <w:pPr>
              <w:pStyle w:val="Normal"/>
              <w:spacing w:before="0" w:after="50"/>
              <w:rPr/>
            </w:pPr>
            <w:r>
              <w:rPr>
                <w:rFonts w:eastAsia="Arial" w:cs="Arial"/>
                <w:color w:val="1A2B3C"/>
                <w:sz w:val="18"/>
                <w:szCs w:val="18"/>
              </w:rPr>
              <w:t xml:space="preserve">•  </w:t>
            </w:r>
            <w:r>
              <w:rPr>
                <w:rFonts w:eastAsia="Arial" w:cs="Arial"/>
                <w:color w:val="1A2B3C"/>
                <w:sz w:val="18"/>
                <w:szCs w:val="18"/>
              </w:rPr>
              <w:t>EMS dispatch system updated via A04 message when patient is registered — no radio call needed</w:t>
            </w:r>
          </w:p>
          <w:p>
            <w:pPr>
              <w:pStyle w:val="Normal"/>
              <w:spacing w:before="0" w:after="50"/>
              <w:rPr/>
            </w:pPr>
            <w:r>
              <w:rPr>
                <w:rFonts w:eastAsia="Arial" w:cs="Arial"/>
                <w:color w:val="1A2B3C"/>
                <w:sz w:val="18"/>
                <w:szCs w:val="18"/>
              </w:rPr>
              <w:t xml:space="preserve">•  </w:t>
            </w:r>
            <w:r>
              <w:rPr>
                <w:rFonts w:eastAsia="Arial" w:cs="Arial"/>
                <w:color w:val="1A2B3C"/>
                <w:sz w:val="18"/>
                <w:szCs w:val="18"/>
              </w:rPr>
              <w:t>Downstream pharmacy, lab, and radiology systems receive room assignments via A02</w:t>
            </w:r>
          </w:p>
          <w:p>
            <w:pPr>
              <w:pStyle w:val="Normal"/>
              <w:spacing w:before="0" w:after="50"/>
              <w:rPr/>
            </w:pPr>
            <w:r>
              <w:rPr>
                <w:rFonts w:eastAsia="Arial" w:cs="Arial"/>
                <w:color w:val="1A2B3C"/>
                <w:sz w:val="18"/>
                <w:szCs w:val="18"/>
              </w:rPr>
              <w:t xml:space="preserve">•  </w:t>
            </w:r>
            <w:r>
              <w:rPr>
                <w:rFonts w:eastAsia="Arial" w:cs="Arial"/>
                <w:color w:val="1A2B3C"/>
                <w:sz w:val="18"/>
                <w:szCs w:val="18"/>
              </w:rPr>
              <w:t>All messages logged with send timestamp, transport method, ACK response, and error detail</w:t>
            </w:r>
          </w:p>
          <w:p>
            <w:pPr>
              <w:pStyle w:val="Normal"/>
              <w:spacing w:before="0" w:after="50"/>
              <w:rPr/>
            </w:pPr>
            <w:r>
              <w:rPr>
                <w:rFonts w:eastAsia="Arial" w:cs="Arial"/>
                <w:color w:val="1A2B3C"/>
                <w:sz w:val="18"/>
                <w:szCs w:val="18"/>
              </w:rPr>
              <w:t xml:space="preserve">•  </w:t>
            </w:r>
            <w:r>
              <w:rPr>
                <w:rFonts w:eastAsia="Arial" w:cs="Arial"/>
                <w:color w:val="1A2B3C"/>
                <w:sz w:val="18"/>
                <w:szCs w:val="18"/>
              </w:rPr>
              <w:t>MLLP transport for legacy HL7 interfaces; HTTP for modern REST-based ADT consumers</w:t>
            </w:r>
          </w:p>
        </w:tc>
      </w:tr>
    </w:tbl>
    <w:p>
      <w:pPr>
        <w:pStyle w:val="Normal"/>
        <w:spacing w:before="0" w:after="30"/>
        <w:rPr/>
      </w:pPr>
      <w:r>
        <w:rPr/>
      </w:r>
    </w:p>
    <w:tbl>
      <w:tblPr>
        <w:tblW w:w="9360" w:type="dxa"/>
        <w:jc w:val="left"/>
        <w:tblInd w:w="0" w:type="dxa"/>
        <w:tblLayout w:type="fixed"/>
        <w:tblCellMar>
          <w:top w:w="120" w:type="dxa"/>
          <w:left w:w="180" w:type="dxa"/>
          <w:bottom w:w="120" w:type="dxa"/>
          <w:right w:w="180" w:type="dxa"/>
        </w:tblCellMar>
      </w:tblPr>
      <w:tblGrid>
        <w:gridCol w:w="2700"/>
        <w:gridCol w:w="6659"/>
      </w:tblGrid>
      <w:tr>
        <w:trPr/>
        <w:tc>
          <w:tcPr>
            <w:tcW w:w="2700" w:type="dxa"/>
            <w:tcBorders>
              <w:top w:val="single" w:sz="2" w:space="0" w:color="D0DDE8"/>
              <w:left w:val="single" w:sz="2" w:space="0" w:color="D0DDE8"/>
              <w:bottom w:val="single" w:sz="2" w:space="0" w:color="D0DDE8"/>
              <w:right w:val="single" w:sz="2" w:space="0" w:color="D0DDE8"/>
            </w:tcBorders>
            <w:shd w:fill="F4F7FA" w:val="clear"/>
          </w:tcPr>
          <w:p>
            <w:pPr>
              <w:pStyle w:val="Normal"/>
              <w:spacing w:before="0" w:after="40"/>
              <w:rPr/>
            </w:pPr>
            <w:r>
              <w:rPr>
                <w:rFonts w:eastAsia="Arial" w:cs="Arial"/>
                <w:b w:val="false"/>
                <w:bCs w:val="false"/>
                <w:color w:val="6C7A8D"/>
                <w:sz w:val="16"/>
                <w:szCs w:val="16"/>
              </w:rPr>
              <w:t>29</w:t>
            </w:r>
          </w:p>
          <w:p>
            <w:pPr>
              <w:pStyle w:val="Normal"/>
              <w:spacing w:before="0" w:after="60"/>
              <w:rPr/>
            </w:pPr>
            <w:r>
              <w:rPr>
                <w:rFonts w:eastAsia="Arial" w:cs="Arial"/>
                <w:b/>
                <w:bCs/>
                <w:color w:val="1B3A6B"/>
                <w:sz w:val="20"/>
                <w:szCs w:val="20"/>
              </w:rPr>
              <w:t>Downtime Mode</w:t>
            </w:r>
          </w:p>
          <w:p>
            <w:pPr>
              <w:pStyle w:val="Normal"/>
              <w:spacing w:before="0" w:after="0"/>
              <w:rPr/>
            </w:pPr>
            <w:r>
              <w:rPr>
                <w:rFonts w:eastAsia="Arial" w:cs="Arial"/>
                <w:b w:val="false"/>
                <w:bCs w:val="false"/>
                <w:color w:val="0D6E6E"/>
                <w:sz w:val="15"/>
                <w:szCs w:val="15"/>
              </w:rPr>
              <w:t>OPERATIONS</w:t>
            </w:r>
          </w:p>
        </w:tc>
        <w:tc>
          <w:tcPr>
            <w:tcW w:w="6659" w:type="dxa"/>
            <w:tcBorders>
              <w:top w:val="single" w:sz="2" w:space="0" w:color="D0DDE8"/>
              <w:left w:val="single" w:sz="2" w:space="0" w:color="D0DDE8"/>
              <w:bottom w:val="single" w:sz="2" w:space="0" w:color="D0DDE8"/>
              <w:right w:val="single" w:sz="2" w:space="0" w:color="D0DDE8"/>
            </w:tcBorders>
            <w:shd w:fill="FFFFFF" w:val="clear"/>
            <w:tcMar>
              <w:left w:w="200" w:type="dxa"/>
            </w:tcMar>
          </w:tcPr>
          <w:p>
            <w:pPr>
              <w:pStyle w:val="Normal"/>
              <w:spacing w:before="0" w:after="60"/>
              <w:rPr/>
            </w:pPr>
            <w:r>
              <w:rPr>
                <w:rFonts w:eastAsia="Arial" w:cs="Arial"/>
                <w:b/>
                <w:bCs/>
                <w:color w:val="1A2B3C"/>
                <w:sz w:val="19"/>
                <w:szCs w:val="19"/>
              </w:rPr>
              <w:t>Offline-capable fallback with Service Worker caching and write-queue sync</w:t>
            </w:r>
          </w:p>
          <w:p>
            <w:pPr>
              <w:pStyle w:val="Normal"/>
              <w:spacing w:before="0" w:after="80"/>
              <w:rPr/>
            </w:pPr>
            <w:r>
              <w:rPr>
                <w:rFonts w:eastAsia="Arial" w:cs="Arial"/>
                <w:color w:val="6C7A8D"/>
                <w:sz w:val="18"/>
                <w:szCs w:val="18"/>
              </w:rPr>
              <w:t>When network or server connectivity is lost, the module continues to function. A Service Worker caches a JSON snapshot of all active episodes every 5 minutes. Offline, staff can view the ED Board, record vitals, add status notes, and register new arrivals. All writes queue to IndexedDB and sync automatically when connectivity restores.</w:t>
            </w:r>
          </w:p>
          <w:p>
            <w:pPr>
              <w:pStyle w:val="Normal"/>
              <w:spacing w:before="0" w:after="50"/>
              <w:rPr/>
            </w:pPr>
            <w:r>
              <w:rPr>
                <w:rFonts w:eastAsia="Arial" w:cs="Arial"/>
                <w:color w:val="1A2B3C"/>
                <w:sz w:val="18"/>
                <w:szCs w:val="18"/>
              </w:rPr>
              <w:t xml:space="preserve">•  </w:t>
            </w:r>
            <w:r>
              <w:rPr>
                <w:rFonts w:eastAsia="Arial" w:cs="Arial"/>
                <w:color w:val="1A2B3C"/>
                <w:sz w:val="18"/>
                <w:szCs w:val="18"/>
              </w:rPr>
              <w:t>Hospital network outage: ED Board remains fully functional from cached snapshot</w:t>
            </w:r>
          </w:p>
          <w:p>
            <w:pPr>
              <w:pStyle w:val="Normal"/>
              <w:spacing w:before="0" w:after="50"/>
              <w:rPr/>
            </w:pPr>
            <w:r>
              <w:rPr>
                <w:rFonts w:eastAsia="Arial" w:cs="Arial"/>
                <w:color w:val="1A2B3C"/>
                <w:sz w:val="18"/>
                <w:szCs w:val="18"/>
              </w:rPr>
              <w:t xml:space="preserve">•  </w:t>
            </w:r>
            <w:r>
              <w:rPr>
                <w:rFonts w:eastAsia="Arial" w:cs="Arial"/>
                <w:color w:val="1A2B3C"/>
                <w:sz w:val="18"/>
                <w:szCs w:val="18"/>
              </w:rPr>
              <w:t>Nurse records vitals offline — queued to browser storage with timestamp captured</w:t>
            </w:r>
          </w:p>
          <w:p>
            <w:pPr>
              <w:pStyle w:val="Normal"/>
              <w:spacing w:before="0" w:after="50"/>
              <w:rPr/>
            </w:pPr>
            <w:r>
              <w:rPr>
                <w:rFonts w:eastAsia="Arial" w:cs="Arial"/>
                <w:color w:val="1A2B3C"/>
                <w:sz w:val="18"/>
                <w:szCs w:val="18"/>
              </w:rPr>
              <w:t xml:space="preserve">•  </w:t>
            </w:r>
            <w:r>
              <w:rPr>
                <w:rFonts w:eastAsia="Arial" w:cs="Arial"/>
                <w:color w:val="1A2B3C"/>
                <w:sz w:val="18"/>
                <w:szCs w:val="18"/>
              </w:rPr>
              <w:t>New arrival registered offline: episode is created in queue and synced when back online</w:t>
            </w:r>
          </w:p>
          <w:p>
            <w:pPr>
              <w:pStyle w:val="Normal"/>
              <w:spacing w:before="0" w:after="50"/>
              <w:rPr/>
            </w:pPr>
            <w:r>
              <w:rPr>
                <w:rFonts w:eastAsia="Arial" w:cs="Arial"/>
                <w:color w:val="1A2B3C"/>
                <w:sz w:val="18"/>
                <w:szCs w:val="18"/>
              </w:rPr>
              <w:t xml:space="preserve">•  </w:t>
            </w:r>
            <w:r>
              <w:rPr>
                <w:rFonts w:eastAsia="Arial" w:cs="Arial"/>
                <w:color w:val="1A2B3C"/>
                <w:sz w:val="18"/>
                <w:szCs w:val="18"/>
              </w:rPr>
              <w:t>Background sync fires automatically on reconnection — no manual action required</w:t>
            </w:r>
          </w:p>
          <w:p>
            <w:pPr>
              <w:pStyle w:val="Normal"/>
              <w:spacing w:before="0" w:after="50"/>
              <w:rPr/>
            </w:pPr>
            <w:r>
              <w:rPr>
                <w:rFonts w:eastAsia="Arial" w:cs="Arial"/>
                <w:color w:val="1A2B3C"/>
                <w:sz w:val="18"/>
                <w:szCs w:val="18"/>
              </w:rPr>
              <w:t xml:space="preserve">•  </w:t>
            </w:r>
            <w:r>
              <w:rPr>
                <w:rFonts w:eastAsia="Arial" w:cs="Arial"/>
                <w:color w:val="1A2B3C"/>
                <w:sz w:val="18"/>
                <w:szCs w:val="18"/>
              </w:rPr>
              <w:t>Sync queue dashboard shows PENDING / SYNCED / FAILED status for all offline writes</w:t>
            </w:r>
          </w:p>
          <w:p>
            <w:pPr>
              <w:pStyle w:val="Normal"/>
              <w:spacing w:before="0" w:after="50"/>
              <w:rPr/>
            </w:pPr>
            <w:r>
              <w:rPr>
                <w:rFonts w:eastAsia="Arial" w:cs="Arial"/>
                <w:color w:val="1A2B3C"/>
                <w:sz w:val="18"/>
                <w:szCs w:val="18"/>
              </w:rPr>
              <w:t xml:space="preserve">•  </w:t>
            </w:r>
            <w:r>
              <w:rPr>
                <w:rFonts w:eastAsia="Arial" w:cs="Arial"/>
                <w:color w:val="1A2B3C"/>
                <w:sz w:val="18"/>
                <w:szCs w:val="18"/>
              </w:rPr>
              <w:t>Clinical staff never lose work and never lose situational awareness during downtime events</w:t>
            </w:r>
          </w:p>
        </w:tc>
      </w:tr>
    </w:tbl>
    <w:p>
      <w:pPr>
        <w:pStyle w:val="Normal"/>
        <w:spacing w:before="0" w:after="30"/>
        <w:rPr/>
      </w:pPr>
      <w:r>
        <w:rPr/>
      </w:r>
    </w:p>
    <w:tbl>
      <w:tblPr>
        <w:tblW w:w="9360" w:type="dxa"/>
        <w:jc w:val="left"/>
        <w:tblInd w:w="0" w:type="dxa"/>
        <w:tblLayout w:type="fixed"/>
        <w:tblCellMar>
          <w:top w:w="120" w:type="dxa"/>
          <w:left w:w="180" w:type="dxa"/>
          <w:bottom w:w="120" w:type="dxa"/>
          <w:right w:w="180" w:type="dxa"/>
        </w:tblCellMar>
      </w:tblPr>
      <w:tblGrid>
        <w:gridCol w:w="2700"/>
        <w:gridCol w:w="6659"/>
      </w:tblGrid>
      <w:tr>
        <w:trPr/>
        <w:tc>
          <w:tcPr>
            <w:tcW w:w="2700" w:type="dxa"/>
            <w:tcBorders>
              <w:top w:val="single" w:sz="2" w:space="0" w:color="D0DDE8"/>
              <w:left w:val="single" w:sz="2" w:space="0" w:color="D0DDE8"/>
              <w:bottom w:val="single" w:sz="2" w:space="0" w:color="D0DDE8"/>
              <w:right w:val="single" w:sz="2" w:space="0" w:color="D0DDE8"/>
            </w:tcBorders>
            <w:shd w:fill="F4F7FA" w:val="clear"/>
          </w:tcPr>
          <w:p>
            <w:pPr>
              <w:pStyle w:val="Normal"/>
              <w:spacing w:before="0" w:after="40"/>
              <w:rPr/>
            </w:pPr>
            <w:r>
              <w:rPr>
                <w:rFonts w:eastAsia="Arial" w:cs="Arial"/>
                <w:b w:val="false"/>
                <w:bCs w:val="false"/>
                <w:color w:val="6C7A8D"/>
                <w:sz w:val="16"/>
                <w:szCs w:val="16"/>
              </w:rPr>
              <w:t>30</w:t>
            </w:r>
          </w:p>
          <w:p>
            <w:pPr>
              <w:pStyle w:val="Normal"/>
              <w:spacing w:before="0" w:after="60"/>
              <w:rPr/>
            </w:pPr>
            <w:r>
              <w:rPr>
                <w:rFonts w:eastAsia="Arial" w:cs="Arial"/>
                <w:b/>
                <w:bCs/>
                <w:color w:val="1B3A6B"/>
                <w:sz w:val="20"/>
                <w:szCs w:val="20"/>
              </w:rPr>
              <w:t>Care Context Manager</w:t>
            </w:r>
          </w:p>
          <w:p>
            <w:pPr>
              <w:pStyle w:val="Normal"/>
              <w:spacing w:before="0" w:after="0"/>
              <w:rPr/>
            </w:pPr>
            <w:r>
              <w:rPr>
                <w:rFonts w:eastAsia="Arial" w:cs="Arial"/>
                <w:b w:val="false"/>
                <w:bCs w:val="false"/>
                <w:color w:val="0D6E6E"/>
                <w:sz w:val="15"/>
                <w:szCs w:val="15"/>
              </w:rPr>
              <w:t>OPERATIONS</w:t>
            </w:r>
          </w:p>
        </w:tc>
        <w:tc>
          <w:tcPr>
            <w:tcW w:w="6659" w:type="dxa"/>
            <w:tcBorders>
              <w:top w:val="single" w:sz="2" w:space="0" w:color="D0DDE8"/>
              <w:left w:val="single" w:sz="2" w:space="0" w:color="D0DDE8"/>
              <w:bottom w:val="single" w:sz="2" w:space="0" w:color="D0DDE8"/>
              <w:right w:val="single" w:sz="2" w:space="0" w:color="D0DDE8"/>
            </w:tcBorders>
            <w:shd w:fill="FFFFFF" w:val="clear"/>
            <w:tcMar>
              <w:left w:w="200" w:type="dxa"/>
            </w:tcMar>
          </w:tcPr>
          <w:p>
            <w:pPr>
              <w:pStyle w:val="Normal"/>
              <w:spacing w:before="0" w:after="60"/>
              <w:rPr/>
            </w:pPr>
            <w:r>
              <w:rPr>
                <w:rFonts w:eastAsia="Arial" w:cs="Arial"/>
                <w:b/>
                <w:bCs/>
                <w:color w:val="1A2B3C"/>
                <w:sz w:val="19"/>
                <w:szCs w:val="19"/>
              </w:rPr>
              <w:t>Role-based submodule filtering and per-user interface personalization</w:t>
            </w:r>
          </w:p>
          <w:p>
            <w:pPr>
              <w:pStyle w:val="Normal"/>
              <w:spacing w:before="0" w:after="80"/>
              <w:rPr/>
            </w:pPr>
            <w:r>
              <w:rPr>
                <w:rFonts w:eastAsia="Arial" w:cs="Arial"/>
                <w:color w:val="6C7A8D"/>
                <w:sz w:val="18"/>
                <w:szCs w:val="18"/>
              </w:rPr>
              <w:t>Allows each user to select the Care Context appropriate for their role. The selected context dynamically filters which submodules and menu items are displayed, reducing cognitive load without restricting access to any page.</w:t>
            </w:r>
          </w:p>
          <w:p>
            <w:pPr>
              <w:pStyle w:val="Normal"/>
              <w:spacing w:before="0" w:after="50"/>
              <w:rPr/>
            </w:pPr>
            <w:r>
              <w:rPr>
                <w:rFonts w:eastAsia="Arial" w:cs="Arial"/>
                <w:color w:val="1A2B3C"/>
                <w:sz w:val="18"/>
                <w:szCs w:val="18"/>
              </w:rPr>
              <w:t xml:space="preserve">•  </w:t>
            </w:r>
            <w:r>
              <w:rPr>
                <w:rFonts w:eastAsia="Arial" w:cs="Arial"/>
                <w:color w:val="1A2B3C"/>
                <w:sz w:val="18"/>
                <w:szCs w:val="18"/>
              </w:rPr>
              <w:t>Charge nurse selects ED Acute Care — BH Boarding and CMS Quality dashboard disappear from menu</w:t>
            </w:r>
          </w:p>
          <w:p>
            <w:pPr>
              <w:pStyle w:val="Normal"/>
              <w:spacing w:before="0" w:after="50"/>
              <w:rPr/>
            </w:pPr>
            <w:r>
              <w:rPr>
                <w:rFonts w:eastAsia="Arial" w:cs="Arial"/>
                <w:color w:val="1A2B3C"/>
                <w:sz w:val="18"/>
                <w:szCs w:val="18"/>
              </w:rPr>
              <w:t xml:space="preserve">•  </w:t>
            </w:r>
            <w:r>
              <w:rPr>
                <w:rFonts w:eastAsia="Arial" w:cs="Arial"/>
                <w:color w:val="1A2B3C"/>
                <w:sz w:val="18"/>
                <w:szCs w:val="18"/>
              </w:rPr>
              <w:t>Social worker selects Behavioral Health — sees only BH Safety, BH Boarding, and referral tools</w:t>
            </w:r>
          </w:p>
          <w:p>
            <w:pPr>
              <w:pStyle w:val="Normal"/>
              <w:spacing w:before="0" w:after="50"/>
              <w:rPr/>
            </w:pPr>
            <w:r>
              <w:rPr>
                <w:rFonts w:eastAsia="Arial" w:cs="Arial"/>
                <w:color w:val="1A2B3C"/>
                <w:sz w:val="18"/>
                <w:szCs w:val="18"/>
              </w:rPr>
              <w:t xml:space="preserve">•  </w:t>
            </w:r>
            <w:r>
              <w:rPr>
                <w:rFonts w:eastAsia="Arial" w:cs="Arial"/>
                <w:color w:val="1A2B3C"/>
                <w:sz w:val="18"/>
                <w:szCs w:val="18"/>
              </w:rPr>
              <w:t>Administrator selects Operations — full analytics suite without per-patient clinical detail</w:t>
            </w:r>
          </w:p>
          <w:p>
            <w:pPr>
              <w:pStyle w:val="Normal"/>
              <w:spacing w:before="0" w:after="50"/>
              <w:rPr/>
            </w:pPr>
            <w:r>
              <w:rPr>
                <w:rFonts w:eastAsia="Arial" w:cs="Arial"/>
                <w:color w:val="1A2B3C"/>
                <w:sz w:val="18"/>
                <w:szCs w:val="18"/>
              </w:rPr>
              <w:t xml:space="preserve">•  </w:t>
            </w:r>
            <w:r>
              <w:rPr>
                <w:rFonts w:eastAsia="Arial" w:cs="Arial"/>
                <w:color w:val="1A2B3C"/>
                <w:sz w:val="18"/>
                <w:szCs w:val="18"/>
              </w:rPr>
              <w:t>Context preference saved per user per facility — restored automatically at next login</w:t>
            </w:r>
          </w:p>
          <w:p>
            <w:pPr>
              <w:pStyle w:val="Normal"/>
              <w:spacing w:before="0" w:after="50"/>
              <w:rPr/>
            </w:pPr>
            <w:r>
              <w:rPr>
                <w:rFonts w:eastAsia="Arial" w:cs="Arial"/>
                <w:color w:val="1A2B3C"/>
                <w:sz w:val="18"/>
                <w:szCs w:val="18"/>
              </w:rPr>
              <w:t xml:space="preserve">•  </w:t>
            </w:r>
            <w:r>
              <w:rPr>
                <w:rFonts w:eastAsia="Arial" w:cs="Arial"/>
                <w:color w:val="1A2B3C"/>
                <w:sz w:val="18"/>
                <w:szCs w:val="18"/>
              </w:rPr>
              <w:t>Context is a display lens, not access control: any user can navigate to any permitted page</w:t>
            </w:r>
          </w:p>
        </w:tc>
      </w:tr>
    </w:tbl>
    <w:p>
      <w:pPr>
        <w:pStyle w:val="Normal"/>
        <w:spacing w:before="0" w:after="30"/>
        <w:rPr/>
      </w:pPr>
      <w:r>
        <w:rPr/>
      </w:r>
    </w:p>
    <w:tbl>
      <w:tblPr>
        <w:tblW w:w="9360" w:type="dxa"/>
        <w:jc w:val="left"/>
        <w:tblInd w:w="0" w:type="dxa"/>
        <w:tblLayout w:type="fixed"/>
        <w:tblCellMar>
          <w:top w:w="120" w:type="dxa"/>
          <w:left w:w="180" w:type="dxa"/>
          <w:bottom w:w="120" w:type="dxa"/>
          <w:right w:w="180" w:type="dxa"/>
        </w:tblCellMar>
      </w:tblPr>
      <w:tblGrid>
        <w:gridCol w:w="2700"/>
        <w:gridCol w:w="6659"/>
      </w:tblGrid>
      <w:tr>
        <w:trPr/>
        <w:tc>
          <w:tcPr>
            <w:tcW w:w="2700" w:type="dxa"/>
            <w:tcBorders>
              <w:top w:val="single" w:sz="2" w:space="0" w:color="D0DDE8"/>
              <w:left w:val="single" w:sz="2" w:space="0" w:color="D0DDE8"/>
              <w:bottom w:val="single" w:sz="2" w:space="0" w:color="D0DDE8"/>
              <w:right w:val="single" w:sz="2" w:space="0" w:color="D0DDE8"/>
            </w:tcBorders>
            <w:shd w:fill="F4F7FA" w:val="clear"/>
          </w:tcPr>
          <w:p>
            <w:pPr>
              <w:pStyle w:val="Normal"/>
              <w:spacing w:before="0" w:after="40"/>
              <w:rPr/>
            </w:pPr>
            <w:r>
              <w:rPr>
                <w:rFonts w:eastAsia="Arial" w:cs="Arial"/>
                <w:b w:val="false"/>
                <w:bCs w:val="false"/>
                <w:color w:val="6C7A8D"/>
                <w:sz w:val="16"/>
                <w:szCs w:val="16"/>
              </w:rPr>
              <w:t>31</w:t>
            </w:r>
          </w:p>
          <w:p>
            <w:pPr>
              <w:pStyle w:val="Normal"/>
              <w:spacing w:before="0" w:after="60"/>
              <w:rPr/>
            </w:pPr>
            <w:r>
              <w:rPr>
                <w:rFonts w:eastAsia="Arial" w:cs="Arial"/>
                <w:b/>
                <w:bCs/>
                <w:color w:val="1B3A6B"/>
                <w:sz w:val="20"/>
                <w:szCs w:val="20"/>
              </w:rPr>
              <w:t>Admin Exports</w:t>
            </w:r>
          </w:p>
          <w:p>
            <w:pPr>
              <w:pStyle w:val="Normal"/>
              <w:spacing w:before="0" w:after="0"/>
              <w:rPr/>
            </w:pPr>
            <w:r>
              <w:rPr>
                <w:rFonts w:eastAsia="Arial" w:cs="Arial"/>
                <w:b w:val="false"/>
                <w:bCs w:val="false"/>
                <w:color w:val="0D6E6E"/>
                <w:sz w:val="15"/>
                <w:szCs w:val="15"/>
              </w:rPr>
              <w:t>OPERATIONS</w:t>
            </w:r>
          </w:p>
        </w:tc>
        <w:tc>
          <w:tcPr>
            <w:tcW w:w="6659" w:type="dxa"/>
            <w:tcBorders>
              <w:top w:val="single" w:sz="2" w:space="0" w:color="D0DDE8"/>
              <w:left w:val="single" w:sz="2" w:space="0" w:color="D0DDE8"/>
              <w:bottom w:val="single" w:sz="2" w:space="0" w:color="D0DDE8"/>
              <w:right w:val="single" w:sz="2" w:space="0" w:color="D0DDE8"/>
            </w:tcBorders>
            <w:shd w:fill="FFFFFF" w:val="clear"/>
            <w:tcMar>
              <w:left w:w="200" w:type="dxa"/>
            </w:tcMar>
          </w:tcPr>
          <w:p>
            <w:pPr>
              <w:pStyle w:val="Normal"/>
              <w:spacing w:before="0" w:after="60"/>
              <w:rPr/>
            </w:pPr>
            <w:r>
              <w:rPr>
                <w:rFonts w:eastAsia="Arial" w:cs="Arial"/>
                <w:b/>
                <w:bCs/>
                <w:color w:val="1A2B3C"/>
                <w:sz w:val="19"/>
                <w:szCs w:val="19"/>
              </w:rPr>
              <w:t>Data export tooling for analytics, compliance, and EHR integration teams</w:t>
            </w:r>
          </w:p>
          <w:p>
            <w:pPr>
              <w:pStyle w:val="Normal"/>
              <w:spacing w:before="0" w:after="80"/>
              <w:rPr/>
            </w:pPr>
            <w:r>
              <w:rPr>
                <w:rFonts w:eastAsia="Arial" w:cs="Arial"/>
                <w:color w:val="6C7A8D"/>
                <w:sz w:val="18"/>
                <w:szCs w:val="18"/>
              </w:rPr>
              <w:t>Provides facility administrators with structured CSV/JSON exports of episode data, task completion logs, MAR records, and quality measure source data. Supports date-range filtering and per-submodule selection.</w:t>
            </w:r>
          </w:p>
          <w:p>
            <w:pPr>
              <w:pStyle w:val="Normal"/>
              <w:spacing w:before="0" w:after="50"/>
              <w:rPr/>
            </w:pPr>
            <w:r>
              <w:rPr>
                <w:rFonts w:eastAsia="Arial" w:cs="Arial"/>
                <w:color w:val="1A2B3C"/>
                <w:sz w:val="18"/>
                <w:szCs w:val="18"/>
              </w:rPr>
              <w:t xml:space="preserve">•  </w:t>
            </w:r>
            <w:r>
              <w:rPr>
                <w:rFonts w:eastAsia="Arial" w:cs="Arial"/>
                <w:color w:val="1A2B3C"/>
                <w:sz w:val="18"/>
                <w:szCs w:val="18"/>
              </w:rPr>
              <w:t>Quality team exports SEP-1 source data to feed CMS measure abstraction tool quarterly</w:t>
            </w:r>
          </w:p>
          <w:p>
            <w:pPr>
              <w:pStyle w:val="Normal"/>
              <w:spacing w:before="0" w:after="50"/>
              <w:rPr/>
            </w:pPr>
            <w:r>
              <w:rPr>
                <w:rFonts w:eastAsia="Arial" w:cs="Arial"/>
                <w:color w:val="1A2B3C"/>
                <w:sz w:val="18"/>
                <w:szCs w:val="18"/>
              </w:rPr>
              <w:t xml:space="preserve">•  </w:t>
            </w:r>
            <w:r>
              <w:rPr>
                <w:rFonts w:eastAsia="Arial" w:cs="Arial"/>
                <w:color w:val="1A2B3C"/>
                <w:sz w:val="18"/>
                <w:szCs w:val="18"/>
              </w:rPr>
              <w:t>Finance team exports OBS episode data for billing reconciliation against charge master</w:t>
            </w:r>
          </w:p>
          <w:p>
            <w:pPr>
              <w:pStyle w:val="Normal"/>
              <w:spacing w:before="0" w:after="50"/>
              <w:rPr/>
            </w:pPr>
            <w:r>
              <w:rPr>
                <w:rFonts w:eastAsia="Arial" w:cs="Arial"/>
                <w:color w:val="1A2B3C"/>
                <w:sz w:val="18"/>
                <w:szCs w:val="18"/>
              </w:rPr>
              <w:t xml:space="preserve">•  </w:t>
            </w:r>
            <w:r>
              <w:rPr>
                <w:rFonts w:eastAsia="Arial" w:cs="Arial"/>
                <w:color w:val="1A2B3C"/>
                <w:sz w:val="18"/>
                <w:szCs w:val="18"/>
              </w:rPr>
              <w:t>IT team exports HL7 log for interface troubleshooting and message replay</w:t>
            </w:r>
          </w:p>
          <w:p>
            <w:pPr>
              <w:pStyle w:val="Normal"/>
              <w:spacing w:before="0" w:after="50"/>
              <w:rPr/>
            </w:pPr>
            <w:r>
              <w:rPr>
                <w:rFonts w:eastAsia="Arial" w:cs="Arial"/>
                <w:color w:val="1A2B3C"/>
                <w:sz w:val="18"/>
                <w:szCs w:val="18"/>
              </w:rPr>
              <w:t xml:space="preserve">•  </w:t>
            </w:r>
            <w:r>
              <w:rPr>
                <w:rFonts w:eastAsia="Arial" w:cs="Arial"/>
                <w:color w:val="1A2B3C"/>
                <w:sz w:val="18"/>
                <w:szCs w:val="18"/>
              </w:rPr>
              <w:t>Integration partner pulls episode CSV to populate external analytics data warehouse</w:t>
            </w:r>
          </w:p>
        </w:tc>
      </w:tr>
    </w:tbl>
    <w:p>
      <w:pPr>
        <w:pStyle w:val="Normal"/>
        <w:spacing w:before="0" w:after="30"/>
        <w:rPr/>
      </w:pPr>
      <w:r>
        <w:rPr/>
      </w:r>
    </w:p>
    <w:tbl>
      <w:tblPr>
        <w:tblW w:w="9360" w:type="dxa"/>
        <w:jc w:val="left"/>
        <w:tblInd w:w="0" w:type="dxa"/>
        <w:tblLayout w:type="fixed"/>
        <w:tblCellMar>
          <w:top w:w="120" w:type="dxa"/>
          <w:left w:w="180" w:type="dxa"/>
          <w:bottom w:w="120" w:type="dxa"/>
          <w:right w:w="180" w:type="dxa"/>
        </w:tblCellMar>
      </w:tblPr>
      <w:tblGrid>
        <w:gridCol w:w="2700"/>
        <w:gridCol w:w="6659"/>
      </w:tblGrid>
      <w:tr>
        <w:trPr/>
        <w:tc>
          <w:tcPr>
            <w:tcW w:w="2700" w:type="dxa"/>
            <w:tcBorders>
              <w:top w:val="single" w:sz="2" w:space="0" w:color="D0DDE8"/>
              <w:left w:val="single" w:sz="2" w:space="0" w:color="D0DDE8"/>
              <w:bottom w:val="single" w:sz="2" w:space="0" w:color="D0DDE8"/>
              <w:right w:val="single" w:sz="2" w:space="0" w:color="D0DDE8"/>
            </w:tcBorders>
            <w:shd w:fill="F4F7FA" w:val="clear"/>
          </w:tcPr>
          <w:p>
            <w:pPr>
              <w:pStyle w:val="Normal"/>
              <w:spacing w:before="0" w:after="40"/>
              <w:rPr/>
            </w:pPr>
            <w:r>
              <w:rPr>
                <w:rFonts w:eastAsia="Arial" w:cs="Arial"/>
                <w:b w:val="false"/>
                <w:bCs w:val="false"/>
                <w:color w:val="6C7A8D"/>
                <w:sz w:val="16"/>
                <w:szCs w:val="16"/>
              </w:rPr>
              <w:t>32</w:t>
            </w:r>
          </w:p>
          <w:p>
            <w:pPr>
              <w:pStyle w:val="Normal"/>
              <w:spacing w:before="0" w:after="60"/>
              <w:rPr/>
            </w:pPr>
            <w:r>
              <w:rPr>
                <w:rFonts w:eastAsia="Arial" w:cs="Arial"/>
                <w:b/>
                <w:bCs/>
                <w:color w:val="1B3A6B"/>
                <w:sz w:val="20"/>
                <w:szCs w:val="20"/>
              </w:rPr>
              <w:t>Settings</w:t>
            </w:r>
          </w:p>
          <w:p>
            <w:pPr>
              <w:pStyle w:val="Normal"/>
              <w:spacing w:before="0" w:after="0"/>
              <w:rPr/>
            </w:pPr>
            <w:r>
              <w:rPr>
                <w:rFonts w:eastAsia="Arial" w:cs="Arial"/>
                <w:b w:val="false"/>
                <w:bCs w:val="false"/>
                <w:color w:val="0D6E6E"/>
                <w:sz w:val="15"/>
                <w:szCs w:val="15"/>
              </w:rPr>
              <w:t>OPERATIONS</w:t>
            </w:r>
          </w:p>
        </w:tc>
        <w:tc>
          <w:tcPr>
            <w:tcW w:w="6659" w:type="dxa"/>
            <w:tcBorders>
              <w:top w:val="single" w:sz="2" w:space="0" w:color="D0DDE8"/>
              <w:left w:val="single" w:sz="2" w:space="0" w:color="D0DDE8"/>
              <w:bottom w:val="single" w:sz="2" w:space="0" w:color="D0DDE8"/>
              <w:right w:val="single" w:sz="2" w:space="0" w:color="D0DDE8"/>
            </w:tcBorders>
            <w:shd w:fill="FFFFFF" w:val="clear"/>
            <w:tcMar>
              <w:left w:w="200" w:type="dxa"/>
            </w:tcMar>
          </w:tcPr>
          <w:p>
            <w:pPr>
              <w:pStyle w:val="Normal"/>
              <w:spacing w:before="0" w:after="60"/>
              <w:rPr/>
            </w:pPr>
            <w:r>
              <w:rPr>
                <w:rFonts w:eastAsia="Arial" w:cs="Arial"/>
                <w:b/>
                <w:bCs/>
                <w:color w:val="1A2B3C"/>
                <w:sz w:val="19"/>
                <w:szCs w:val="19"/>
              </w:rPr>
              <w:t>Facility-level configuration for all clinical thresholds and integrations</w:t>
            </w:r>
          </w:p>
          <w:p>
            <w:pPr>
              <w:pStyle w:val="Normal"/>
              <w:spacing w:before="0" w:after="80"/>
              <w:rPr/>
            </w:pPr>
            <w:r>
              <w:rPr>
                <w:rFonts w:eastAsia="Arial" w:cs="Arial"/>
                <w:color w:val="6C7A8D"/>
                <w:sz w:val="18"/>
                <w:szCs w:val="18"/>
              </w:rPr>
              <w:t>Central configuration page for facility-specific parameters: LWBS threshold, boarding alert hours, OBS runway warning, vitals intervals, door-to-provider targets, HL7 transport settings, endpoint configuration, international triage standard selection (ESI/MTS/CTAS), and per-level acuity badge color customization.</w:t>
            </w:r>
          </w:p>
          <w:p>
            <w:pPr>
              <w:pStyle w:val="Normal"/>
              <w:spacing w:before="0" w:after="50"/>
              <w:rPr/>
            </w:pPr>
            <w:r>
              <w:rPr>
                <w:rFonts w:eastAsia="Arial" w:cs="Arial"/>
                <w:color w:val="1A2B3C"/>
                <w:sz w:val="18"/>
                <w:szCs w:val="18"/>
              </w:rPr>
              <w:t xml:space="preserve">•  </w:t>
            </w:r>
            <w:r>
              <w:rPr>
                <w:rFonts w:eastAsia="Arial" w:cs="Arial"/>
                <w:color w:val="1A2B3C"/>
                <w:sz w:val="18"/>
                <w:szCs w:val="18"/>
              </w:rPr>
              <w:t>ED director sets LWBS threshold to 90 minutes for a higher-acuity facility profile</w:t>
            </w:r>
          </w:p>
          <w:p>
            <w:pPr>
              <w:pStyle w:val="Normal"/>
              <w:spacing w:before="0" w:after="50"/>
              <w:rPr/>
            </w:pPr>
            <w:r>
              <w:rPr>
                <w:rFonts w:eastAsia="Arial" w:cs="Arial"/>
                <w:color w:val="1A2B3C"/>
                <w:sz w:val="18"/>
                <w:szCs w:val="18"/>
              </w:rPr>
              <w:t xml:space="preserve">•  </w:t>
            </w:r>
            <w:r>
              <w:rPr>
                <w:rFonts w:eastAsia="Arial" w:cs="Arial"/>
                <w:color w:val="1A2B3C"/>
                <w:sz w:val="18"/>
                <w:szCs w:val="18"/>
              </w:rPr>
              <w:t>HL7 MLLP endpoint configured here — host, port, processing ID, facility identifier</w:t>
            </w:r>
          </w:p>
          <w:p>
            <w:pPr>
              <w:pStyle w:val="Normal"/>
              <w:spacing w:before="0" w:after="50"/>
              <w:rPr/>
            </w:pPr>
            <w:r>
              <w:rPr>
                <w:rFonts w:eastAsia="Arial" w:cs="Arial"/>
                <w:color w:val="1A2B3C"/>
                <w:sz w:val="18"/>
                <w:szCs w:val="18"/>
              </w:rPr>
              <w:t xml:space="preserve">•  </w:t>
            </w:r>
            <w:r>
              <w:rPr>
                <w:rFonts w:eastAsia="Arial" w:cs="Arial"/>
                <w:color w:val="1A2B3C"/>
                <w:sz w:val="18"/>
                <w:szCs w:val="18"/>
              </w:rPr>
              <w:t>Vitals check intervals configured per unit type (Q2H in ED, Q4H in OBS)</w:t>
            </w:r>
          </w:p>
          <w:p>
            <w:pPr>
              <w:pStyle w:val="Normal"/>
              <w:spacing w:before="0" w:after="50"/>
              <w:rPr/>
            </w:pPr>
            <w:r>
              <w:rPr>
                <w:rFonts w:eastAsia="Arial" w:cs="Arial"/>
                <w:color w:val="1A2B3C"/>
                <w:sz w:val="18"/>
                <w:szCs w:val="18"/>
              </w:rPr>
              <w:t xml:space="preserve">•  </w:t>
            </w:r>
            <w:r>
              <w:rPr>
                <w:rFonts w:eastAsia="Arial" w:cs="Arial"/>
                <w:color w:val="1A2B3C"/>
                <w:sz w:val="18"/>
                <w:szCs w:val="18"/>
              </w:rPr>
              <w:t>All thresholds drive alert firing times, scorecard benchmarks, and quality measure targets</w:t>
            </w:r>
          </w:p>
          <w:p>
            <w:pPr>
              <w:pStyle w:val="Normal"/>
              <w:spacing w:before="0" w:after="50"/>
              <w:rPr/>
            </w:pPr>
            <w:r>
              <w:rPr>
                <w:rFonts w:eastAsia="Arial" w:cs="Arial"/>
                <w:color w:val="1A2B3C"/>
                <w:sz w:val="18"/>
                <w:szCs w:val="18"/>
              </w:rPr>
              <w:t xml:space="preserve">•  </w:t>
            </w:r>
            <w:r>
              <w:rPr>
                <w:rFonts w:eastAsia="Arial" w:cs="Arial"/>
                <w:color w:val="1A2B3C"/>
                <w:sz w:val="18"/>
                <w:szCs w:val="18"/>
              </w:rPr>
              <w:t>Settings changes take effect immediately without module restart</w:t>
            </w:r>
          </w:p>
          <w:p>
            <w:pPr>
              <w:pStyle w:val="Normal"/>
              <w:spacing w:before="0" w:after="50"/>
              <w:rPr/>
            </w:pPr>
            <w:r>
              <w:rPr>
                <w:rFonts w:eastAsia="Arial" w:cs="Arial"/>
                <w:color w:val="1A2B3C"/>
                <w:sz w:val="18"/>
                <w:szCs w:val="18"/>
              </w:rPr>
              <w:t xml:space="preserve">•  </w:t>
            </w:r>
            <w:r>
              <w:rPr>
                <w:rFonts w:eastAsia="Arial" w:cs="Arial"/>
                <w:color w:val="1A2B3C"/>
                <w:sz w:val="18"/>
                <w:szCs w:val="18"/>
              </w:rPr>
              <w:t>Triage standard switcher: administrator selects ESI (US), MTS (UK/Europe/Australasia), or CTAS (Canada) — change takes effect immediately across all pages, existing acuity values unaffected</w:t>
            </w:r>
          </w:p>
          <w:p>
            <w:pPr>
              <w:pStyle w:val="Normal"/>
              <w:spacing w:before="0" w:after="50"/>
              <w:rPr/>
            </w:pPr>
            <w:r>
              <w:rPr>
                <w:rFonts w:eastAsia="Arial" w:cs="Arial"/>
                <w:color w:val="1A2B3C"/>
                <w:sz w:val="18"/>
                <w:szCs w:val="18"/>
              </w:rPr>
              <w:t xml:space="preserve">•  </w:t>
            </w:r>
            <w:r>
              <w:rPr>
                <w:rFonts w:eastAsia="Arial" w:cs="Arial"/>
                <w:color w:val="1A2B3C"/>
                <w:sz w:val="18"/>
                <w:szCs w:val="18"/>
              </w:rPr>
              <w:t>Acuity badge color picker: click any level badge to instantly set a custom background and foreground color — preview updates live before saving, stored per facility</w:t>
            </w:r>
          </w:p>
        </w:tc>
      </w:tr>
    </w:tbl>
    <w:p>
      <w:pPr>
        <w:pStyle w:val="Normal"/>
        <w:spacing w:before="0" w:after="50"/>
        <w:rPr/>
      </w:pPr>
      <w:r>
        <w:rPr/>
      </w:r>
    </w:p>
    <w:p>
      <w:pPr>
        <w:pStyle w:val="Normal"/>
        <w:rPr/>
      </w:pPr>
      <w:r>
        <w:rPr/>
      </w:r>
      <w:r>
        <w:br w:type="page"/>
      </w:r>
    </w:p>
    <w:p>
      <w:pPr>
        <w:pStyle w:val="Heading1"/>
        <w:spacing w:before="0" w:after="120"/>
        <w:rPr/>
      </w:pPr>
      <w:r>
        <w:rPr>
          <w:rFonts w:eastAsia="Arial" w:cs="Arial" w:ascii="Arial" w:hAnsi="Arial"/>
          <w:b/>
          <w:bCs/>
          <w:color w:val="1B3A6B"/>
          <w:sz w:val="26"/>
          <w:szCs w:val="26"/>
        </w:rPr>
        <w:t>Institutional Workflow Relationships</w:t>
      </w:r>
    </w:p>
    <w:p>
      <w:pPr>
        <w:pStyle w:val="Normal"/>
        <w:pBdr>
          <w:bottom w:val="single" w:sz="4" w:space="1" w:color="D0DDE8"/>
        </w:pBdr>
        <w:spacing w:before="0" w:after="160"/>
        <w:rPr/>
      </w:pPr>
      <w:r>
        <w:rPr/>
      </w:r>
    </w:p>
    <w:p>
      <w:pPr>
        <w:pStyle w:val="Normal"/>
        <w:spacing w:before="0" w:after="100"/>
        <w:rPr/>
      </w:pPr>
      <w:r>
        <w:rPr>
          <w:rFonts w:eastAsia="Arial" w:cs="Arial"/>
          <w:b w:val="false"/>
          <w:bCs w:val="false"/>
          <w:i w:val="false"/>
          <w:iCs w:val="false"/>
          <w:color w:val="1A2B3C"/>
          <w:sz w:val="20"/>
          <w:szCs w:val="20"/>
        </w:rPr>
        <w:t>The following table maps each major clinical workflow to the submodules that support it, and the measurable outcome each delivers. This illustrates how the submodules work as an integrated system rather than isolated tools.</w:t>
      </w:r>
    </w:p>
    <w:p>
      <w:pPr>
        <w:pStyle w:val="Normal"/>
        <w:spacing w:before="0" w:after="120"/>
        <w:rPr/>
      </w:pPr>
      <w:r>
        <w:rPr/>
      </w:r>
    </w:p>
    <w:tbl>
      <w:tblPr>
        <w:tblW w:w="9360" w:type="dxa"/>
        <w:jc w:val="left"/>
        <w:tblInd w:w="0" w:type="dxa"/>
        <w:tblLayout w:type="fixed"/>
        <w:tblCellMar>
          <w:top w:w="100" w:type="dxa"/>
          <w:left w:w="160" w:type="dxa"/>
          <w:bottom w:w="100" w:type="dxa"/>
          <w:right w:w="160" w:type="dxa"/>
        </w:tblCellMar>
      </w:tblPr>
      <w:tblGrid>
        <w:gridCol w:w="2199"/>
        <w:gridCol w:w="4560"/>
        <w:gridCol w:w="2601"/>
      </w:tblGrid>
      <w:tr>
        <w:trPr/>
        <w:tc>
          <w:tcPr>
            <w:tcW w:w="2199" w:type="dxa"/>
            <w:tcBorders>
              <w:top w:val="single" w:sz="2" w:space="0" w:color="1B3A6B"/>
              <w:left w:val="single" w:sz="2" w:space="0" w:color="1B3A6B"/>
              <w:bottom w:val="single" w:sz="2" w:space="0" w:color="1B3A6B"/>
              <w:right w:val="single" w:sz="2" w:space="0" w:color="1B3A6B"/>
            </w:tcBorders>
            <w:shd w:fill="1B3A6B" w:val="clear"/>
          </w:tcPr>
          <w:p>
            <w:pPr>
              <w:pStyle w:val="Normal"/>
              <w:rPr/>
            </w:pPr>
            <w:r>
              <w:rPr>
                <w:rFonts w:eastAsia="Arial" w:cs="Arial"/>
                <w:b/>
                <w:bCs/>
                <w:color w:val="FFFFFF"/>
                <w:sz w:val="18"/>
                <w:szCs w:val="18"/>
              </w:rPr>
              <w:t>Workflow</w:t>
            </w:r>
          </w:p>
        </w:tc>
        <w:tc>
          <w:tcPr>
            <w:tcW w:w="4560" w:type="dxa"/>
            <w:tcBorders>
              <w:top w:val="single" w:sz="2" w:space="0" w:color="1B3A6B"/>
              <w:left w:val="single" w:sz="2" w:space="0" w:color="1B3A6B"/>
              <w:bottom w:val="single" w:sz="2" w:space="0" w:color="1B3A6B"/>
              <w:right w:val="single" w:sz="2" w:space="0" w:color="1B3A6B"/>
            </w:tcBorders>
            <w:shd w:fill="1B3A6B" w:val="clear"/>
          </w:tcPr>
          <w:p>
            <w:pPr>
              <w:pStyle w:val="Normal"/>
              <w:rPr/>
            </w:pPr>
            <w:r>
              <w:rPr>
                <w:rFonts w:eastAsia="Arial" w:cs="Arial"/>
                <w:b/>
                <w:bCs/>
                <w:color w:val="FFFFFF"/>
                <w:sz w:val="18"/>
                <w:szCs w:val="18"/>
              </w:rPr>
              <w:t>Submodules Involved</w:t>
            </w:r>
          </w:p>
        </w:tc>
        <w:tc>
          <w:tcPr>
            <w:tcW w:w="2601" w:type="dxa"/>
            <w:tcBorders>
              <w:top w:val="single" w:sz="2" w:space="0" w:color="1B3A6B"/>
              <w:left w:val="single" w:sz="2" w:space="0" w:color="1B3A6B"/>
              <w:bottom w:val="single" w:sz="2" w:space="0" w:color="1B3A6B"/>
              <w:right w:val="single" w:sz="2" w:space="0" w:color="1B3A6B"/>
            </w:tcBorders>
            <w:shd w:fill="1B3A6B" w:val="clear"/>
          </w:tcPr>
          <w:p>
            <w:pPr>
              <w:pStyle w:val="Normal"/>
              <w:rPr/>
            </w:pPr>
            <w:r>
              <w:rPr>
                <w:rFonts w:eastAsia="Arial" w:cs="Arial"/>
                <w:b/>
                <w:bCs/>
                <w:color w:val="FFFFFF"/>
                <w:sz w:val="18"/>
                <w:szCs w:val="18"/>
              </w:rPr>
              <w:t>Measurable Outcome</w:t>
            </w:r>
          </w:p>
        </w:tc>
      </w:tr>
      <w:tr>
        <w:trPr/>
        <w:tc>
          <w:tcPr>
            <w:tcW w:w="2199" w:type="dxa"/>
            <w:tcBorders>
              <w:top w:val="single" w:sz="2" w:space="0" w:color="D0DDE8"/>
              <w:left w:val="single" w:sz="2" w:space="0" w:color="D0DDE8"/>
              <w:bottom w:val="single" w:sz="2" w:space="0" w:color="D0DDE8"/>
              <w:right w:val="single" w:sz="2" w:space="0" w:color="D0DDE8"/>
            </w:tcBorders>
            <w:shd w:fill="F4F7FA" w:val="clear"/>
          </w:tcPr>
          <w:p>
            <w:pPr>
              <w:pStyle w:val="Normal"/>
              <w:rPr/>
            </w:pPr>
            <w:r>
              <w:rPr>
                <w:rFonts w:eastAsia="Arial" w:cs="Arial"/>
                <w:b/>
                <w:bCs/>
                <w:color w:val="1B3A6B"/>
                <w:sz w:val="18"/>
                <w:szCs w:val="18"/>
              </w:rPr>
              <w:t>Sepsis Recognition &amp; Bundle</w:t>
            </w:r>
          </w:p>
        </w:tc>
        <w:tc>
          <w:tcPr>
            <w:tcW w:w="4560" w:type="dxa"/>
            <w:tcBorders>
              <w:top w:val="single" w:sz="2" w:space="0" w:color="D0DDE8"/>
              <w:left w:val="single" w:sz="2" w:space="0" w:color="D0DDE8"/>
              <w:bottom w:val="single" w:sz="2" w:space="0" w:color="D0DDE8"/>
              <w:right w:val="single" w:sz="2" w:space="0" w:color="D0DDE8"/>
            </w:tcBorders>
          </w:tcPr>
          <w:p>
            <w:pPr>
              <w:pStyle w:val="Normal"/>
              <w:rPr/>
            </w:pPr>
            <w:r>
              <w:rPr>
                <w:rFonts w:eastAsia="Arial" w:cs="Arial"/>
                <w:color w:val="1A2B3C"/>
                <w:sz w:val="18"/>
                <w:szCs w:val="18"/>
              </w:rPr>
              <w:t>Triage (qSOFA), Alerts, Tasks (BLOOD_CULTURE, LACTATE, IV_FLUID, ANTIBIOTICS), MAR (Vancomycin), CMS Quality (SEP-1)</w:t>
            </w:r>
          </w:p>
        </w:tc>
        <w:tc>
          <w:tcPr>
            <w:tcW w:w="2601" w:type="dxa"/>
            <w:tcBorders>
              <w:top w:val="single" w:sz="2" w:space="0" w:color="D0DDE8"/>
              <w:left w:val="single" w:sz="2" w:space="0" w:color="D0DDE8"/>
              <w:bottom w:val="single" w:sz="2" w:space="0" w:color="D0DDE8"/>
              <w:right w:val="single" w:sz="2" w:space="0" w:color="D0DDE8"/>
            </w:tcBorders>
          </w:tcPr>
          <w:p>
            <w:pPr>
              <w:pStyle w:val="Normal"/>
              <w:rPr/>
            </w:pPr>
            <w:r>
              <w:rPr>
                <w:rFonts w:eastAsia="Arial" w:cs="Arial"/>
                <w:color w:val="6C7A8D"/>
                <w:sz w:val="18"/>
                <w:szCs w:val="18"/>
              </w:rPr>
              <w:t>SEP-1 bundle compliance; time-to-antibiotic reduction</w:t>
            </w:r>
          </w:p>
        </w:tc>
      </w:tr>
      <w:tr>
        <w:trPr/>
        <w:tc>
          <w:tcPr>
            <w:tcW w:w="2199" w:type="dxa"/>
            <w:tcBorders>
              <w:top w:val="single" w:sz="2" w:space="0" w:color="D0DDE8"/>
              <w:left w:val="single" w:sz="2" w:space="0" w:color="D0DDE8"/>
              <w:bottom w:val="single" w:sz="2" w:space="0" w:color="D0DDE8"/>
              <w:right w:val="single" w:sz="2" w:space="0" w:color="D0DDE8"/>
            </w:tcBorders>
            <w:shd w:fill="F4F7FA" w:val="clear"/>
          </w:tcPr>
          <w:p>
            <w:pPr>
              <w:pStyle w:val="Normal"/>
              <w:rPr/>
            </w:pPr>
            <w:r>
              <w:rPr>
                <w:rFonts w:eastAsia="Arial" w:cs="Arial"/>
                <w:b/>
                <w:bCs/>
                <w:color w:val="1B3A6B"/>
                <w:sz w:val="18"/>
                <w:szCs w:val="18"/>
              </w:rPr>
              <w:t>ED Arrival to Roomed</w:t>
            </w:r>
          </w:p>
        </w:tc>
        <w:tc>
          <w:tcPr>
            <w:tcW w:w="4560" w:type="dxa"/>
            <w:tcBorders>
              <w:top w:val="single" w:sz="2" w:space="0" w:color="D0DDE8"/>
              <w:left w:val="single" w:sz="2" w:space="0" w:color="D0DDE8"/>
              <w:bottom w:val="single" w:sz="2" w:space="0" w:color="D0DDE8"/>
              <w:right w:val="single" w:sz="2" w:space="0" w:color="D0DDE8"/>
            </w:tcBorders>
          </w:tcPr>
          <w:p>
            <w:pPr>
              <w:pStyle w:val="Normal"/>
              <w:rPr/>
            </w:pPr>
            <w:r>
              <w:rPr>
                <w:rFonts w:eastAsia="Arial" w:cs="Arial"/>
                <w:color w:val="1A2B3C"/>
                <w:sz w:val="18"/>
                <w:szCs w:val="18"/>
              </w:rPr>
              <w:t>Intake, Triage, Bed Mgmt, ED Board, HL7 ADT (A04/A02)</w:t>
            </w:r>
          </w:p>
        </w:tc>
        <w:tc>
          <w:tcPr>
            <w:tcW w:w="2601" w:type="dxa"/>
            <w:tcBorders>
              <w:top w:val="single" w:sz="2" w:space="0" w:color="D0DDE8"/>
              <w:left w:val="single" w:sz="2" w:space="0" w:color="D0DDE8"/>
              <w:bottom w:val="single" w:sz="2" w:space="0" w:color="D0DDE8"/>
              <w:right w:val="single" w:sz="2" w:space="0" w:color="D0DDE8"/>
            </w:tcBorders>
          </w:tcPr>
          <w:p>
            <w:pPr>
              <w:pStyle w:val="Normal"/>
              <w:rPr/>
            </w:pPr>
            <w:r>
              <w:rPr>
                <w:rFonts w:eastAsia="Arial" w:cs="Arial"/>
                <w:color w:val="6C7A8D"/>
                <w:sz w:val="18"/>
                <w:szCs w:val="18"/>
              </w:rPr>
              <w:t>Door-to-room interval; LWBS rate reduction</w:t>
            </w:r>
          </w:p>
        </w:tc>
      </w:tr>
      <w:tr>
        <w:trPr/>
        <w:tc>
          <w:tcPr>
            <w:tcW w:w="2199" w:type="dxa"/>
            <w:tcBorders>
              <w:top w:val="single" w:sz="2" w:space="0" w:color="D0DDE8"/>
              <w:left w:val="single" w:sz="2" w:space="0" w:color="D0DDE8"/>
              <w:bottom w:val="single" w:sz="2" w:space="0" w:color="D0DDE8"/>
              <w:right w:val="single" w:sz="2" w:space="0" w:color="D0DDE8"/>
            </w:tcBorders>
            <w:shd w:fill="F4F7FA" w:val="clear"/>
          </w:tcPr>
          <w:p>
            <w:pPr>
              <w:pStyle w:val="Normal"/>
              <w:rPr/>
            </w:pPr>
            <w:r>
              <w:rPr>
                <w:rFonts w:eastAsia="Arial" w:cs="Arial"/>
                <w:b/>
                <w:bCs/>
                <w:color w:val="1B3A6B"/>
                <w:sz w:val="18"/>
                <w:szCs w:val="18"/>
              </w:rPr>
              <w:t>Observation Stay Management</w:t>
            </w:r>
          </w:p>
        </w:tc>
        <w:tc>
          <w:tcPr>
            <w:tcW w:w="4560" w:type="dxa"/>
            <w:tcBorders>
              <w:top w:val="single" w:sz="2" w:space="0" w:color="D0DDE8"/>
              <w:left w:val="single" w:sz="2" w:space="0" w:color="D0DDE8"/>
              <w:bottom w:val="single" w:sz="2" w:space="0" w:color="D0DDE8"/>
              <w:right w:val="single" w:sz="2" w:space="0" w:color="D0DDE8"/>
            </w:tcBorders>
          </w:tcPr>
          <w:p>
            <w:pPr>
              <w:pStyle w:val="Normal"/>
              <w:rPr/>
            </w:pPr>
            <w:r>
              <w:rPr>
                <w:rFonts w:eastAsia="Arial" w:cs="Arial"/>
                <w:color w:val="1A2B3C"/>
                <w:sz w:val="18"/>
                <w:szCs w:val="18"/>
              </w:rPr>
              <w:t>Disposition, OBS Stay, OBS Protocols, Tasks (milestones), MAR, OBS Billing, CMS Quality (OP-1/OP-2/OP-5)</w:t>
            </w:r>
          </w:p>
        </w:tc>
        <w:tc>
          <w:tcPr>
            <w:tcW w:w="2601" w:type="dxa"/>
            <w:tcBorders>
              <w:top w:val="single" w:sz="2" w:space="0" w:color="D0DDE8"/>
              <w:left w:val="single" w:sz="2" w:space="0" w:color="D0DDE8"/>
              <w:bottom w:val="single" w:sz="2" w:space="0" w:color="D0DDE8"/>
              <w:right w:val="single" w:sz="2" w:space="0" w:color="D0DDE8"/>
            </w:tcBorders>
          </w:tcPr>
          <w:p>
            <w:pPr>
              <w:pStyle w:val="Normal"/>
              <w:rPr/>
            </w:pPr>
            <w:r>
              <w:rPr>
                <w:rFonts w:eastAsia="Arial" w:cs="Arial"/>
                <w:color w:val="6C7A8D"/>
                <w:sz w:val="18"/>
                <w:szCs w:val="18"/>
              </w:rPr>
              <w:t>2-midnight compliance; billing accuracy; avoidable admissions</w:t>
            </w:r>
          </w:p>
        </w:tc>
      </w:tr>
      <w:tr>
        <w:trPr/>
        <w:tc>
          <w:tcPr>
            <w:tcW w:w="2199" w:type="dxa"/>
            <w:tcBorders>
              <w:top w:val="single" w:sz="2" w:space="0" w:color="D0DDE8"/>
              <w:left w:val="single" w:sz="2" w:space="0" w:color="D0DDE8"/>
              <w:bottom w:val="single" w:sz="2" w:space="0" w:color="D0DDE8"/>
              <w:right w:val="single" w:sz="2" w:space="0" w:color="D0DDE8"/>
            </w:tcBorders>
            <w:shd w:fill="F4F7FA" w:val="clear"/>
          </w:tcPr>
          <w:p>
            <w:pPr>
              <w:pStyle w:val="Normal"/>
              <w:rPr/>
            </w:pPr>
            <w:r>
              <w:rPr>
                <w:rFonts w:eastAsia="Arial" w:cs="Arial"/>
                <w:b/>
                <w:bCs/>
                <w:color w:val="1B3A6B"/>
                <w:sz w:val="18"/>
                <w:szCs w:val="18"/>
              </w:rPr>
              <w:t>Psychiatric Boarding</w:t>
            </w:r>
          </w:p>
        </w:tc>
        <w:tc>
          <w:tcPr>
            <w:tcW w:w="4560" w:type="dxa"/>
            <w:tcBorders>
              <w:top w:val="single" w:sz="2" w:space="0" w:color="D0DDE8"/>
              <w:left w:val="single" w:sz="2" w:space="0" w:color="D0DDE8"/>
              <w:bottom w:val="single" w:sz="2" w:space="0" w:color="D0DDE8"/>
              <w:right w:val="single" w:sz="2" w:space="0" w:color="D0DDE8"/>
            </w:tcBorders>
          </w:tcPr>
          <w:p>
            <w:pPr>
              <w:pStyle w:val="Normal"/>
              <w:rPr/>
            </w:pPr>
            <w:r>
              <w:rPr>
                <w:rFonts w:eastAsia="Arial" w:cs="Arial"/>
                <w:color w:val="1A2B3C"/>
                <w:sz w:val="18"/>
                <w:szCs w:val="18"/>
              </w:rPr>
              <w:t>BH Safety, BH Boarding, Diversion, Alerts (BH_BOARDING_DWELL), E-Referral, Transfer</w:t>
            </w:r>
          </w:p>
        </w:tc>
        <w:tc>
          <w:tcPr>
            <w:tcW w:w="2601" w:type="dxa"/>
            <w:tcBorders>
              <w:top w:val="single" w:sz="2" w:space="0" w:color="D0DDE8"/>
              <w:left w:val="single" w:sz="2" w:space="0" w:color="D0DDE8"/>
              <w:bottom w:val="single" w:sz="2" w:space="0" w:color="D0DDE8"/>
              <w:right w:val="single" w:sz="2" w:space="0" w:color="D0DDE8"/>
            </w:tcBorders>
          </w:tcPr>
          <w:p>
            <w:pPr>
              <w:pStyle w:val="Normal"/>
              <w:rPr/>
            </w:pPr>
            <w:r>
              <w:rPr>
                <w:rFonts w:eastAsia="Arial" w:cs="Arial"/>
                <w:color w:val="6C7A8D"/>
                <w:sz w:val="18"/>
                <w:szCs w:val="18"/>
              </w:rPr>
              <w:t>Boarding hours; EMTALA compliance; placement time</w:t>
            </w:r>
          </w:p>
        </w:tc>
      </w:tr>
      <w:tr>
        <w:trPr/>
        <w:tc>
          <w:tcPr>
            <w:tcW w:w="2199" w:type="dxa"/>
            <w:tcBorders>
              <w:top w:val="single" w:sz="2" w:space="0" w:color="D0DDE8"/>
              <w:left w:val="single" w:sz="2" w:space="0" w:color="D0DDE8"/>
              <w:bottom w:val="single" w:sz="2" w:space="0" w:color="D0DDE8"/>
              <w:right w:val="single" w:sz="2" w:space="0" w:color="D0DDE8"/>
            </w:tcBorders>
            <w:shd w:fill="F4F7FA" w:val="clear"/>
          </w:tcPr>
          <w:p>
            <w:pPr>
              <w:pStyle w:val="Normal"/>
              <w:rPr/>
            </w:pPr>
            <w:r>
              <w:rPr>
                <w:rFonts w:eastAsia="Arial" w:cs="Arial"/>
                <w:b/>
                <w:bCs/>
                <w:color w:val="1B3A6B"/>
                <w:sz w:val="18"/>
                <w:szCs w:val="18"/>
              </w:rPr>
              <w:t>High-Alert Medication Safety</w:t>
            </w:r>
          </w:p>
        </w:tc>
        <w:tc>
          <w:tcPr>
            <w:tcW w:w="4560" w:type="dxa"/>
            <w:tcBorders>
              <w:top w:val="single" w:sz="2" w:space="0" w:color="D0DDE8"/>
              <w:left w:val="single" w:sz="2" w:space="0" w:color="D0DDE8"/>
              <w:bottom w:val="single" w:sz="2" w:space="0" w:color="D0DDE8"/>
              <w:right w:val="single" w:sz="2" w:space="0" w:color="D0DDE8"/>
            </w:tcBorders>
          </w:tcPr>
          <w:p>
            <w:pPr>
              <w:pStyle w:val="Normal"/>
              <w:rPr/>
            </w:pPr>
            <w:r>
              <w:rPr>
                <w:rFonts w:eastAsia="Arial" w:cs="Arial"/>
                <w:color w:val="1A2B3C"/>
                <w:sz w:val="18"/>
                <w:szCs w:val="18"/>
              </w:rPr>
              <w:t>MAR (orders), MAR (administration), Alerts (MAR_OVERDUE), Triage (weight)</w:t>
            </w:r>
          </w:p>
        </w:tc>
        <w:tc>
          <w:tcPr>
            <w:tcW w:w="2601" w:type="dxa"/>
            <w:tcBorders>
              <w:top w:val="single" w:sz="2" w:space="0" w:color="D0DDE8"/>
              <w:left w:val="single" w:sz="2" w:space="0" w:color="D0DDE8"/>
              <w:bottom w:val="single" w:sz="2" w:space="0" w:color="D0DDE8"/>
              <w:right w:val="single" w:sz="2" w:space="0" w:color="D0DDE8"/>
            </w:tcBorders>
          </w:tcPr>
          <w:p>
            <w:pPr>
              <w:pStyle w:val="Normal"/>
              <w:rPr/>
            </w:pPr>
            <w:r>
              <w:rPr>
                <w:rFonts w:eastAsia="Arial" w:cs="Arial"/>
                <w:color w:val="6C7A8D"/>
                <w:sz w:val="18"/>
                <w:szCs w:val="18"/>
              </w:rPr>
              <w:t>Administration errors; overdue high-alert dose rate</w:t>
            </w:r>
          </w:p>
        </w:tc>
      </w:tr>
      <w:tr>
        <w:trPr/>
        <w:tc>
          <w:tcPr>
            <w:tcW w:w="2199" w:type="dxa"/>
            <w:tcBorders>
              <w:top w:val="single" w:sz="2" w:space="0" w:color="D0DDE8"/>
              <w:left w:val="single" w:sz="2" w:space="0" w:color="D0DDE8"/>
              <w:bottom w:val="single" w:sz="2" w:space="0" w:color="D0DDE8"/>
              <w:right w:val="single" w:sz="2" w:space="0" w:color="D0DDE8"/>
            </w:tcBorders>
            <w:shd w:fill="F4F7FA" w:val="clear"/>
          </w:tcPr>
          <w:p>
            <w:pPr>
              <w:pStyle w:val="Normal"/>
              <w:rPr/>
            </w:pPr>
            <w:r>
              <w:rPr>
                <w:rFonts w:eastAsia="Arial" w:cs="Arial"/>
                <w:b/>
                <w:bCs/>
                <w:color w:val="1B3A6B"/>
                <w:sz w:val="18"/>
                <w:szCs w:val="18"/>
              </w:rPr>
              <w:t>Transfer Out (Critical)</w:t>
            </w:r>
          </w:p>
        </w:tc>
        <w:tc>
          <w:tcPr>
            <w:tcW w:w="4560" w:type="dxa"/>
            <w:tcBorders>
              <w:top w:val="single" w:sz="2" w:space="0" w:color="D0DDE8"/>
              <w:left w:val="single" w:sz="2" w:space="0" w:color="D0DDE8"/>
              <w:bottom w:val="single" w:sz="2" w:space="0" w:color="D0DDE8"/>
              <w:right w:val="single" w:sz="2" w:space="0" w:color="D0DDE8"/>
            </w:tcBorders>
          </w:tcPr>
          <w:p>
            <w:pPr>
              <w:pStyle w:val="Normal"/>
              <w:rPr/>
            </w:pPr>
            <w:r>
              <w:rPr>
                <w:rFonts w:eastAsia="Arial" w:cs="Arial"/>
                <w:color w:val="1A2B3C"/>
                <w:sz w:val="18"/>
                <w:szCs w:val="18"/>
              </w:rPr>
              <w:t>Disposition, Transfer Tracking, E-Referral, Facility Directory, HL7 ADT (A03)</w:t>
            </w:r>
          </w:p>
        </w:tc>
        <w:tc>
          <w:tcPr>
            <w:tcW w:w="2601" w:type="dxa"/>
            <w:tcBorders>
              <w:top w:val="single" w:sz="2" w:space="0" w:color="D0DDE8"/>
              <w:left w:val="single" w:sz="2" w:space="0" w:color="D0DDE8"/>
              <w:bottom w:val="single" w:sz="2" w:space="0" w:color="D0DDE8"/>
              <w:right w:val="single" w:sz="2" w:space="0" w:color="D0DDE8"/>
            </w:tcBorders>
          </w:tcPr>
          <w:p>
            <w:pPr>
              <w:pStyle w:val="Normal"/>
              <w:rPr/>
            </w:pPr>
            <w:r>
              <w:rPr>
                <w:rFonts w:eastAsia="Arial" w:cs="Arial"/>
                <w:color w:val="6C7A8D"/>
                <w:sz w:val="18"/>
                <w:szCs w:val="18"/>
              </w:rPr>
              <w:t>Time-to-transfer acceptance; documentation completeness</w:t>
            </w:r>
          </w:p>
        </w:tc>
      </w:tr>
      <w:tr>
        <w:trPr/>
        <w:tc>
          <w:tcPr>
            <w:tcW w:w="2199" w:type="dxa"/>
            <w:tcBorders>
              <w:top w:val="single" w:sz="2" w:space="0" w:color="D0DDE8"/>
              <w:left w:val="single" w:sz="2" w:space="0" w:color="D0DDE8"/>
              <w:bottom w:val="single" w:sz="2" w:space="0" w:color="D0DDE8"/>
              <w:right w:val="single" w:sz="2" w:space="0" w:color="D0DDE8"/>
            </w:tcBorders>
            <w:shd w:fill="F4F7FA" w:val="clear"/>
          </w:tcPr>
          <w:p>
            <w:pPr>
              <w:pStyle w:val="Normal"/>
              <w:rPr/>
            </w:pPr>
            <w:r>
              <w:rPr>
                <w:rFonts w:eastAsia="Arial" w:cs="Arial"/>
                <w:b/>
                <w:bCs/>
                <w:color w:val="1B3A6B"/>
                <w:sz w:val="18"/>
                <w:szCs w:val="18"/>
              </w:rPr>
              <w:t>Discharge with Follow-Up</w:t>
            </w:r>
          </w:p>
        </w:tc>
        <w:tc>
          <w:tcPr>
            <w:tcW w:w="4560" w:type="dxa"/>
            <w:tcBorders>
              <w:top w:val="single" w:sz="2" w:space="0" w:color="D0DDE8"/>
              <w:left w:val="single" w:sz="2" w:space="0" w:color="D0DDE8"/>
              <w:bottom w:val="single" w:sz="2" w:space="0" w:color="D0DDE8"/>
              <w:right w:val="single" w:sz="2" w:space="0" w:color="D0DDE8"/>
            </w:tcBorders>
          </w:tcPr>
          <w:p>
            <w:pPr>
              <w:pStyle w:val="Normal"/>
              <w:rPr/>
            </w:pPr>
            <w:r>
              <w:rPr>
                <w:rFonts w:eastAsia="Arial" w:cs="Arial"/>
                <w:color w:val="1A2B3C"/>
                <w:sz w:val="18"/>
                <w:szCs w:val="18"/>
              </w:rPr>
              <w:t>Disposition, E-Referral (auto-draft from MAR), Facility Directory</w:t>
            </w:r>
          </w:p>
        </w:tc>
        <w:tc>
          <w:tcPr>
            <w:tcW w:w="2601" w:type="dxa"/>
            <w:tcBorders>
              <w:top w:val="single" w:sz="2" w:space="0" w:color="D0DDE8"/>
              <w:left w:val="single" w:sz="2" w:space="0" w:color="D0DDE8"/>
              <w:bottom w:val="single" w:sz="2" w:space="0" w:color="D0DDE8"/>
              <w:right w:val="single" w:sz="2" w:space="0" w:color="D0DDE8"/>
            </w:tcBorders>
          </w:tcPr>
          <w:p>
            <w:pPr>
              <w:pStyle w:val="Normal"/>
              <w:rPr/>
            </w:pPr>
            <w:r>
              <w:rPr>
                <w:rFonts w:eastAsia="Arial" w:cs="Arial"/>
                <w:color w:val="6C7A8D"/>
                <w:sz w:val="18"/>
                <w:szCs w:val="18"/>
              </w:rPr>
              <w:t>Referral completion rate; medication continuity</w:t>
            </w:r>
          </w:p>
        </w:tc>
      </w:tr>
      <w:tr>
        <w:trPr/>
        <w:tc>
          <w:tcPr>
            <w:tcW w:w="2199" w:type="dxa"/>
            <w:tcBorders>
              <w:top w:val="single" w:sz="2" w:space="0" w:color="D0DDE8"/>
              <w:left w:val="single" w:sz="2" w:space="0" w:color="D0DDE8"/>
              <w:bottom w:val="single" w:sz="2" w:space="0" w:color="D0DDE8"/>
              <w:right w:val="single" w:sz="2" w:space="0" w:color="D0DDE8"/>
            </w:tcBorders>
            <w:shd w:fill="F4F7FA" w:val="clear"/>
          </w:tcPr>
          <w:p>
            <w:pPr>
              <w:pStyle w:val="Normal"/>
              <w:rPr/>
            </w:pPr>
            <w:r>
              <w:rPr>
                <w:rFonts w:eastAsia="Arial" w:cs="Arial"/>
                <w:b/>
                <w:bCs/>
                <w:color w:val="1B3A6B"/>
                <w:sz w:val="18"/>
                <w:szCs w:val="18"/>
              </w:rPr>
              <w:t>Shift Handoff</w:t>
            </w:r>
          </w:p>
        </w:tc>
        <w:tc>
          <w:tcPr>
            <w:tcW w:w="4560" w:type="dxa"/>
            <w:tcBorders>
              <w:top w:val="single" w:sz="2" w:space="0" w:color="D0DDE8"/>
              <w:left w:val="single" w:sz="2" w:space="0" w:color="D0DDE8"/>
              <w:bottom w:val="single" w:sz="2" w:space="0" w:color="D0DDE8"/>
              <w:right w:val="single" w:sz="2" w:space="0" w:color="D0DDE8"/>
            </w:tcBorders>
          </w:tcPr>
          <w:p>
            <w:pPr>
              <w:pStyle w:val="Normal"/>
              <w:rPr/>
            </w:pPr>
            <w:r>
              <w:rPr>
                <w:rFonts w:eastAsia="Arial" w:cs="Arial"/>
                <w:color w:val="1A2B3C"/>
                <w:sz w:val="18"/>
                <w:szCs w:val="18"/>
              </w:rPr>
              <w:t>Handoff, Tasks (overdue), Alerts, MAR (pending doses), BH Safety</w:t>
            </w:r>
          </w:p>
        </w:tc>
        <w:tc>
          <w:tcPr>
            <w:tcW w:w="2601" w:type="dxa"/>
            <w:tcBorders>
              <w:top w:val="single" w:sz="2" w:space="0" w:color="D0DDE8"/>
              <w:left w:val="single" w:sz="2" w:space="0" w:color="D0DDE8"/>
              <w:bottom w:val="single" w:sz="2" w:space="0" w:color="D0DDE8"/>
              <w:right w:val="single" w:sz="2" w:space="0" w:color="D0DDE8"/>
            </w:tcBorders>
          </w:tcPr>
          <w:p>
            <w:pPr>
              <w:pStyle w:val="Normal"/>
              <w:rPr/>
            </w:pPr>
            <w:r>
              <w:rPr>
                <w:rFonts w:eastAsia="Arial" w:cs="Arial"/>
                <w:color w:val="6C7A8D"/>
                <w:sz w:val="18"/>
                <w:szCs w:val="18"/>
              </w:rPr>
              <w:t>Time-to-situational-awareness; missed task rate</w:t>
            </w:r>
          </w:p>
        </w:tc>
      </w:tr>
      <w:tr>
        <w:trPr/>
        <w:tc>
          <w:tcPr>
            <w:tcW w:w="2199" w:type="dxa"/>
            <w:tcBorders>
              <w:top w:val="single" w:sz="2" w:space="0" w:color="D0DDE8"/>
              <w:left w:val="single" w:sz="2" w:space="0" w:color="D0DDE8"/>
              <w:bottom w:val="single" w:sz="2" w:space="0" w:color="D0DDE8"/>
              <w:right w:val="single" w:sz="2" w:space="0" w:color="D0DDE8"/>
            </w:tcBorders>
            <w:shd w:fill="F4F7FA" w:val="clear"/>
          </w:tcPr>
          <w:p>
            <w:pPr>
              <w:pStyle w:val="Normal"/>
              <w:rPr/>
            </w:pPr>
            <w:r>
              <w:rPr>
                <w:rFonts w:eastAsia="Arial" w:cs="Arial"/>
                <w:b/>
                <w:bCs/>
                <w:color w:val="1B3A6B"/>
                <w:sz w:val="18"/>
                <w:szCs w:val="18"/>
              </w:rPr>
              <w:t>Facility Diversion Management</w:t>
            </w:r>
          </w:p>
        </w:tc>
        <w:tc>
          <w:tcPr>
            <w:tcW w:w="4560" w:type="dxa"/>
            <w:tcBorders>
              <w:top w:val="single" w:sz="2" w:space="0" w:color="D0DDE8"/>
              <w:left w:val="single" w:sz="2" w:space="0" w:color="D0DDE8"/>
              <w:bottom w:val="single" w:sz="2" w:space="0" w:color="D0DDE8"/>
              <w:right w:val="single" w:sz="2" w:space="0" w:color="D0DDE8"/>
            </w:tcBorders>
          </w:tcPr>
          <w:p>
            <w:pPr>
              <w:pStyle w:val="Normal"/>
              <w:rPr/>
            </w:pPr>
            <w:r>
              <w:rPr>
                <w:rFonts w:eastAsia="Arial" w:cs="Arial"/>
                <w:color w:val="1A2B3C"/>
                <w:sz w:val="18"/>
                <w:szCs w:val="18"/>
              </w:rPr>
              <w:t>Diversion, HL7 ADT (A09), Command Center, Multi-Facility Dashboard</w:t>
            </w:r>
          </w:p>
        </w:tc>
        <w:tc>
          <w:tcPr>
            <w:tcW w:w="2601" w:type="dxa"/>
            <w:tcBorders>
              <w:top w:val="single" w:sz="2" w:space="0" w:color="D0DDE8"/>
              <w:left w:val="single" w:sz="2" w:space="0" w:color="D0DDE8"/>
              <w:bottom w:val="single" w:sz="2" w:space="0" w:color="D0DDE8"/>
              <w:right w:val="single" w:sz="2" w:space="0" w:color="D0DDE8"/>
            </w:tcBorders>
          </w:tcPr>
          <w:p>
            <w:pPr>
              <w:pStyle w:val="Normal"/>
              <w:rPr/>
            </w:pPr>
            <w:r>
              <w:rPr>
                <w:rFonts w:eastAsia="Arial" w:cs="Arial"/>
                <w:color w:val="6C7A8D"/>
                <w:sz w:val="18"/>
                <w:szCs w:val="18"/>
              </w:rPr>
              <w:t>Diversion duration; regional EMS coordination</w:t>
            </w:r>
          </w:p>
        </w:tc>
      </w:tr>
      <w:tr>
        <w:trPr/>
        <w:tc>
          <w:tcPr>
            <w:tcW w:w="2199" w:type="dxa"/>
            <w:tcBorders>
              <w:top w:val="single" w:sz="2" w:space="0" w:color="D0DDE8"/>
              <w:left w:val="single" w:sz="2" w:space="0" w:color="D0DDE8"/>
              <w:bottom w:val="single" w:sz="2" w:space="0" w:color="D0DDE8"/>
              <w:right w:val="single" w:sz="2" w:space="0" w:color="D0DDE8"/>
            </w:tcBorders>
            <w:shd w:fill="F4F7FA" w:val="clear"/>
          </w:tcPr>
          <w:p>
            <w:pPr>
              <w:pStyle w:val="Normal"/>
              <w:rPr/>
            </w:pPr>
            <w:r>
              <w:rPr>
                <w:rFonts w:eastAsia="Arial" w:cs="Arial"/>
                <w:b/>
                <w:bCs/>
                <w:color w:val="1B3A6B"/>
                <w:sz w:val="18"/>
                <w:szCs w:val="18"/>
              </w:rPr>
              <w:t>Downtime Continuity</w:t>
            </w:r>
          </w:p>
        </w:tc>
        <w:tc>
          <w:tcPr>
            <w:tcW w:w="4560" w:type="dxa"/>
            <w:tcBorders>
              <w:top w:val="single" w:sz="2" w:space="0" w:color="D0DDE8"/>
              <w:left w:val="single" w:sz="2" w:space="0" w:color="D0DDE8"/>
              <w:bottom w:val="single" w:sz="2" w:space="0" w:color="D0DDE8"/>
              <w:right w:val="single" w:sz="2" w:space="0" w:color="D0DDE8"/>
            </w:tcBorders>
          </w:tcPr>
          <w:p>
            <w:pPr>
              <w:pStyle w:val="Normal"/>
              <w:rPr/>
            </w:pPr>
            <w:r>
              <w:rPr>
                <w:rFonts w:eastAsia="Arial" w:cs="Arial"/>
                <w:color w:val="1A2B3C"/>
                <w:sz w:val="18"/>
                <w:szCs w:val="18"/>
              </w:rPr>
              <w:t>Downtime Mode (Service Worker, IndexedDB, Sync Queue)</w:t>
            </w:r>
          </w:p>
        </w:tc>
        <w:tc>
          <w:tcPr>
            <w:tcW w:w="2601" w:type="dxa"/>
            <w:tcBorders>
              <w:top w:val="single" w:sz="2" w:space="0" w:color="D0DDE8"/>
              <w:left w:val="single" w:sz="2" w:space="0" w:color="D0DDE8"/>
              <w:bottom w:val="single" w:sz="2" w:space="0" w:color="D0DDE8"/>
              <w:right w:val="single" w:sz="2" w:space="0" w:color="D0DDE8"/>
            </w:tcBorders>
          </w:tcPr>
          <w:p>
            <w:pPr>
              <w:pStyle w:val="Normal"/>
              <w:rPr/>
            </w:pPr>
            <w:r>
              <w:rPr>
                <w:rFonts w:eastAsia="Arial" w:cs="Arial"/>
                <w:color w:val="6C7A8D"/>
                <w:sz w:val="18"/>
                <w:szCs w:val="18"/>
              </w:rPr>
              <w:t>Zero data loss; ED Board available during outages</w:t>
            </w:r>
          </w:p>
        </w:tc>
      </w:tr>
      <w:tr>
        <w:trPr/>
        <w:tc>
          <w:tcPr>
            <w:tcW w:w="2199" w:type="dxa"/>
            <w:tcBorders>
              <w:top w:val="single" w:sz="2" w:space="0" w:color="D0DDE8"/>
              <w:left w:val="single" w:sz="2" w:space="0" w:color="D0DDE8"/>
              <w:bottom w:val="single" w:sz="2" w:space="0" w:color="D0DDE8"/>
              <w:right w:val="single" w:sz="2" w:space="0" w:color="D0DDE8"/>
            </w:tcBorders>
            <w:shd w:fill="F4F7FA" w:val="clear"/>
          </w:tcPr>
          <w:p>
            <w:pPr>
              <w:pStyle w:val="Normal"/>
              <w:rPr/>
            </w:pPr>
            <w:r>
              <w:rPr>
                <w:rFonts w:eastAsia="Arial" w:cs="Arial"/>
                <w:b/>
                <w:bCs/>
                <w:color w:val="1B3A6B"/>
                <w:sz w:val="18"/>
                <w:szCs w:val="18"/>
              </w:rPr>
              <w:t>Quality Reporting (CMS)</w:t>
            </w:r>
          </w:p>
        </w:tc>
        <w:tc>
          <w:tcPr>
            <w:tcW w:w="4560" w:type="dxa"/>
            <w:tcBorders>
              <w:top w:val="single" w:sz="2" w:space="0" w:color="D0DDE8"/>
              <w:left w:val="single" w:sz="2" w:space="0" w:color="D0DDE8"/>
              <w:bottom w:val="single" w:sz="2" w:space="0" w:color="D0DDE8"/>
              <w:right w:val="single" w:sz="2" w:space="0" w:color="D0DDE8"/>
            </w:tcBorders>
          </w:tcPr>
          <w:p>
            <w:pPr>
              <w:pStyle w:val="Normal"/>
              <w:rPr/>
            </w:pPr>
            <w:r>
              <w:rPr>
                <w:rFonts w:eastAsia="Arial" w:cs="Arial"/>
                <w:color w:val="1A2B3C"/>
                <w:sz w:val="18"/>
                <w:szCs w:val="18"/>
              </w:rPr>
              <w:t>CMS Quality (OP-1, OP-2, OP-5, SEP-1), OBS Billing, Throughput, Admin Exports</w:t>
            </w:r>
          </w:p>
        </w:tc>
        <w:tc>
          <w:tcPr>
            <w:tcW w:w="2601" w:type="dxa"/>
            <w:tcBorders>
              <w:top w:val="single" w:sz="2" w:space="0" w:color="D0DDE8"/>
              <w:left w:val="single" w:sz="2" w:space="0" w:color="D0DDE8"/>
              <w:bottom w:val="single" w:sz="2" w:space="0" w:color="D0DDE8"/>
              <w:right w:val="single" w:sz="2" w:space="0" w:color="D0DDE8"/>
            </w:tcBorders>
          </w:tcPr>
          <w:p>
            <w:pPr>
              <w:pStyle w:val="Normal"/>
              <w:rPr/>
            </w:pPr>
            <w:r>
              <w:rPr>
                <w:rFonts w:eastAsia="Arial" w:cs="Arial"/>
                <w:color w:val="6C7A8D"/>
                <w:sz w:val="18"/>
                <w:szCs w:val="18"/>
              </w:rPr>
              <w:t>Pay-for-performance score; reimbursement impact</w:t>
            </w:r>
          </w:p>
        </w:tc>
      </w:tr>
      <w:tr>
        <w:trPr/>
        <w:tc>
          <w:tcPr>
            <w:tcW w:w="2199" w:type="dxa"/>
            <w:tcBorders>
              <w:top w:val="single" w:sz="2" w:space="0" w:color="D0DDE8"/>
              <w:left w:val="single" w:sz="2" w:space="0" w:color="D0DDE8"/>
              <w:bottom w:val="single" w:sz="2" w:space="0" w:color="D0DDE8"/>
              <w:right w:val="single" w:sz="2" w:space="0" w:color="D0DDE8"/>
            </w:tcBorders>
            <w:shd w:fill="F4F7FA" w:val="clear"/>
          </w:tcPr>
          <w:p>
            <w:pPr>
              <w:pStyle w:val="Normal"/>
              <w:rPr/>
            </w:pPr>
            <w:r>
              <w:rPr>
                <w:rFonts w:eastAsia="Arial" w:cs="Arial"/>
                <w:b/>
                <w:bCs/>
                <w:color w:val="1B3A6B"/>
                <w:sz w:val="18"/>
                <w:szCs w:val="18"/>
              </w:rPr>
              <w:t>Stroke Alert Protocol</w:t>
            </w:r>
          </w:p>
        </w:tc>
        <w:tc>
          <w:tcPr>
            <w:tcW w:w="4560" w:type="dxa"/>
            <w:tcBorders>
              <w:top w:val="single" w:sz="2" w:space="0" w:color="D0DDE8"/>
              <w:left w:val="single" w:sz="2" w:space="0" w:color="D0DDE8"/>
              <w:bottom w:val="single" w:sz="2" w:space="0" w:color="D0DDE8"/>
              <w:right w:val="single" w:sz="2" w:space="0" w:color="D0DDE8"/>
            </w:tcBorders>
          </w:tcPr>
          <w:p>
            <w:pPr>
              <w:pStyle w:val="Normal"/>
              <w:rPr/>
            </w:pPr>
            <w:r>
              <w:rPr>
                <w:rFonts w:eastAsia="Arial" w:cs="Arial"/>
                <w:color w:val="1A2B3C"/>
                <w:sz w:val="18"/>
                <w:szCs w:val="18"/>
              </w:rPr>
              <w:t>Intake (ESI-1), Triage, Tasks (NIHSS, CT_STAT, CTA, TPA_DECISION), MAR (Labetalol), HL7 ADT</w:t>
            </w:r>
          </w:p>
        </w:tc>
        <w:tc>
          <w:tcPr>
            <w:tcW w:w="2601" w:type="dxa"/>
            <w:tcBorders>
              <w:top w:val="single" w:sz="2" w:space="0" w:color="D0DDE8"/>
              <w:left w:val="single" w:sz="2" w:space="0" w:color="D0DDE8"/>
              <w:bottom w:val="single" w:sz="2" w:space="0" w:color="D0DDE8"/>
              <w:right w:val="single" w:sz="2" w:space="0" w:color="D0DDE8"/>
            </w:tcBorders>
          </w:tcPr>
          <w:p>
            <w:pPr>
              <w:pStyle w:val="Normal"/>
              <w:rPr/>
            </w:pPr>
            <w:r>
              <w:rPr>
                <w:rFonts w:eastAsia="Arial" w:cs="Arial"/>
                <w:color w:val="6C7A8D"/>
                <w:sz w:val="18"/>
                <w:szCs w:val="18"/>
              </w:rPr>
              <w:t>Door-to-CT time; tPA eligibility decision time</w:t>
            </w:r>
          </w:p>
        </w:tc>
      </w:tr>
    </w:tbl>
    <w:p>
      <w:pPr>
        <w:pStyle w:val="Normal"/>
        <w:spacing w:before="0" w:after="50"/>
        <w:rPr/>
      </w:pPr>
      <w:r>
        <w:rPr/>
      </w:r>
    </w:p>
    <w:p>
      <w:pPr>
        <w:pStyle w:val="Normal"/>
        <w:rPr/>
      </w:pPr>
      <w:r>
        <w:rPr/>
      </w:r>
      <w:r>
        <w:br w:type="page"/>
      </w:r>
    </w:p>
    <w:p>
      <w:pPr>
        <w:pStyle w:val="Heading1"/>
        <w:spacing w:before="0" w:after="120"/>
        <w:rPr/>
      </w:pPr>
      <w:r>
        <w:rPr>
          <w:rFonts w:eastAsia="Arial" w:cs="Arial" w:ascii="Arial" w:hAnsi="Arial"/>
          <w:b/>
          <w:bCs/>
          <w:color w:val="1B3A6B"/>
          <w:sz w:val="26"/>
          <w:szCs w:val="26"/>
        </w:rPr>
        <w:t>The Opportunity</w:t>
      </w:r>
    </w:p>
    <w:p>
      <w:pPr>
        <w:pStyle w:val="Normal"/>
        <w:pBdr>
          <w:bottom w:val="single" w:sz="4" w:space="1" w:color="D0DDE8"/>
        </w:pBdr>
        <w:spacing w:before="0" w:after="160"/>
        <w:rPr/>
      </w:pPr>
      <w:r>
        <w:rPr/>
      </w:r>
    </w:p>
    <w:tbl>
      <w:tblPr>
        <w:tblW w:w="9360" w:type="dxa"/>
        <w:jc w:val="left"/>
        <w:tblInd w:w="0" w:type="dxa"/>
        <w:tblLayout w:type="fixed"/>
        <w:tblCellMar>
          <w:top w:w="200" w:type="dxa"/>
          <w:left w:w="240" w:type="dxa"/>
          <w:bottom w:w="200" w:type="dxa"/>
          <w:right w:w="240" w:type="dxa"/>
        </w:tblCellMar>
      </w:tblPr>
      <w:tblGrid>
        <w:gridCol w:w="4639"/>
        <w:gridCol w:w="4720"/>
      </w:tblGrid>
      <w:tr>
        <w:trPr/>
        <w:tc>
          <w:tcPr>
            <w:tcW w:w="4639" w:type="dxa"/>
            <w:tcBorders>
              <w:top w:val="single" w:sz="2" w:space="0" w:color="D0DDE8"/>
              <w:left w:val="single" w:sz="2" w:space="0" w:color="D0DDE8"/>
              <w:bottom w:val="single" w:sz="2" w:space="0" w:color="D0DDE8"/>
              <w:right w:val="single" w:sz="2" w:space="0" w:color="D0DDE8"/>
            </w:tcBorders>
            <w:shd w:fill="F4F7FA" w:val="clear"/>
          </w:tcPr>
          <w:p>
            <w:pPr>
              <w:pStyle w:val="Normal"/>
              <w:spacing w:before="0" w:after="80"/>
              <w:rPr/>
            </w:pPr>
            <w:r>
              <w:rPr>
                <w:rFonts w:eastAsia="Arial" w:cs="Arial"/>
                <w:b/>
                <w:bCs/>
                <w:color w:val="1B3A6B"/>
                <w:sz w:val="20"/>
                <w:szCs w:val="20"/>
              </w:rPr>
              <w:t>The market gap</w:t>
            </w:r>
          </w:p>
          <w:p>
            <w:pPr>
              <w:pStyle w:val="Normal"/>
              <w:spacing w:before="0" w:after="60"/>
              <w:rPr/>
            </w:pPr>
            <w:r>
              <w:rPr>
                <w:rFonts w:eastAsia="Arial" w:cs="Arial"/>
                <w:color w:val="6C7A8D"/>
                <w:sz w:val="18"/>
                <w:szCs w:val="18"/>
              </w:rPr>
              <w:t>6,000+ hospitals in the US run an EMR that handles documentation. Fewer than 40% have an ED information system layered on top. Of those without, the majority cite cost as the primary barrier.</w:t>
            </w:r>
          </w:p>
          <w:p>
            <w:pPr>
              <w:pStyle w:val="Normal"/>
              <w:spacing w:before="0" w:after="60"/>
              <w:rPr/>
            </w:pPr>
            <w:r>
              <w:rPr>
                <w:rFonts w:eastAsia="Arial" w:cs="Arial"/>
                <w:color w:val="6C7A8D"/>
                <w:sz w:val="18"/>
                <w:szCs w:val="18"/>
              </w:rPr>
              <w:t>Global: OpenEMR is deployed in 100,000+ sites across 100+ countries. Most have no ED workflow tooling at all.</w:t>
            </w:r>
          </w:p>
        </w:tc>
        <w:tc>
          <w:tcPr>
            <w:tcW w:w="4720" w:type="dxa"/>
            <w:tcBorders>
              <w:top w:val="single" w:sz="2" w:space="0" w:color="0D6E6E"/>
              <w:left w:val="single" w:sz="2" w:space="0" w:color="0D6E6E"/>
              <w:bottom w:val="single" w:sz="2" w:space="0" w:color="0D6E6E"/>
              <w:right w:val="single" w:sz="2" w:space="0" w:color="0D6E6E"/>
            </w:tcBorders>
            <w:shd w:fill="E8F4F4" w:val="clear"/>
          </w:tcPr>
          <w:p>
            <w:pPr>
              <w:pStyle w:val="Normal"/>
              <w:spacing w:before="0" w:after="80"/>
              <w:rPr/>
            </w:pPr>
            <w:r>
              <w:rPr>
                <w:rFonts w:eastAsia="Arial" w:cs="Arial"/>
                <w:b/>
                <w:bCs/>
                <w:color w:val="0D6E6E"/>
                <w:sz w:val="20"/>
                <w:szCs w:val="20"/>
              </w:rPr>
              <w:t>This module’s position</w:t>
            </w:r>
          </w:p>
          <w:p>
            <w:pPr>
              <w:pStyle w:val="Normal"/>
              <w:spacing w:before="0" w:after="60"/>
              <w:rPr/>
            </w:pPr>
            <w:r>
              <w:rPr>
                <w:rFonts w:eastAsia="Arial" w:cs="Arial"/>
                <w:color w:val="1A2B3C"/>
                <w:sz w:val="18"/>
                <w:szCs w:val="18"/>
              </w:rPr>
              <w:t>32 production-ready submodules covering every major ED and BH workflow. Built on the open-source EMR most community hospitals already run. Deployable in days, not months.</w:t>
            </w:r>
          </w:p>
          <w:p>
            <w:pPr>
              <w:pStyle w:val="Normal"/>
              <w:spacing w:before="0" w:after="60"/>
              <w:rPr/>
            </w:pPr>
            <w:r>
              <w:rPr>
                <w:rFonts w:eastAsia="Arial" w:cs="Arial"/>
                <w:color w:val="1A2B3C"/>
                <w:sz w:val="18"/>
                <w:szCs w:val="18"/>
              </w:rPr>
              <w:t>The only ED workflow module purpose-built for the OpenEMR ecosystem — with no per-user licensing fees.</w:t>
            </w:r>
          </w:p>
        </w:tc>
      </w:tr>
    </w:tbl>
    <w:p>
      <w:pPr>
        <w:pStyle w:val="Normal"/>
        <w:spacing w:before="0" w:after="80"/>
        <w:rPr/>
      </w:pPr>
      <w:r>
        <w:rPr/>
      </w:r>
    </w:p>
    <w:p>
      <w:pPr>
        <w:pStyle w:val="Normal"/>
        <w:pBdr>
          <w:bottom w:val="single" w:sz="4" w:space="1" w:color="0D6E6E"/>
        </w:pBdr>
        <w:spacing w:before="0" w:after="160"/>
        <w:rPr/>
      </w:pPr>
      <w:r>
        <w:rPr/>
      </w:r>
    </w:p>
    <w:p>
      <w:pPr>
        <w:pStyle w:val="Normal"/>
        <w:spacing w:before="120" w:after="60"/>
        <w:jc w:val="center"/>
        <w:rPr/>
      </w:pPr>
      <w:r>
        <w:rPr>
          <w:rFonts w:eastAsia="Arial" w:cs="Arial"/>
          <w:b/>
          <w:bCs/>
          <w:color w:val="1B3A6B"/>
          <w:sz w:val="20"/>
          <w:szCs w:val="20"/>
        </w:rPr>
        <w:t>Live demonstration available on request.</w:t>
      </w:r>
    </w:p>
    <w:p>
      <w:pPr>
        <w:pStyle w:val="Normal"/>
        <w:spacing w:before="0" w:after="60"/>
        <w:jc w:val="center"/>
        <w:rPr/>
      </w:pPr>
      <w:r>
        <w:rPr>
          <w:rFonts w:eastAsia="Arial" w:cs="Arial"/>
          <w:color w:val="6C7A8D"/>
          <w:sz w:val="19"/>
          <w:szCs w:val="19"/>
        </w:rPr>
        <w:t>All 10 demo patients, 24 tables, and every workflow described in this document are</w:t>
      </w:r>
    </w:p>
    <w:p>
      <w:pPr>
        <w:pStyle w:val="Normal"/>
        <w:spacing w:before="0" w:after="0"/>
        <w:jc w:val="center"/>
        <w:rPr/>
      </w:pPr>
      <w:r>
        <w:rPr>
          <w:rFonts w:eastAsia="Arial" w:cs="Arial"/>
          <w:color w:val="6C7A8D"/>
          <w:sz w:val="19"/>
          <w:szCs w:val="19"/>
        </w:rPr>
        <w:t>running live on the demo instance with realistic clinical data.</w:t>
      </w:r>
    </w:p>
    <w:p>
      <w:pPr>
        <w:pStyle w:val="Normal"/>
        <w:spacing w:before="0" w:after="120"/>
        <w:rPr/>
      </w:pPr>
      <w:r>
        <w:rPr/>
      </w:r>
    </w:p>
    <w:p>
      <w:pPr>
        <w:pStyle w:val="Heading1"/>
        <w:spacing w:before="340" w:after="120"/>
        <w:rPr/>
      </w:pPr>
      <w:r>
        <w:rPr>
          <w:rFonts w:eastAsia="Arial" w:cs="Arial" w:ascii="Arial" w:hAnsi="Arial"/>
          <w:b/>
          <w:bCs/>
          <w:color w:val="1B3A6B"/>
          <w:sz w:val="26"/>
          <w:szCs w:val="26"/>
        </w:rPr>
        <w:t>Development Roadmap</w:t>
      </w:r>
    </w:p>
    <w:p>
      <w:pPr>
        <w:pStyle w:val="Normal"/>
        <w:pBdr>
          <w:bottom w:val="single" w:sz="4" w:space="1" w:color="D0DDE8"/>
        </w:pBdr>
        <w:spacing w:before="0" w:after="160"/>
        <w:rPr/>
      </w:pPr>
      <w:r>
        <w:rPr/>
      </w:r>
    </w:p>
    <w:p>
      <w:pPr>
        <w:pStyle w:val="Normal"/>
        <w:spacing w:before="0" w:after="100"/>
        <w:rPr/>
      </w:pPr>
      <w:r>
        <w:rPr>
          <w:rFonts w:eastAsia="Arial" w:cs="Arial"/>
          <w:color w:val="1A2B3C"/>
          <w:sz w:val="20"/>
          <w:szCs w:val="20"/>
        </w:rPr>
        <w:t>The module follows a continuous-delivery model. Each phase adds clinically complete, independently testable capabilities on top of the working baseline. All features are manifest-flagged and can be enabled per deployment without affecting existing submodules.</w:t>
      </w:r>
    </w:p>
    <w:p>
      <w:pPr>
        <w:pStyle w:val="Heading2"/>
        <w:spacing w:before="240" w:after="80"/>
        <w:rPr/>
      </w:pPr>
      <w:r>
        <w:rPr>
          <w:rFonts w:eastAsia="Arial" w:cs="Arial" w:ascii="Arial" w:hAnsi="Arial"/>
          <w:b/>
          <w:bCs/>
          <w:color w:val="1B6B3A"/>
          <w:sz w:val="22"/>
          <w:szCs w:val="22"/>
        </w:rPr>
        <w:t xml:space="preserve">✓  </w:t>
      </w:r>
      <w:r>
        <w:rPr>
          <w:rFonts w:eastAsia="Arial" w:cs="Arial" w:ascii="Arial" w:hAnsi="Arial"/>
          <w:b/>
          <w:bCs/>
          <w:color w:val="1B6B3A"/>
          <w:sz w:val="22"/>
          <w:szCs w:val="22"/>
        </w:rPr>
        <w:t>Completed — v0.10.0  (current)</w:t>
      </w:r>
    </w:p>
    <w:p>
      <w:pPr>
        <w:pStyle w:val="Normal"/>
        <w:spacing w:before="0" w:after="50"/>
        <w:rPr/>
      </w:pPr>
      <w:r>
        <w:rPr>
          <w:rFonts w:eastAsia="Arial" w:cs="Arial"/>
          <w:color w:val="1A2B3C"/>
          <w:sz w:val="18"/>
          <w:szCs w:val="18"/>
        </w:rPr>
        <w:t xml:space="preserve">•  </w:t>
      </w:r>
      <w:r>
        <w:rPr>
          <w:rFonts w:eastAsia="Arial" w:cs="Arial"/>
          <w:color w:val="1A2B3C"/>
          <w:sz w:val="18"/>
          <w:szCs w:val="18"/>
        </w:rPr>
        <w:t>MAR completeness: nurse-supplied administration timestamps, lot number capture, structured HELD reason dropdown (NPO / HR low / BP low / lab pending / ordered hold / etc.), Extend Window (8–72h slot generation for continuing orders), manual high-alert override checkbox, amend workflow with timestamped audit note, Print MAR view for paper chart, nurse name resolved from user table</w:t>
      </w:r>
    </w:p>
    <w:p>
      <w:pPr>
        <w:pStyle w:val="Normal"/>
        <w:spacing w:before="0" w:after="50"/>
        <w:rPr/>
      </w:pPr>
      <w:r>
        <w:rPr>
          <w:rFonts w:eastAsia="Arial" w:cs="Arial"/>
          <w:color w:val="1A2B3C"/>
          <w:sz w:val="18"/>
          <w:szCs w:val="18"/>
        </w:rPr>
        <w:t xml:space="preserve">•  </w:t>
      </w:r>
      <w:r>
        <w:rPr>
          <w:rFonts w:eastAsia="Arial" w:cs="Arial"/>
          <w:color w:val="1A2B3C"/>
          <w:sz w:val="18"/>
          <w:szCs w:val="18"/>
        </w:rPr>
        <w:t>International triage standard support: Manchester Triage System (MTS, UK/Europe/Australasia/Brazil) and Canadian Triage and Acuity Scale (CTAS) added alongside default ESI. Standard is selectable per facility in Settings with zero migration — existing acuity values are preserved.</w:t>
      </w:r>
    </w:p>
    <w:p>
      <w:pPr>
        <w:pStyle w:val="Normal"/>
        <w:spacing w:before="0" w:after="50"/>
        <w:rPr/>
      </w:pPr>
      <w:r>
        <w:rPr>
          <w:rFonts w:eastAsia="Arial" w:cs="Arial"/>
          <w:color w:val="1A2B3C"/>
          <w:sz w:val="18"/>
          <w:szCs w:val="18"/>
        </w:rPr>
        <w:t xml:space="preserve">•  </w:t>
      </w:r>
      <w:r>
        <w:rPr>
          <w:rFonts w:eastAsia="Arial" w:cs="Arial"/>
          <w:color w:val="1A2B3C"/>
          <w:sz w:val="18"/>
          <w:szCs w:val="18"/>
        </w:rPr>
        <w:t>Acuity badge color picker: per-facility customization of all 5 acuity level badge colors (background + foreground). Click-to-edit UI in Settings with instant live preview. Stored in oei_settings and applied globally without page reload.</w:t>
      </w:r>
    </w:p>
    <w:p>
      <w:pPr>
        <w:pStyle w:val="Normal"/>
        <w:spacing w:before="0" w:after="50"/>
        <w:rPr/>
      </w:pPr>
      <w:r>
        <w:rPr>
          <w:rFonts w:eastAsia="Arial" w:cs="Arial"/>
          <w:color w:val="1A2B3C"/>
          <w:sz w:val="18"/>
          <w:szCs w:val="18"/>
        </w:rPr>
        <w:t xml:space="preserve">•  </w:t>
      </w:r>
      <w:r>
        <w:rPr>
          <w:rFonts w:eastAsia="Arial" w:cs="Arial"/>
          <w:color w:val="1A2B3C"/>
          <w:sz w:val="18"/>
          <w:szCs w:val="18"/>
        </w:rPr>
        <w:t>HL7 ADT integration: automatic A04/A02/A01/A03/A08/A09 message generation at every clinical workflow trigger. MLLP and HTTP transport. Full outbound log with Raw message viewer.</w:t>
      </w:r>
    </w:p>
    <w:p>
      <w:pPr>
        <w:pStyle w:val="Normal"/>
        <w:spacing w:before="0" w:after="50"/>
        <w:rPr/>
      </w:pPr>
      <w:r>
        <w:rPr>
          <w:rFonts w:eastAsia="Arial" w:cs="Arial"/>
          <w:color w:val="1A2B3C"/>
          <w:sz w:val="18"/>
          <w:szCs w:val="18"/>
        </w:rPr>
        <w:t xml:space="preserve">•  </w:t>
      </w:r>
      <w:r>
        <w:rPr>
          <w:rFonts w:eastAsia="Arial" w:cs="Arial"/>
          <w:color w:val="1A2B3C"/>
          <w:sz w:val="18"/>
          <w:szCs w:val="18"/>
        </w:rPr>
        <w:t>Diversion Management submodule: per-service-line status (OPEN / LIMITED / DIVERSION) with reason, history log, ADT A09 broadcast, and Command Center integration.</w:t>
      </w:r>
    </w:p>
    <w:p>
      <w:pPr>
        <w:pStyle w:val="Normal"/>
        <w:spacing w:before="0" w:after="50"/>
        <w:rPr/>
      </w:pPr>
      <w:r>
        <w:rPr>
          <w:rFonts w:eastAsia="Arial" w:cs="Arial"/>
          <w:color w:val="1A2B3C"/>
          <w:sz w:val="18"/>
          <w:szCs w:val="18"/>
        </w:rPr>
        <w:t xml:space="preserve">•  </w:t>
      </w:r>
      <w:r>
        <w:rPr>
          <w:rFonts w:eastAsia="Arial" w:cs="Arial"/>
          <w:color w:val="1A2B3C"/>
          <w:sz w:val="18"/>
          <w:szCs w:val="18"/>
        </w:rPr>
        <w:t>Downtime Mode: Service Worker caching of episode snapshot every 5 minutes, IndexedDB write queue for offline arrivals/vitals/notes, auto-sync on reconnection, sync queue dashboard (PENDING / SYNCED / FAILED).</w:t>
      </w:r>
    </w:p>
    <w:p>
      <w:pPr>
        <w:pStyle w:val="Normal"/>
        <w:spacing w:before="0" w:after="50"/>
        <w:rPr/>
      </w:pPr>
      <w:r>
        <w:rPr>
          <w:rFonts w:eastAsia="Arial" w:cs="Arial"/>
          <w:color w:val="1A2B3C"/>
          <w:sz w:val="18"/>
          <w:szCs w:val="18"/>
        </w:rPr>
        <w:t xml:space="preserve">•  </w:t>
      </w:r>
      <w:r>
        <w:rPr>
          <w:rFonts w:eastAsia="Arial" w:cs="Arial"/>
          <w:color w:val="1A2B3C"/>
          <w:sz w:val="18"/>
          <w:szCs w:val="18"/>
        </w:rPr>
        <w:t>PSR-4 directory hierarchy: full refactor from flat layout to organized submodule namespaces with Controller / Service / Repository separation across all 32 submodules.</w:t>
      </w:r>
    </w:p>
    <w:p>
      <w:pPr>
        <w:pStyle w:val="Heading2"/>
        <w:spacing w:before="280" w:after="80"/>
        <w:rPr/>
      </w:pPr>
      <w:r>
        <w:rPr>
          <w:rFonts w:eastAsia="Arial" w:cs="Arial" w:ascii="Arial" w:hAnsi="Arial"/>
          <w:b/>
          <w:bCs/>
          <w:color w:val="1B3A6B"/>
          <w:sz w:val="22"/>
          <w:szCs w:val="22"/>
        </w:rPr>
        <w:t xml:space="preserve">▶  </w:t>
      </w:r>
      <w:r>
        <w:rPr>
          <w:rFonts w:eastAsia="Arial" w:cs="Arial" w:ascii="Arial" w:hAnsi="Arial"/>
          <w:b/>
          <w:bCs/>
          <w:color w:val="1B3A6B"/>
          <w:sz w:val="22"/>
          <w:szCs w:val="22"/>
        </w:rPr>
        <w:t>Next Phase — Clinical Document Integration</w:t>
      </w:r>
    </w:p>
    <w:p>
      <w:pPr>
        <w:pStyle w:val="Normal"/>
        <w:spacing w:before="0" w:after="50"/>
        <w:rPr/>
      </w:pPr>
      <w:r>
        <w:rPr>
          <w:rFonts w:eastAsia="Arial" w:cs="Arial"/>
          <w:color w:val="1A2B3C"/>
          <w:sz w:val="18"/>
          <w:szCs w:val="18"/>
        </w:rPr>
        <w:t xml:space="preserve">•  </w:t>
      </w:r>
      <w:r>
        <w:rPr>
          <w:rFonts w:eastAsia="Arial" w:cs="Arial"/>
          <w:color w:val="1A2B3C"/>
          <w:sz w:val="18"/>
          <w:szCs w:val="18"/>
        </w:rPr>
        <w:t>Hospital report import: structured ingestion of external lab, radiology, and referral documents with attachment to episode record and provider notification workflow.</w:t>
      </w:r>
    </w:p>
    <w:p>
      <w:pPr>
        <w:pStyle w:val="Normal"/>
        <w:spacing w:before="0" w:after="50"/>
        <w:rPr/>
      </w:pPr>
      <w:r>
        <w:rPr>
          <w:rFonts w:eastAsia="Arial" w:cs="Arial"/>
          <w:color w:val="1A2B3C"/>
          <w:sz w:val="18"/>
          <w:szCs w:val="18"/>
        </w:rPr>
        <w:t xml:space="preserve">•  </w:t>
      </w:r>
      <w:r>
        <w:rPr>
          <w:rFonts w:eastAsia="Arial" w:cs="Arial"/>
          <w:color w:val="1A2B3C"/>
          <w:sz w:val="18"/>
          <w:szCs w:val="18"/>
        </w:rPr>
        <w:t>MAR → Discharge prescription bridge: active MAR orders auto-populate an outbound prescription list, pre-filling the E-Referral and enabling one-click discharge medication reconciliation.</w:t>
      </w:r>
    </w:p>
    <w:p>
      <w:pPr>
        <w:pStyle w:val="Normal"/>
        <w:spacing w:before="0" w:after="50"/>
        <w:rPr/>
      </w:pPr>
      <w:r>
        <w:rPr>
          <w:rFonts w:eastAsia="Arial" w:cs="Arial"/>
          <w:color w:val="1A2B3C"/>
          <w:sz w:val="18"/>
          <w:szCs w:val="18"/>
        </w:rPr>
        <w:t xml:space="preserve">•  </w:t>
      </w:r>
      <w:r>
        <w:rPr>
          <w:rFonts w:eastAsia="Arial" w:cs="Arial"/>
          <w:color w:val="1A2B3C"/>
          <w:sz w:val="18"/>
          <w:szCs w:val="18"/>
        </w:rPr>
        <w:t>E-Referral generation enhancements: structured discharge referral packages for SNF, home health, and specialty follow-up with FHIR-compatible export option for interoperability with receiving facility EHRs.</w:t>
      </w:r>
    </w:p>
    <w:p>
      <w:pPr>
        <w:pStyle w:val="Heading2"/>
        <w:spacing w:before="280" w:after="80"/>
        <w:rPr/>
      </w:pPr>
      <w:r>
        <w:rPr>
          <w:rFonts w:eastAsia="Arial" w:cs="Arial" w:ascii="Arial" w:hAnsi="Arial"/>
          <w:b/>
          <w:bCs/>
          <w:color w:val="5B4A7B"/>
          <w:sz w:val="22"/>
          <w:szCs w:val="22"/>
        </w:rPr>
        <w:t xml:space="preserve">○  </w:t>
      </w:r>
      <w:r>
        <w:rPr>
          <w:rFonts w:eastAsia="Arial" w:cs="Arial" w:ascii="Arial" w:hAnsi="Arial"/>
          <w:b/>
          <w:bCs/>
          <w:color w:val="5B4A7B"/>
          <w:sz w:val="22"/>
          <w:szCs w:val="22"/>
        </w:rPr>
        <w:t>Future Pipeline</w:t>
      </w:r>
    </w:p>
    <w:p>
      <w:pPr>
        <w:pStyle w:val="Normal"/>
        <w:spacing w:before="0" w:after="50"/>
        <w:rPr/>
      </w:pPr>
      <w:r>
        <w:rPr>
          <w:rFonts w:eastAsia="Arial" w:cs="Arial"/>
          <w:color w:val="1A2B3C"/>
          <w:sz w:val="18"/>
          <w:szCs w:val="18"/>
        </w:rPr>
        <w:t xml:space="preserve">•  </w:t>
      </w:r>
      <w:r>
        <w:rPr>
          <w:rFonts w:eastAsia="Arial" w:cs="Arial"/>
          <w:color w:val="1A2B3C"/>
          <w:sz w:val="18"/>
          <w:szCs w:val="18"/>
        </w:rPr>
        <w:t>Nurse staffing and assignment optimization: acuity-weighted patient-to-nurse ratio calculation with charge nurse assignment dashboard and float pool management.</w:t>
      </w:r>
    </w:p>
    <w:p>
      <w:pPr>
        <w:pStyle w:val="Normal"/>
        <w:spacing w:before="0" w:after="50"/>
        <w:rPr/>
      </w:pPr>
      <w:r>
        <w:rPr>
          <w:rFonts w:eastAsia="Arial" w:cs="Arial"/>
          <w:color w:val="1A2B3C"/>
          <w:sz w:val="18"/>
          <w:szCs w:val="18"/>
        </w:rPr>
        <w:t xml:space="preserve">•  </w:t>
      </w:r>
      <w:r>
        <w:rPr>
          <w:rFonts w:eastAsia="Arial" w:cs="Arial"/>
          <w:color w:val="1A2B3C"/>
          <w:sz w:val="18"/>
          <w:szCs w:val="18"/>
        </w:rPr>
        <w:t>FHIR R4 patient summary export: generates a standards-compliant FHIR Bundle (Patient, Encounter, MedicationAdministration, Observation) from any closed episode for external system consumption.</w:t>
      </w:r>
    </w:p>
    <w:p>
      <w:pPr>
        <w:pStyle w:val="Normal"/>
        <w:spacing w:before="0" w:after="50"/>
        <w:rPr/>
      </w:pPr>
      <w:r>
        <w:rPr>
          <w:rFonts w:eastAsia="Arial" w:cs="Arial"/>
          <w:color w:val="1A2B3C"/>
          <w:sz w:val="18"/>
          <w:szCs w:val="18"/>
        </w:rPr>
        <w:t xml:space="preserve">•  </w:t>
      </w:r>
      <w:r>
        <w:rPr>
          <w:rFonts w:eastAsia="Arial" w:cs="Arial"/>
          <w:color w:val="1A2B3C"/>
          <w:sz w:val="18"/>
          <w:szCs w:val="18"/>
        </w:rPr>
        <w:t>Multi-language UI localization: translation framework for all labels and alerts, prioritizing Spanish, Portuguese, and French to extend reach across Latin America, Brazil, and Francophone Africa — markets with high OpenEMR penetration and no ED workflow tooling.</w:t>
      </w:r>
    </w:p>
    <w:p>
      <w:pPr>
        <w:pStyle w:val="Normal"/>
        <w:spacing w:before="0" w:after="50"/>
        <w:rPr/>
      </w:pPr>
      <w:r>
        <w:rPr>
          <w:rFonts w:eastAsia="Arial" w:cs="Arial"/>
          <w:color w:val="1A2B3C"/>
          <w:sz w:val="18"/>
          <w:szCs w:val="18"/>
        </w:rPr>
        <w:t xml:space="preserve">•  </w:t>
      </w:r>
      <w:r>
        <w:rPr>
          <w:rFonts w:eastAsia="Arial" w:cs="Arial"/>
          <w:color w:val="1A2B3C"/>
          <w:sz w:val="18"/>
          <w:szCs w:val="18"/>
        </w:rPr>
        <w:t>OpenEMR module manager compatibility: structured module packaging for native install/enable/disable through OpenEMR’s upcoming module management interface, eliminating manual file deployment.</w:t>
      </w:r>
    </w:p>
    <w:p>
      <w:pPr>
        <w:pStyle w:val="Normal"/>
        <w:spacing w:before="0" w:after="120"/>
        <w:rPr/>
      </w:pPr>
      <w:r>
        <w:rPr/>
      </w:r>
    </w:p>
    <w:sectPr>
      <w:type w:val="nextPage"/>
      <w:pgSz w:w="12240" w:h="15840"/>
      <w:pgMar w:left="1440" w:right="1440" w:gutter="0" w:header="0" w:top="1440" w:footer="0" w:bottom="1440"/>
      <w:pgNumType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2B3C"/>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1A2B3C"/>
      <w:kern w:val="0"/>
      <w:sz w:val="20"/>
      <w:szCs w:val="20"/>
      <w:lang w:val="en-US" w:eastAsia="zh-CN" w:bidi="hi-IN"/>
    </w:rPr>
  </w:style>
  <w:style w:type="paragraph" w:styleId="Heading1">
    <w:name w:val="Heading 1"/>
    <w:basedOn w:val="Heading"/>
    <w:qFormat/>
    <w:pPr>
      <w:spacing w:before="300" w:after="100"/>
      <w:outlineLvl w:val="0"/>
    </w:pPr>
    <w:rPr>
      <w:rFonts w:ascii="Arial" w:hAnsi="Arial" w:eastAsia="Arial" w:cs="Arial"/>
      <w:b/>
      <w:bCs/>
      <w:color w:val="1B3A6B"/>
      <w:sz w:val="26"/>
      <w:szCs w:val="26"/>
    </w:rPr>
  </w:style>
  <w:style w:type="paragraph" w:styleId="Heading2">
    <w:name w:val="Heading 2"/>
    <w:basedOn w:val="Heading"/>
    <w:qFormat/>
    <w:pPr>
      <w:spacing w:before="200" w:after="80"/>
      <w:outlineLvl w:val="1"/>
    </w:pPr>
    <w:rPr>
      <w:rFonts w:ascii="Arial" w:hAnsi="Arial" w:eastAsia="Arial" w:cs="Arial"/>
      <w:b/>
      <w:bCs/>
      <w:color w:val="0D6E6E"/>
      <w:sz w:val="22"/>
      <w:szCs w:val="22"/>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1A2B3C"/>
      <w:kern w:val="0"/>
      <w:sz w:val="20"/>
      <w:szCs w:val="20"/>
      <w:lang w:val="en-US" w:eastAsia="zh-CN" w:bidi="hi-IN"/>
    </w:rPr>
  </w:style>
  <w:style w:type="paragraph" w:styleId="ListParagraph">
    <w:name w:val="List Paragraph"/>
    <w:qFormat/>
    <w:pPr>
      <w:widowControl/>
      <w:bidi w:val="0"/>
      <w:spacing w:before="0" w:after="0"/>
      <w:jc w:val="left"/>
    </w:pPr>
    <w:rPr>
      <w:rFonts w:ascii="Arial" w:hAnsi="Arial" w:eastAsia="Arial" w:cs="Arial"/>
      <w:color w:val="1A2B3C"/>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LibreOffice/24.2.3.2$Windows_X86_64 LibreOffice_project/433d9c2ded56988e8a90e6b2e771ee4e6a5ab2ba</Application>
  <AppVersion>15.0000</AppVersion>
  <Pages>19</Pages>
  <Words>4839</Words>
  <Characters>30248</Characters>
  <CharactersWithSpaces>34893</CharactersWithSpaces>
  <Paragraphs>450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2026-02-25T15:36:54Z</dcterms:created>
  <dc:creator>Un-named</dc:creator>
  <dc:description/>
  <dc:language>en-US</dc:language>
  <cp:lastModifiedBy/>
  <dcterms:modified xsi:type="dcterms:W3CDTF">2026-02-27T05:34:24Z</dcterms:modified>
  <cp:revision>2</cp:revision>
  <dc:subject/>
  <dc:title/>
</cp:coreProperties>
</file>