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160"/>
        <w:jc w:val="center"/>
      </w:pPr>
      <w:r>
        <w:rPr>
          <w:rFonts w:ascii="Segoe UI Emoji" w:cs="Segoe UI Emoji" w:eastAsia="Segoe UI Emoji" w:hAnsi="Segoe UI Emoji"/>
          <w:sz w:val="80"/>
          <w:szCs w:val="80"/>
        </w:rPr>
        <w:t xml:space="preserve">🏡</w:t>
      </w:r>
    </w:p>
    <w:p>
      <w:pPr>
        <w:spacing w:before="0" w:after="80"/>
        <w:jc w:val="center"/>
      </w:pPr>
      <w:r>
        <w:rPr>
          <w:rFonts w:ascii="Arial" w:cs="Arial" w:eastAsia="Arial" w:hAnsi="Arial"/>
          <w:b/>
          <w:bCs/>
          <w:color w:val="2D6A4F"/>
          <w:sz w:val="52"/>
          <w:szCs w:val="52"/>
        </w:rPr>
        <w:t xml:space="preserve">MAPLE GROVE ASSISTED LIVING</w:t>
      </w:r>
    </w:p>
    <w:p>
      <w:pPr>
        <w:spacing w:before="0" w:after="80"/>
        <w:jc w:val="center"/>
      </w:pPr>
      <w:r>
        <w:rPr>
          <w:rFonts w:ascii="Arial" w:cs="Arial" w:eastAsia="Arial" w:hAnsi="Arial"/>
          <w:color w:val="40916C"/>
          <w:sz w:val="36"/>
          <w:szCs w:val="36"/>
        </w:rPr>
        <w:t xml:space="preserve">Resident Workflow Guide</w:t>
      </w:r>
    </w:p>
    <w:p>
      <w:pPr>
        <w:spacing w:before="0" w:after="480"/>
        <w:jc w:val="center"/>
      </w:pPr>
      <w:r>
        <w:rPr>
          <w:rFonts w:ascii="Arial" w:cs="Arial" w:eastAsia="Arial" w:hAnsi="Arial"/>
          <w:color w:val="555555"/>
          <w:sz w:val="24"/>
          <w:szCs w:val="24"/>
        </w:rPr>
        <w:t xml:space="preserve">Intake  •  Care Planning  •  Daily Charting  •  Discharge &amp; Transfer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CCCCC" w:sz="1"/>
              <w:left w:val="single" w:color="CCCCCC" w:sz="1"/>
              <w:bottom w:val="single" w:color="CCCCCC" w:sz="1"/>
              <w:right w:val="single" w:color="CCCCCC" w:sz="1"/>
            </w:tcBorders>
            <w:shd w:fill="F0FAF3" w:val="clear"/>
            <w:tcMar>
              <w:top w:type="dxa" w:w="200"/>
              <w:left w:type="dxa" w:w="300"/>
              <w:bottom w:type="dxa" w:w="200"/>
              <w:right w:type="dxa" w:w="300"/>
            </w:tcMar>
          </w:tcPr>
          <w:p>
            <w:pPr>
              <w:jc w:val="center"/>
            </w:pPr>
            <w:r>
              <w:rPr>
                <w:rFonts w:ascii="Arial" w:cs="Arial" w:eastAsia="Arial" w:hAnsi="Arial"/>
                <w:b/>
                <w:bCs/>
                <w:color w:val="2D6A4F"/>
                <w:sz w:val="20"/>
                <w:szCs w:val="20"/>
              </w:rPr>
              <w:t xml:space="preserve">Built on OpenEMR  •  oe-module-institutional v0.15.1</w:t>
            </w:r>
          </w:p>
          <w:p>
            <w:pPr>
              <w:spacing w:before="60" w:after="0"/>
              <w:jc w:val="center"/>
            </w:pPr>
            <w:r>
              <w:rPr>
                <w:rFonts w:ascii="Arial" w:cs="Arial" w:eastAsia="Arial" w:hAnsi="Arial"/>
                <w:color w:val="555555"/>
                <w:sz w:val="18"/>
                <w:szCs w:val="18"/>
              </w:rPr>
              <w:t xml:space="preserve">Five real-world resident scenarios from admission to discharge, reflecting the full clinical and operational workflow of a modern ALF / SNF.</w:t>
            </w:r>
          </w:p>
        </w:tc>
      </w:tr>
    </w:tbl>
    <w:p>
      <w:pPr>
        <w:spacing w:before="1440"/>
        <w:jc w:val="center"/>
      </w:pPr>
    </w:p>
    <w:p>
      <w:pPr>
        <w:spacing w:before="0" w:after="0"/>
        <w:jc w:val="center"/>
      </w:pPr>
      <w:r>
        <w:rPr>
          <w:rFonts w:ascii="Arial" w:cs="Arial" w:eastAsia="Arial" w:hAnsi="Arial"/>
          <w:color w:val="555555"/>
          <w:sz w:val="18"/>
          <w:szCs w:val="18"/>
        </w:rPr>
        <w:t xml:space="preserve">All resident names, diagnoses, and clinical details in this document are fictional and for demonstration purposes only.</w:t>
      </w:r>
    </w:p>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1  Module Overview &amp; User Context</w:t>
      </w:r>
    </w:p>
    <w:p>
      <w:pPr>
        <w:spacing w:before="40" w:after="80"/>
      </w:pPr>
      <w:r>
        <w:rPr>
          <w:rFonts w:ascii="Arial" w:cs="Arial" w:eastAsia="Arial" w:hAnsi="Arial"/>
        </w:rPr>
        <w:t xml:space="preserve">The Institutional module provides OpenEMR-based Assisted Living and SNF facilities with a complete resident management platform. The </w:t>
      </w:r>
      <w:r>
        <w:rPr>
          <w:rFonts w:ascii="Arial" w:cs="Arial" w:eastAsia="Arial" w:hAnsi="Arial"/>
          <w:b/>
          <w:bCs/>
        </w:rPr>
        <w:t xml:space="preserve">Assisted Living context</w:t>
      </w:r>
      <w:r>
        <w:rPr>
          <w:rFonts w:ascii="Arial" w:cs="Arial" w:eastAsia="Arial" w:hAnsi="Arial"/>
        </w:rPr>
        <w:t xml:space="preserve"> surfaces twelve submodules designed for care aides, LPNs, AL Directors, and activity coordinators.</w:t>
      </w:r>
    </w:p>
    <w:p>
      <w:pPr>
        <w:pStyle w:val="Heading2"/>
        <w:spacing w:before="240" w:after="80"/>
      </w:pPr>
      <w:r>
        <w:rPr>
          <w:rFonts w:ascii="Arial" w:cs="Arial" w:eastAsia="Arial" w:hAnsi="Arial"/>
          <w:b/>
          <w:bCs/>
          <w:color w:val="40916C"/>
          <w:sz w:val="26"/>
          <w:szCs w:val="26"/>
        </w:rPr>
        <w:t xml:space="preserve">1.1  The Five Resident Scenarios</w:t>
      </w:r>
    </w:p>
    <w:p>
      <w:pPr>
        <w:spacing w:before="40" w:after="80"/>
      </w:pPr>
      <w:r>
        <w:rPr>
          <w:rFonts w:ascii="Arial" w:cs="Arial" w:eastAsia="Arial" w:hAnsi="Arial"/>
        </w:rPr>
        <w:t xml:space="preserve">This guide follows five residents currently on census at Maple Grove, each representing a different clinical profile and discharge pathway. All data matches the module's built-in demo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600"/>
        <w:gridCol w:w="1500"/>
        <w:gridCol w:w="1200"/>
        <w:gridCol w:w="1500"/>
        <w:gridCol w:w="1980"/>
        <w:gridCol w:w="1580"/>
      </w:tblGrid>
      <w:tr>
        <w:trPr>
          <w:tblHeader/>
        </w:trPr>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Resident</w:t>
            </w:r>
          </w:p>
        </w:tc>
        <w:tc>
          <w:tcPr>
            <w:tcW w:type="dxa" w:w="1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Room / Unit</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Care Level</w:t>
            </w:r>
          </w:p>
        </w:tc>
        <w:tc>
          <w:tcPr>
            <w:tcW w:type="dxa" w:w="1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Fall Risk</w:t>
            </w:r>
          </w:p>
        </w:tc>
        <w:tc>
          <w:tcPr>
            <w:tcW w:type="dxa" w:w="19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Diagnosis</w:t>
            </w:r>
          </w:p>
        </w:tc>
        <w:tc>
          <w:tcPr>
            <w:tcW w:type="dxa" w:w="15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Eleanor Hartwell, 80F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Wing A-101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3
High Dependency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 (78)</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 dementia
MMSE 14/30</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SNF Transfer pending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George Calloway, 71M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Wing A-104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TIER 2
Moderate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MODERATE (44)</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Post right hip
arthroplasty</w:t>
            </w:r>
          </w:p>
        </w:tc>
        <w:tc>
          <w:tcPr>
            <w:tcW w:type="dxa" w:w="1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Home discharge day 60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Ruth Okonkwo, 68F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Wing A-108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1
Independent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 (18)</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COPD GOLD Stage 2</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 no plan yet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Harold Steinberg, 93M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Wing B-201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TIER 3
High Dependency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HIGH (82)</w:t>
            </w:r>
          </w:p>
        </w:tc>
        <w:tc>
          <w:tcPr>
            <w:tcW w:type="dxa" w:w="1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Parkinson's H&amp;Y 3
Dysphagia</w:t>
            </w:r>
          </w:p>
        </w:tc>
        <w:tc>
          <w:tcPr>
            <w:tcW w:type="dxa" w:w="1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Hospital eval (fall)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Dorothy Vasquez, 79F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Wing B-205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TIER 2
Moderate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MODERATE (52)</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CHF NYHA II
T2DM HbA1c 9.2%</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Hospital eval (CHF)</w:t>
            </w:r>
          </w:p>
        </w:tc>
      </w:tr>
    </w:tbl>
    <w:p>
      <w:pPr>
        <w:pStyle w:val="Heading2"/>
        <w:spacing w:before="240" w:after="80"/>
      </w:pPr>
      <w:r>
        <w:rPr>
          <w:rFonts w:ascii="Arial" w:cs="Arial" w:eastAsia="Arial" w:hAnsi="Arial"/>
          <w:b/>
          <w:bCs/>
          <w:color w:val="40916C"/>
          <w:sz w:val="26"/>
          <w:szCs w:val="26"/>
        </w:rPr>
        <w:t xml:space="preserve">1.2  Staff Roles &amp; Context Switching</w:t>
      </w:r>
    </w:p>
    <w:p>
      <w:pPr>
        <w:spacing w:before="40" w:after="80"/>
      </w:pPr>
      <w:r>
        <w:rPr>
          <w:rFonts w:ascii="Arial" w:cs="Arial" w:eastAsia="Arial" w:hAnsi="Arial"/>
        </w:rPr>
        <w:t xml:space="preserve">The module's </w:t>
      </w:r>
      <w:r>
        <w:rPr>
          <w:rFonts w:ascii="Arial" w:cs="Arial" w:eastAsia="Arial" w:hAnsi="Arial"/>
          <w:b/>
          <w:bCs/>
        </w:rPr>
        <w:t xml:space="preserve">Context Manager</w:t>
      </w:r>
      <w:r>
        <w:rPr>
          <w:rFonts w:ascii="Arial" w:cs="Arial" w:eastAsia="Arial" w:hAnsi="Arial"/>
        </w:rPr>
        <w:t xml:space="preserve"> lets each workstation display only the screens relevant to that role. The Assisted Living context activates all AL submodules while hiding ED, BH, and OBS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Context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Assisted Living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Audience</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Care aide  ·  LPN  ·  AL Director  ·  Activity coordinator</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Active submodules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Resident Board, Intake, Profile, ADL Tracking, Vitals, Fall Risk, MAR, Care Plan, Incident Reports, Discharge, Activity Log, Shift Handoff</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Shared submodules</w:t>
            </w:r>
          </w:p>
        </w:tc>
        <w:tc>
          <w:tcPr>
            <w:tcW w:type="dxa" w:w="7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Tasks, Staff Assignment, Documents, eReferral, Alerts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Admin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Bed Management, Settings</w:t>
            </w:r>
          </w:p>
        </w:tc>
      </w:tr>
    </w:tbl>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2  Resident Census Board</w:t>
      </w:r>
    </w:p>
    <w:p>
      <w:pPr>
        <w:spacing w:before="40" w:after="80"/>
      </w:pPr>
      <w:r>
        <w:rPr>
          <w:rFonts w:ascii="Arial" w:cs="Arial" w:eastAsia="Arial" w:hAnsi="Arial"/>
        </w:rPr>
        <w:t xml:space="preserve">The </w:t>
      </w:r>
      <w:r>
        <w:rPr>
          <w:rFonts w:ascii="Arial" w:cs="Arial" w:eastAsia="Arial" w:hAnsi="Arial"/>
          <w:b/>
          <w:bCs/>
        </w:rPr>
        <w:t xml:space="preserve">Resident Board</w:t>
      </w:r>
      <w:r>
        <w:rPr>
          <w:rFonts w:ascii="Arial" w:cs="Arial" w:eastAsia="Arial" w:hAnsi="Arial"/>
        </w:rPr>
        <w:t xml:space="preserve"> is the starting screen for every shift. It displays all active residents sorted by unit and room, with real-time clinical flags.</w:t>
      </w:r>
    </w:p>
    <w:p>
      <w:pPr>
        <w:pStyle w:val="Heading2"/>
        <w:spacing w:before="240" w:after="80"/>
      </w:pPr>
      <w:r>
        <w:rPr>
          <w:rFonts w:ascii="Arial" w:cs="Arial" w:eastAsia="Arial" w:hAnsi="Arial"/>
          <w:b/>
          <w:bCs/>
          <w:color w:val="40916C"/>
          <w:sz w:val="26"/>
          <w:szCs w:val="26"/>
        </w:rPr>
        <w:t xml:space="preserve">2.1  What the Board Shows</w:t>
      </w:r>
    </w:p>
    <w:p>
      <w:pPr>
        <w:spacing w:before="40" w:after="80"/>
      </w:pPr>
      <w:r>
        <w:rPr>
          <w:rFonts w:ascii="Arial" w:cs="Arial" w:eastAsia="Arial" w:hAnsi="Arial"/>
        </w:rPr>
        <w:t xml:space="preserve">Each resident card displays name, room, care level badge, fall risk badge, latest vitals summary, and quick-action buttons. Color-coded row severity drives immediate attention — red rows require intervention within the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40916C" w:val="clear"/>
            <w:tcMar>
              <w:top w:type="dxa" w:w="80"/>
              <w:left w:type="dxa" w:w="160"/>
              <w:bottom w:type="dxa" w:w="80"/>
              <w:right w:type="dxa" w:w="160"/>
            </w:tcMar>
          </w:tcPr>
          <w:p>
            <w:r>
              <w:rPr>
                <w:rFonts w:ascii="Arial" w:cs="Arial" w:eastAsia="Arial" w:hAnsi="Arial"/>
                <w:b/>
                <w:bCs/>
                <w:color w:val="FFFFFF"/>
                <w:sz w:val="22"/>
                <w:szCs w:val="22"/>
              </w:rPr>
              <w:t xml:space="preserve">Clinical Flag Logic — Board Highlights</w:t>
            </w:r>
          </w:p>
        </w:tc>
      </w:tr>
      <w:tr>
        <w:tc>
          <w:tcPr>
            <w:tcBorders>
              <w:top w:val="single" w:color="CCCCCC" w:sz="1"/>
              <w:left w:val="single" w:color="CCCCCC" w:sz="1"/>
              <w:bottom w:val="single" w:color="CCCCCC" w:sz="1"/>
              <w:right w:val="single" w:color="CCCCCC" w:sz="1"/>
            </w:tcBorders>
            <w:shd w:fill="F0FAF3" w:val="clear"/>
            <w:tcMar>
              <w:top w:type="dxa" w:w="60"/>
              <w:left w:type="dxa" w:w="160"/>
              <w:bottom w:type="dxa" w:w="60"/>
              <w:right w:type="dxa" w:w="160"/>
            </w:tcMar>
          </w:tcPr>
          <w:p>
            <w:r>
              <w:rPr>
                <w:rFonts w:ascii="Arial" w:cs="Arial" w:eastAsia="Arial" w:hAnsi="Arial"/>
                <w:b/>
                <w:bCs/>
                <w:sz w:val="18"/>
                <w:szCs w:val="18"/>
              </w:rPr>
              <w:t xml:space="preserve">flag_mar_overdue</w:t>
            </w:r>
            <w:r>
              <w:rPr>
                <w:rFonts w:ascii="Arial" w:cs="Arial" w:eastAsia="Arial" w:hAnsi="Arial"/>
              </w:rPr>
              <w:t xml:space="preserve">  —  One or more scheduled medications past their administration window</w:t>
            </w:r>
          </w:p>
        </w:tc>
      </w:tr>
      <w:tr>
        <w:tc>
          <w:tcPr>
            <w:tcBorders>
              <w:top w:val="single" w:color="CCCCCC" w:sz="1"/>
              <w:left w:val="single" w:color="CCCCCC" w:sz="1"/>
              <w:bottom w:val="single" w:color="CCCCCC" w:sz="1"/>
              <w:right w:val="single" w:color="CCCCCC" w:sz="1"/>
            </w:tcBorders>
            <w:shd w:fill="F0FAF3" w:val="clear"/>
            <w:tcMar>
              <w:top w:type="dxa" w:w="60"/>
              <w:left w:type="dxa" w:w="160"/>
              <w:bottom w:type="dxa" w:w="60"/>
              <w:right w:type="dxa" w:w="160"/>
            </w:tcMar>
          </w:tcPr>
          <w:p>
            <w:r>
              <w:rPr>
                <w:rFonts w:ascii="Arial" w:cs="Arial" w:eastAsia="Arial" w:hAnsi="Arial"/>
                <w:b/>
                <w:bCs/>
                <w:sz w:val="18"/>
                <w:szCs w:val="18"/>
              </w:rPr>
              <w:t xml:space="preserve">flag_fall_reassess_due</w:t>
            </w:r>
            <w:r>
              <w:rPr>
                <w:rFonts w:ascii="Arial" w:cs="Arial" w:eastAsia="Arial" w:hAnsi="Arial"/>
              </w:rPr>
              <w:t xml:space="preserve">  —  Morse Fall Scale reassessment overdue (&gt; 30 days since last assessment)</w:t>
            </w:r>
          </w:p>
        </w:tc>
      </w:tr>
      <w:tr>
        <w:tc>
          <w:tcPr>
            <w:tcBorders>
              <w:top w:val="single" w:color="CCCCCC" w:sz="1"/>
              <w:left w:val="single" w:color="CCCCCC" w:sz="1"/>
              <w:bottom w:val="single" w:color="CCCCCC" w:sz="1"/>
              <w:right w:val="single" w:color="CCCCCC" w:sz="1"/>
            </w:tcBorders>
            <w:shd w:fill="F0FAF3" w:val="clear"/>
            <w:tcMar>
              <w:top w:type="dxa" w:w="60"/>
              <w:left w:type="dxa" w:w="160"/>
              <w:bottom w:type="dxa" w:w="60"/>
              <w:right w:type="dxa" w:w="160"/>
            </w:tcMar>
          </w:tcPr>
          <w:p>
            <w:r>
              <w:rPr>
                <w:rFonts w:ascii="Arial" w:cs="Arial" w:eastAsia="Arial" w:hAnsi="Arial"/>
                <w:b/>
                <w:bCs/>
                <w:sz w:val="18"/>
                <w:szCs w:val="18"/>
              </w:rPr>
              <w:t xml:space="preserve">flag_incident</w:t>
            </w:r>
            <w:r>
              <w:rPr>
                <w:rFonts w:ascii="Arial" w:cs="Arial" w:eastAsia="Arial" w:hAnsi="Arial"/>
              </w:rPr>
              <w:t xml:space="preserve">  —  Open incident reported in current week (fall, medication error, elopement, etc.)</w:t>
            </w:r>
          </w:p>
        </w:tc>
      </w:tr>
      <w:tr>
        <w:tc>
          <w:tcPr>
            <w:tcBorders>
              <w:top w:val="single" w:color="CCCCCC" w:sz="1"/>
              <w:left w:val="single" w:color="CCCCCC" w:sz="1"/>
              <w:bottom w:val="single" w:color="CCCCCC" w:sz="1"/>
              <w:right w:val="single" w:color="CCCCCC" w:sz="1"/>
            </w:tcBorders>
            <w:shd w:fill="F0FAF3" w:val="clear"/>
            <w:tcMar>
              <w:top w:type="dxa" w:w="60"/>
              <w:left w:type="dxa" w:w="160"/>
              <w:bottom w:type="dxa" w:w="60"/>
              <w:right w:type="dxa" w:w="160"/>
            </w:tcMar>
          </w:tcPr>
          <w:p>
            <w:r>
              <w:rPr>
                <w:rFonts w:ascii="Arial" w:cs="Arial" w:eastAsia="Arial" w:hAnsi="Arial"/>
                <w:b/>
                <w:bCs/>
                <w:sz w:val="18"/>
                <w:szCs w:val="18"/>
              </w:rPr>
              <w:t xml:space="preserve">flag_discharge</w:t>
            </w:r>
            <w:r>
              <w:rPr>
                <w:rFonts w:ascii="Arial" w:cs="Arial" w:eastAsia="Arial" w:hAnsi="Arial"/>
              </w:rPr>
              <w:t xml:space="preserve">  —  Discharge or transfer plan exists; departure not yet confirmed</w:t>
            </w:r>
          </w:p>
        </w:tc>
      </w:tr>
      <w:tr>
        <w:tc>
          <w:tcPr>
            <w:tcBorders>
              <w:top w:val="single" w:color="CCCCCC" w:sz="1"/>
              <w:left w:val="single" w:color="CCCCCC" w:sz="1"/>
              <w:bottom w:val="single" w:color="CCCCCC" w:sz="1"/>
              <w:right w:val="single" w:color="CCCCCC" w:sz="1"/>
            </w:tcBorders>
            <w:shd w:fill="F0FAF3" w:val="clear"/>
            <w:tcMar>
              <w:top w:type="dxa" w:w="60"/>
              <w:left w:type="dxa" w:w="160"/>
              <w:bottom w:type="dxa" w:w="60"/>
              <w:right w:type="dxa" w:w="160"/>
            </w:tcMar>
          </w:tcPr>
          <w:p>
            <w:r>
              <w:rPr>
                <w:rFonts w:ascii="Arial" w:cs="Arial" w:eastAsia="Arial" w:hAnsi="Arial"/>
                <w:b/>
                <w:bCs/>
                <w:sz w:val="18"/>
                <w:szCs w:val="18"/>
              </w:rPr>
              <w:t xml:space="preserve">flag_high_care</w:t>
            </w:r>
            <w:r>
              <w:rPr>
                <w:rFonts w:ascii="Arial" w:cs="Arial" w:eastAsia="Arial" w:hAnsi="Arial"/>
              </w:rPr>
              <w:t xml:space="preserve">  —  TIER 3 care level; requires highest staffing ratio</w:t>
            </w:r>
          </w:p>
        </w:tc>
      </w:tr>
    </w:tbl>
    <w:p>
      <w:pPr>
        <w:spacing w:before="40" w:after="80"/>
      </w:pPr>
      <w:r>
        <w:rPr>
          <w:rFonts w:ascii="Arial" w:cs="Arial" w:eastAsia="Arial" w:hAnsi="Arial"/>
        </w:rPr>
        <w:t xml:space="preserve">Row severity is computed as: 0 = no flags (normal), 1 = one or two flags (caution highlight), 2 = three or more flags (alert highlight). Harold Steinberg currently shows severity 2 — fall incident this morning plus MAR overdue plus hospital eval planned.</w:t>
      </w:r>
    </w:p>
    <w:p>
      <w:pPr>
        <w:pStyle w:val="Heading2"/>
        <w:spacing w:before="240" w:after="80"/>
      </w:pPr>
      <w:r>
        <w:rPr>
          <w:rFonts w:ascii="Arial" w:cs="Arial" w:eastAsia="Arial" w:hAnsi="Arial"/>
          <w:b/>
          <w:bCs/>
          <w:color w:val="40916C"/>
          <w:sz w:val="26"/>
          <w:szCs w:val="26"/>
        </w:rPr>
        <w:t xml:space="preserve">2.2  Quick Actions per Resident</w:t>
      </w:r>
    </w:p>
    <w:p>
      <w:pPr>
        <w:spacing w:before="40" w:after="80"/>
      </w:pPr>
      <w:r>
        <w:rPr>
          <w:rFonts w:ascii="Arial" w:cs="Arial" w:eastAsia="Arial" w:hAnsi="Arial"/>
        </w:rPr>
        <w:t xml:space="preserve">Each board row contains inline buttons gated by feature flag. Only buttons for enabled features are rendered, keeping the interface clean for facilities that have not yet activated all submodules.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1400"/>
        <w:gridCol w:w="7960"/>
      </w:tblGrid>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Profile</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Opens the single-resident hub — all panels in one view</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ADL</w:t>
            </w:r>
          </w:p>
        </w:tc>
        <w:tc>
          <w:tcPr>
            <w:tcW w:type="dxa" w:w="7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Launches the ADL charting form for the current shift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Plan</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Opens the care plan goal and activity list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MAR</w:t>
            </w:r>
          </w:p>
        </w:tc>
        <w:tc>
          <w:tcPr>
            <w:tcW w:type="dxa" w:w="7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Launches the 5-day rolling medication administration grid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Falls</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Opens the Morse Fall Scale reassessment form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Vitals</w:t>
            </w:r>
          </w:p>
        </w:tc>
        <w:tc>
          <w:tcPr>
            <w:tcW w:type="dxa" w:w="7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Opens periodic vitals entry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D/C Plan</w:t>
            </w:r>
          </w:p>
        </w:tc>
        <w:tc>
          <w:tcPr>
            <w:tcW w:type="dxa" w:w="7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Opens discharge / transfer planning form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Incident</w:t>
            </w:r>
          </w:p>
        </w:tc>
        <w:tc>
          <w:tcPr>
            <w:tcW w:type="dxa" w:w="7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Opens incident report form</w:t>
            </w:r>
          </w:p>
        </w:tc>
      </w:tr>
    </w:tbl>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3  Resident Intake</w:t>
      </w:r>
    </w:p>
    <w:p>
      <w:pPr>
        <w:spacing w:before="40" w:after="80"/>
      </w:pPr>
      <w:r>
        <w:rPr>
          <w:rFonts w:ascii="Arial" w:cs="Arial" w:eastAsia="Arial" w:hAnsi="Arial"/>
        </w:rPr>
        <w:t xml:space="preserve">Resident Intake creates three linked records simultaneously: an </w:t>
      </w:r>
      <w:r>
        <w:rPr>
          <w:rFonts w:ascii="Arial" w:cs="Arial" w:eastAsia="Arial" w:hAnsi="Arial"/>
          <w:b/>
          <w:bCs/>
        </w:rPr>
        <w:t xml:space="preserve">oei_episode</w:t>
      </w:r>
      <w:r>
        <w:rPr>
          <w:rFonts w:ascii="Arial" w:cs="Arial" w:eastAsia="Arial" w:hAnsi="Arial"/>
        </w:rPr>
        <w:t xml:space="preserve"> (the master stay record), an </w:t>
      </w:r>
      <w:r>
        <w:rPr>
          <w:rFonts w:ascii="Arial" w:cs="Arial" w:eastAsia="Arial" w:hAnsi="Arial"/>
          <w:b/>
          <w:bCs/>
        </w:rPr>
        <w:t xml:space="preserve">oei_al_episode</w:t>
      </w:r>
      <w:r>
        <w:rPr>
          <w:rFonts w:ascii="Arial" w:cs="Arial" w:eastAsia="Arial" w:hAnsi="Arial"/>
        </w:rPr>
        <w:t xml:space="preserve"> overlay (room, unit, care level, fall risk), and a </w:t>
      </w:r>
      <w:r>
        <w:rPr>
          <w:rFonts w:ascii="Arial" w:cs="Arial" w:eastAsia="Arial" w:hAnsi="Arial"/>
          <w:b/>
          <w:bCs/>
        </w:rPr>
        <w:t xml:space="preserve">form_encounter</w:t>
      </w:r>
      <w:r>
        <w:rPr>
          <w:rFonts w:ascii="Arial" w:cs="Arial" w:eastAsia="Arial" w:hAnsi="Arial"/>
        </w:rPr>
        <w:t xml:space="preserve"> (required to anchor care plan entries in OpenEMR's FHIR/CCDA pipeline).</w:t>
      </w:r>
    </w:p>
    <w:p>
      <w:pPr>
        <w:pStyle w:val="Heading2"/>
        <w:spacing w:before="240" w:after="80"/>
      </w:pPr>
      <w:r>
        <w:rPr>
          <w:rFonts w:ascii="Arial" w:cs="Arial" w:eastAsia="Arial" w:hAnsi="Arial"/>
          <w:b/>
          <w:bCs/>
          <w:color w:val="40916C"/>
          <w:sz w:val="26"/>
          <w:szCs w:val="26"/>
        </w:rPr>
        <w:t xml:space="preserve">3.1  Intake Workflow — Eleanor Hartwell</w:t>
      </w:r>
    </w:p>
    <w:p>
      <w:pPr>
        <w:spacing w:before="40" w:after="80"/>
      </w:pPr>
      <w:r>
        <w:rPr>
          <w:rFonts w:ascii="Arial" w:cs="Arial" w:eastAsia="Arial" w:hAnsi="Arial"/>
        </w:rPr>
        <w:t xml:space="preserve">Eleanor was admitted on January 12, 2026, escorted by her daughter Karen (POA). The nurse completed intake using the following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520"/>
        <w:gridCol w:w="2400"/>
        <w:gridCol w:w="6440"/>
      </w:tblGrid>
      <w:tr>
        <w:trPr>
          <w:tblHeader/>
        </w:trPr>
        <w:tc>
          <w:tcPr>
            <w:tcW w:type="dxa" w:w="52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Screen / Feature</w:t>
            </w:r>
          </w:p>
        </w:tc>
        <w:tc>
          <w:tcPr>
            <w:tcW w:type="dxa" w:w="644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What Staff Does &amp; Sees</w:t>
            </w:r>
          </w:p>
        </w:tc>
      </w:tr>
      <w:tr>
        <w:tc>
          <w:tcPr>
            <w:tcW w:type="dxa" w:w="520"/>
            <w:tcBorders>
              <w:top w:val="single" w:color="CCCCCC" w:sz="1"/>
              <w:left w:val="single" w:color="CCCCCC" w:sz="1"/>
              <w:bottom w:val="single" w:color="CCCCCC" w:sz="1"/>
              <w:right w:val="single" w:color="CCCCCC" w:sz="1"/>
            </w:tcBorders>
            <w:shd w:fill="40916C" w:val="clear"/>
            <w:tcMar>
              <w:top w:type="dxa" w:w="80"/>
              <w:left w:type="dxa" w:w="120"/>
              <w:bottom w:type="dxa" w:w="80"/>
              <w:right w:type="dxa" w:w="120"/>
            </w:tcMar>
          </w:tcPr>
          <w:p>
            <w:r>
              <w:rPr>
                <w:rFonts w:ascii="Arial" w:cs="Arial" w:eastAsia="Arial" w:hAnsi="Arial"/>
                <w:b/>
                <w:bCs/>
                <w:color w:val="FFFFFF"/>
                <w:sz w:val="20"/>
                <w:szCs w:val="20"/>
              </w:rPr>
              <w:t xml:space="preserve">1</w:t>
            </w:r>
          </w:p>
        </w:tc>
        <w:tc>
          <w:tcPr>
            <w:tcW w:type="dxa" w:w="24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b/>
                <w:bCs/>
                <w:sz w:val="18"/>
                <w:szCs w:val="18"/>
              </w:rPr>
              <w:t xml:space="preserve">Patient Search</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Search OpenEMR for Eleanor Hartwell, DOB 1945. Patient already exists in chart from prior outpatient visits. Select her record.</w:t>
            </w:r>
          </w:p>
        </w:tc>
      </w:tr>
      <w:tr>
        <w:tc>
          <w:tcPr>
            <w:tcW w:type="dxa" w:w="520"/>
            <w:tcBorders>
              <w:top w:val="single" w:color="CCCCCC" w:sz="1"/>
              <w:left w:val="single" w:color="CCCCCC" w:sz="1"/>
              <w:bottom w:val="single" w:color="CCCCCC" w:sz="1"/>
              <w:right w:val="single" w:color="CCCCCC" w:sz="1"/>
            </w:tcBorders>
            <w:shd w:fill="40916C" w:val="clear"/>
            <w:tcMar>
              <w:top w:type="dxa" w:w="80"/>
              <w:left w:type="dxa" w:w="120"/>
              <w:bottom w:type="dxa" w:w="80"/>
              <w:right w:type="dxa" w:w="120"/>
            </w:tcMar>
          </w:tcPr>
          <w:p>
            <w:r>
              <w:rPr>
                <w:rFonts w:ascii="Arial" w:cs="Arial" w:eastAsia="Arial" w:hAnsi="Arial"/>
                <w:b/>
                <w:bCs/>
                <w:color w:val="FFFFFF"/>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Intake Form</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Select room Wing A-101, Unit A. Set Care Level to TIER 3 (high dependency — dementia, total assist with ADLs). Enter Morse Fall Score 78 — system auto-sets risk level to HIGH.</w:t>
            </w:r>
          </w:p>
        </w:tc>
      </w:tr>
      <w:tr>
        <w:tc>
          <w:tcPr>
            <w:tcW w:type="dxa" w:w="520"/>
            <w:tcBorders>
              <w:top w:val="single" w:color="CCCCCC" w:sz="1"/>
              <w:left w:val="single" w:color="CCCCCC" w:sz="1"/>
              <w:bottom w:val="single" w:color="CCCCCC" w:sz="1"/>
              <w:right w:val="single" w:color="CCCCCC" w:sz="1"/>
            </w:tcBorders>
            <w:shd w:fill="40916C" w:val="clear"/>
            <w:tcMar>
              <w:top w:type="dxa" w:w="80"/>
              <w:left w:type="dxa" w:w="120"/>
              <w:bottom w:type="dxa" w:w="80"/>
              <w:right w:type="dxa" w:w="120"/>
            </w:tcMar>
          </w:tcPr>
          <w:p>
            <w:r>
              <w:rPr>
                <w:rFonts w:ascii="Arial" w:cs="Arial" w:eastAsia="Arial" w:hAnsi="Arial"/>
                <w:b/>
                <w:bCs/>
                <w:color w:val="FFFFFF"/>
                <w:sz w:val="20"/>
                <w:szCs w:val="20"/>
              </w:rPr>
              <w:t xml:space="preserve">3</w:t>
            </w:r>
          </w:p>
        </w:tc>
        <w:tc>
          <w:tcPr>
            <w:tcW w:type="dxa" w:w="24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b/>
                <w:bCs/>
                <w:sz w:val="18"/>
                <w:szCs w:val="18"/>
              </w:rPr>
              <w:t xml:space="preserve">Admission Reason</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Enter chief complaint: "Moderate dementia, MMSE 14/30, fall x2 in prior 6 months. Unsafe to live alone." Set admission date/time.</w:t>
            </w:r>
          </w:p>
        </w:tc>
      </w:tr>
      <w:tr>
        <w:tc>
          <w:tcPr>
            <w:tcW w:type="dxa" w:w="520"/>
            <w:tcBorders>
              <w:top w:val="single" w:color="CCCCCC" w:sz="1"/>
              <w:left w:val="single" w:color="CCCCCC" w:sz="1"/>
              <w:bottom w:val="single" w:color="CCCCCC" w:sz="1"/>
              <w:right w:val="single" w:color="CCCCCC" w:sz="1"/>
            </w:tcBorders>
            <w:shd w:fill="40916C" w:val="clear"/>
            <w:tcMar>
              <w:top w:type="dxa" w:w="80"/>
              <w:left w:type="dxa" w:w="120"/>
              <w:bottom w:type="dxa" w:w="80"/>
              <w:right w:type="dxa" w:w="120"/>
            </w:tcMar>
          </w:tcPr>
          <w:p>
            <w:r>
              <w:rPr>
                <w:rFonts w:ascii="Arial" w:cs="Arial" w:eastAsia="Arial" w:hAnsi="Arial"/>
                <w:b/>
                <w:bCs/>
                <w:color w:val="FFFFFF"/>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Submit</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System creates episode, overlay, and form_encounter in one transaction. Success screen shows: "Resident admitted successfully. Complete the care plan and record baseline vitals below."</w:t>
            </w:r>
          </w:p>
        </w:tc>
      </w:tr>
      <w:tr>
        <w:tc>
          <w:tcPr>
            <w:tcW w:type="dxa" w:w="520"/>
            <w:tcBorders>
              <w:top w:val="single" w:color="CCCCCC" w:sz="1"/>
              <w:left w:val="single" w:color="CCCCCC" w:sz="1"/>
              <w:bottom w:val="single" w:color="CCCCCC" w:sz="1"/>
              <w:right w:val="single" w:color="CCCCCC" w:sz="1"/>
            </w:tcBorders>
            <w:shd w:fill="40916C" w:val="clear"/>
            <w:tcMar>
              <w:top w:type="dxa" w:w="80"/>
              <w:left w:type="dxa" w:w="120"/>
              <w:bottom w:type="dxa" w:w="80"/>
              <w:right w:type="dxa" w:w="120"/>
            </w:tcMar>
          </w:tcPr>
          <w:p>
            <w:r>
              <w:rPr>
                <w:rFonts w:ascii="Arial" w:cs="Arial" w:eastAsia="Arial" w:hAnsi="Arial"/>
                <w:b/>
                <w:bCs/>
                <w:color w:val="FFFFFF"/>
                <w:sz w:val="20"/>
                <w:szCs w:val="20"/>
              </w:rPr>
              <w:t xml:space="preserve">5</w:t>
            </w:r>
          </w:p>
        </w:tc>
        <w:tc>
          <w:tcPr>
            <w:tcW w:type="dxa" w:w="2400"/>
            <w:tcBorders>
              <w:top w:val="single" w:color="CCCCCC" w:sz="1"/>
              <w:left w:val="single" w:color="CCCCCC" w:sz="1"/>
              <w:bottom w:val="single" w:color="CCCCCC" w:sz="1"/>
              <w:right w:val="single" w:color="CCCCCC" w:sz="1"/>
            </w:tcBorders>
            <w:shd w:fill="F0FAF3" w:val="clear"/>
            <w:tcMar>
              <w:top w:type="dxa" w:w="80"/>
              <w:left w:type="dxa" w:w="120"/>
              <w:bottom w:type="dxa" w:w="80"/>
              <w:right w:type="dxa" w:w="120"/>
            </w:tcMar>
          </w:tcPr>
          <w:p>
            <w:r>
              <w:rPr>
                <w:rFonts w:ascii="Arial" w:cs="Arial" w:eastAsia="Arial" w:hAnsi="Arial"/>
                <w:b/>
                <w:bCs/>
                <w:sz w:val="18"/>
                <w:szCs w:val="18"/>
              </w:rPr>
              <w:t xml:space="preserve">Care Plan</w:t>
            </w:r>
          </w:p>
        </w:tc>
        <w:tc>
          <w:tcPr>
            <w:tcW w:type="dxa" w:w="6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Redirect to care plan. Enter goals: fall prevention, behavioral management via music therapy. Enter activities: daily music therapy, interdisciplinary rounds weekly.</w:t>
            </w:r>
          </w:p>
        </w:tc>
      </w:tr>
      <w:tr>
        <w:tc>
          <w:tcPr>
            <w:tcW w:type="dxa" w:w="520"/>
            <w:tcBorders>
              <w:top w:val="single" w:color="CCCCCC" w:sz="1"/>
              <w:left w:val="single" w:color="CCCCCC" w:sz="1"/>
              <w:bottom w:val="single" w:color="CCCCCC" w:sz="1"/>
              <w:right w:val="single" w:color="CCCCCC" w:sz="1"/>
            </w:tcBorders>
            <w:shd w:fill="40916C" w:val="clear"/>
            <w:tcMar>
              <w:top w:type="dxa" w:w="80"/>
              <w:left w:type="dxa" w:w="120"/>
              <w:bottom w:type="dxa" w:w="80"/>
              <w:right w:type="dxa" w:w="120"/>
            </w:tcMar>
          </w:tcPr>
          <w:p>
            <w:r>
              <w:rPr>
                <w:rFonts w:ascii="Arial" w:cs="Arial" w:eastAsia="Arial" w:hAnsi="Arial"/>
                <w:b/>
                <w:bCs/>
                <w:color w:val="FFFFFF"/>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Baseline Vitals</w:t>
            </w:r>
          </w:p>
        </w:tc>
        <w:tc>
          <w:tcPr>
            <w:tcW w:type="dxa" w:w="6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Record baseline vitals via Vitals screen. BP 142/88, HR 74, SpO2 95%, weight 63.2 kg.</w:t>
            </w:r>
          </w:p>
        </w:tc>
      </w:tr>
    </w:tbl>
    <w:p>
      <w:pPr>
        <w:pStyle w:val="Heading2"/>
        <w:spacing w:before="240" w:after="80"/>
      </w:pPr>
      <w:r>
        <w:rPr>
          <w:rFonts w:ascii="Arial" w:cs="Arial" w:eastAsia="Arial" w:hAnsi="Arial"/>
          <w:b/>
          <w:bCs/>
          <w:color w:val="40916C"/>
          <w:sz w:val="26"/>
          <w:szCs w:val="26"/>
        </w:rPr>
        <w:t xml:space="preserve">3.2  Intake Validation Rules</w:t>
      </w:r>
    </w:p>
    <w:p>
      <w:pPr>
        <w:pStyle w:val="ListParagraph"/>
        <w:numPr>
          <w:ilvl w:val="0"/>
          <w:numId w:val="2"/>
        </w:numPr>
        <w:spacing w:before="20" w:after="40"/>
      </w:pPr>
      <w:r>
        <w:rPr>
          <w:rFonts w:ascii="Arial" w:cs="Arial" w:eastAsia="Arial" w:hAnsi="Arial"/>
          <w:b/>
          <w:bCs/>
        </w:rPr>
        <w:t xml:space="preserve">Duplicate prevention: </w:t>
      </w:r>
      <w:r>
        <w:rPr>
          <w:rFonts w:ascii="Arial" w:cs="Arial" w:eastAsia="Arial" w:hAnsi="Arial"/>
        </w:rPr>
        <w:t xml:space="preserve">System blocks intake if an active AL episode already exists for the patient at this facility.</w:t>
      </w:r>
    </w:p>
    <w:p>
      <w:pPr>
        <w:pStyle w:val="ListParagraph"/>
        <w:numPr>
          <w:ilvl w:val="0"/>
          <w:numId w:val="2"/>
        </w:numPr>
        <w:spacing w:before="20" w:after="40"/>
      </w:pPr>
      <w:r>
        <w:rPr>
          <w:rFonts w:ascii="Arial" w:cs="Arial" w:eastAsia="Arial" w:hAnsi="Arial"/>
          <w:b/>
          <w:bCs/>
        </w:rPr>
        <w:t xml:space="preserve">Encounter guard: </w:t>
      </w:r>
      <w:r>
        <w:rPr>
          <w:rFonts w:ascii="Arial" w:cs="Arial" w:eastAsia="Arial" w:hAnsi="Arial"/>
        </w:rPr>
        <w:t xml:space="preserve">If form_encounter insertion fails (e.g. missing OpenEMR column in non-standard build), the system returns a hard error with the episode_id and instructs staff not to re-admit — preventing duplicate episodes.</w:t>
      </w:r>
    </w:p>
    <w:p>
      <w:pPr>
        <w:pStyle w:val="ListParagraph"/>
        <w:numPr>
          <w:ilvl w:val="0"/>
          <w:numId w:val="2"/>
        </w:numPr>
        <w:spacing w:before="20" w:after="40"/>
      </w:pPr>
      <w:r>
        <w:rPr>
          <w:rFonts w:ascii="Arial" w:cs="Arial" w:eastAsia="Arial" w:hAnsi="Arial"/>
          <w:b/>
          <w:bCs/>
        </w:rPr>
        <w:t xml:space="preserve">Fall risk auto-tier: </w:t>
      </w:r>
      <w:r>
        <w:rPr>
          <w:rFonts w:ascii="Arial" w:cs="Arial" w:eastAsia="Arial" w:hAnsi="Arial"/>
        </w:rPr>
        <w:t xml:space="preserve">Morse score 0-24 = LOW, 25-44 = MODERATE, 45+ = HIGH. Staff can override the computed tier.</w:t>
      </w:r>
    </w:p>
    <w:p>
      <w:pPr>
        <w:pStyle w:val="ListParagraph"/>
        <w:numPr>
          <w:ilvl w:val="0"/>
          <w:numId w:val="2"/>
        </w:numPr>
        <w:spacing w:before="20" w:after="40"/>
      </w:pPr>
      <w:r>
        <w:rPr>
          <w:rFonts w:ascii="Arial" w:cs="Arial" w:eastAsia="Arial" w:hAnsi="Arial"/>
          <w:b/>
          <w:bCs/>
        </w:rPr>
        <w:t xml:space="preserve">Care level: </w:t>
      </w:r>
      <w:r>
        <w:rPr>
          <w:rFonts w:ascii="Arial" w:cs="Arial" w:eastAsia="Arial" w:hAnsi="Arial"/>
        </w:rPr>
        <w:t xml:space="preserve">TIER 1 (independent, ADL score ≥22), TIER 2 (moderate assist, score 14-21), TIER 3 (high assist, score &lt;14). Defaults to TIER 1 on admission; updated by ADL charting.</w:t>
      </w:r>
    </w:p>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4  Resident Profile</w:t>
      </w:r>
    </w:p>
    <w:p>
      <w:pPr>
        <w:spacing w:before="40" w:after="80"/>
      </w:pPr>
      <w:r>
        <w:rPr>
          <w:rFonts w:ascii="Arial" w:cs="Arial" w:eastAsia="Arial" w:hAnsi="Arial"/>
        </w:rPr>
        <w:t xml:space="preserve">The </w:t>
      </w:r>
      <w:r>
        <w:rPr>
          <w:rFonts w:ascii="Arial" w:cs="Arial" w:eastAsia="Arial" w:hAnsi="Arial"/>
          <w:b/>
          <w:bCs/>
        </w:rPr>
        <w:t xml:space="preserve">Resident Profile</w:t>
      </w:r>
      <w:r>
        <w:rPr>
          <w:rFonts w:ascii="Arial" w:cs="Arial" w:eastAsia="Arial" w:hAnsi="Arial"/>
        </w:rPr>
        <w:t xml:space="preserve"> is the single-resident hub. It aggregates all clinical data into one view so a nurse can assess the complete picture without navigating between submodules.</w:t>
      </w:r>
    </w:p>
    <w:p>
      <w:pPr>
        <w:pStyle w:val="Heading2"/>
        <w:spacing w:before="240" w:after="80"/>
      </w:pPr>
      <w:r>
        <w:rPr>
          <w:rFonts w:ascii="Arial" w:cs="Arial" w:eastAsia="Arial" w:hAnsi="Arial"/>
          <w:b/>
          <w:bCs/>
          <w:color w:val="40916C"/>
          <w:sz w:val="26"/>
          <w:szCs w:val="26"/>
        </w:rPr>
        <w:t xml:space="preserve">4.1  Profile Panels</w:t>
      </w:r>
    </w:p>
    <w:p>
      <w:pPr>
        <w:spacing w:before="40" w:after="80"/>
      </w:pPr>
      <w:r>
        <w:rPr>
          <w:rFonts w:ascii="Arial" w:cs="Arial" w:eastAsia="Arial" w:hAnsi="Arial"/>
        </w:rPr>
        <w:t xml:space="preserve">Each panel loads independently so a failure in one section (e.g. no vitals recorded yet) does not break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1800"/>
        <w:gridCol w:w="7560"/>
      </w:tblGrid>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Latest Vitals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Most recent periodic entry — BP, HR, SpO2, weight. Abnormal values display in red. Sparklines show 6-entry trends for weight, SpO2, and systolic BP.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ADL Trend</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Last 5 ADL records with domain-level breakdown. Score trend sparkline. Flag when score drops by 4+ points between sessions.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MAR Today</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Today's medication summary: given count, pending count, held count, overdue count.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Care Plan</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Active goals (count) and most recent goal text. Direct link to full care plan editor.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Incidents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Last 3 incidents with type, severity badge, and datetime.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Fall Risk</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Latest Morse assessment score and tier. Next reassessment due date (30-day schedule).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Care Team</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 active care team members with role badges — physician, LPN, PT, OT, social worker.</w:t>
            </w:r>
          </w:p>
        </w:tc>
      </w:tr>
    </w:tbl>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5  Vitals Monitoring &amp; ADL Charting</w:t>
      </w:r>
    </w:p>
    <w:p>
      <w:pPr>
        <w:pStyle w:val="Heading2"/>
        <w:spacing w:before="240" w:after="80"/>
      </w:pPr>
      <w:r>
        <w:rPr>
          <w:rFonts w:ascii="Arial" w:cs="Arial" w:eastAsia="Arial" w:hAnsi="Arial"/>
          <w:b/>
          <w:bCs/>
          <w:color w:val="40916C"/>
          <w:sz w:val="26"/>
          <w:szCs w:val="26"/>
        </w:rPr>
        <w:t xml:space="preserve">5.1  Periodic Vitals — Ruth Okonkwo</w:t>
      </w:r>
    </w:p>
    <w:p>
      <w:pPr>
        <w:spacing w:before="40" w:after="80"/>
      </w:pPr>
      <w:r>
        <w:rPr>
          <w:rFonts w:ascii="Arial" w:cs="Arial" w:eastAsia="Arial" w:hAnsi="Arial"/>
        </w:rPr>
        <w:t xml:space="preserve">Ruth was admitted February 10, 2026, for COPD GOLD Stage 2 with a history of inhaler non-adherence at home. Vitals are recorded each shift using the Vitals screen, which stores them in </w:t>
      </w:r>
      <w:r>
        <w:rPr>
          <w:rFonts w:ascii="Arial" w:cs="Arial" w:eastAsia="Arial" w:hAnsi="Arial"/>
          <w:b/>
          <w:bCs/>
        </w:rPr>
        <w:t xml:space="preserve">oei_triage</w:t>
      </w:r>
      <w:r>
        <w:rPr>
          <w:rFonts w:ascii="Arial" w:cs="Arial" w:eastAsia="Arial" w:hAnsi="Arial"/>
        </w:rPr>
        <w:t xml:space="preserve"> with </w:t>
      </w:r>
      <w:r>
        <w:rPr>
          <w:rFonts w:ascii="Arial" w:cs="Arial" w:eastAsia="Arial" w:hAnsi="Arial"/>
          <w:b/>
          <w:bCs/>
        </w:rPr>
        <w:t xml:space="preserve">arrival_mode = 'PERIODIC'</w:t>
      </w:r>
      <w:r>
        <w:rPr>
          <w:rFonts w:ascii="Arial" w:cs="Arial" w:eastAsia="Arial" w:hAnsi="Arial"/>
        </w:rPr>
        <w:t xml:space="preserve"> to distinguish AL monitoring entries from ED triage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Admission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SpO2 94% on room air. BP 128/76. HR 78. Inhalers started per schedule.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Day 2 (Feb 11)</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SpO2 95% RA. HR 78. BP 128/76. Tolerating inhalers well.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Day 12 (Feb 21)</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SpO2 95% RA. Adherence 100% for 10 days. No exacerbation symptoms.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Alert threshold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System flags SpO2 &lt; 90% as critical (red). SpO2 90-93% triggers a warning (yellow). Weight gain &gt; 0.9 kg since last check triggers fluid-retention alert.</w:t>
            </w:r>
          </w:p>
        </w:tc>
      </w:tr>
    </w:tbl>
    <w:p>
      <w:pPr>
        <w:spacing w:before="40" w:after="80"/>
      </w:pPr>
      <w:r>
        <w:rPr>
          <w:rFonts w:ascii="Arial" w:cs="Arial" w:eastAsia="Arial" w:hAnsi="Arial"/>
        </w:rPr>
        <w:t xml:space="preserve">The </w:t>
      </w:r>
      <w:r>
        <w:rPr>
          <w:rFonts w:ascii="Arial" w:cs="Arial" w:eastAsia="Arial" w:hAnsi="Arial"/>
          <w:b/>
          <w:bCs/>
        </w:rPr>
        <w:t xml:space="preserve">weight-trend alert</w:t>
      </w:r>
      <w:r>
        <w:rPr>
          <w:rFonts w:ascii="Arial" w:cs="Arial" w:eastAsia="Arial" w:hAnsi="Arial"/>
        </w:rPr>
        <w:t xml:space="preserve"> is particularly important for Dorothy Vasquez (CHF): daily weights are critical, and the system automatically notifies the charge nurse when the gain exceeds the protocol threshold.</w:t>
      </w:r>
    </w:p>
    <w:p>
      <w:pPr>
        <w:pStyle w:val="Heading2"/>
        <w:spacing w:before="240" w:after="80"/>
      </w:pPr>
      <w:r>
        <w:rPr>
          <w:rFonts w:ascii="Arial" w:cs="Arial" w:eastAsia="Arial" w:hAnsi="Arial"/>
          <w:b/>
          <w:bCs/>
          <w:color w:val="40916C"/>
          <w:sz w:val="26"/>
          <w:szCs w:val="26"/>
        </w:rPr>
        <w:t xml:space="preserve">5.2  ADL Charting — MDS 3.0 Domains</w:t>
      </w:r>
    </w:p>
    <w:p>
      <w:pPr>
        <w:spacing w:before="40" w:after="80"/>
      </w:pPr>
      <w:r>
        <w:rPr>
          <w:rFonts w:ascii="Arial" w:cs="Arial" w:eastAsia="Arial" w:hAnsi="Arial"/>
        </w:rPr>
        <w:t xml:space="preserve">ADL records use the CMS MDS 3.0 seven-domain scoring framework. Each domain is scored 0 (independent) to 4 (total assistance), with 8 indicating "activity did not occur." The aggregate score drives the resident's care level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600"/>
        <w:gridCol w:w="2400"/>
        <w:gridCol w:w="1800"/>
        <w:gridCol w:w="1800"/>
        <w:gridCol w:w="1760"/>
      </w:tblGrid>
      <w:tr>
        <w:trPr>
          <w:tblHeader/>
        </w:trPr>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Score (0–4)</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Eleanor</w:t>
            </w:r>
          </w:p>
        </w:tc>
        <w:tc>
          <w:tcPr>
            <w:tcW w:type="dxa" w:w="1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Harold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Bathing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Shower/tub/sponge bath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4=total assist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4</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Dressing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Upper &amp; lower body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3=extensive assist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Grooming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Personal hygiene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2=limited assist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Transfer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Bed to chair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3=extensive assist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Ambulation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Walking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3=extensive assist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Eating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Meals &amp; snacks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2=limited assist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8"/>
                <w:szCs w:val="18"/>
              </w:rPr>
              <w:t xml:space="preserve">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Toileting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Bladder/bowel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4=total assist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4</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3</w:t>
            </w:r>
          </w:p>
        </w:tc>
      </w:tr>
      <w:tr>
        <w:tc>
          <w:tcPr>
            <w:tcW w:type="dxa" w:w="1600"/>
            <w:tcBorders>
              <w:top w:val="single" w:color="CCCCCC" w:sz="1"/>
              <w:left w:val="single" w:color="CCCCCC" w:sz="1"/>
              <w:bottom w:val="single" w:color="CCCCCC" w:sz="1"/>
              <w:right w:val="single" w:color="CCCCCC" w:sz="1"/>
            </w:tcBorders>
            <w:shd w:fill="F0FAF3" w:val="clear"/>
            <w:tcMar>
              <w:top w:type="dxa" w:w="60"/>
              <w:left w:type="dxa" w:w="120"/>
              <w:bottom w:type="dxa" w:w="60"/>
              <w:right w:type="dxa" w:w="120"/>
            </w:tcMar>
          </w:tcPr>
          <w:p>
            <w:r>
              <w:rPr>
                <w:rFonts w:ascii="Arial" w:cs="Arial" w:eastAsia="Arial" w:hAnsi="Arial"/>
                <w:b/>
                <w:bCs/>
                <w:sz w:val="18"/>
                <w:szCs w:val="18"/>
              </w:rPr>
              <w:t xml:space="preserve"/>
            </w:r>
          </w:p>
        </w:tc>
        <w:tc>
          <w:tcPr>
            <w:tcW w:type="dxa" w:w="2400"/>
            <w:tcBorders>
              <w:top w:val="single" w:color="CCCCCC" w:sz="1"/>
              <w:left w:val="single" w:color="CCCCCC" w:sz="1"/>
              <w:bottom w:val="single" w:color="CCCCCC" w:sz="1"/>
              <w:right w:val="single" w:color="CCCCCC" w:sz="1"/>
            </w:tcBorders>
            <w:shd w:fill="F0FAF3" w:val="clear"/>
            <w:tcMar>
              <w:top w:type="dxa" w:w="60"/>
              <w:left w:type="dxa" w:w="120"/>
              <w:bottom w:type="dxa" w:w="60"/>
              <w:right w:type="dxa" w:w="120"/>
            </w:tcMar>
          </w:tcPr>
          <w:p>
            <w:r>
              <w:rPr>
                <w:rFonts w:ascii="Arial" w:cs="Arial" w:eastAsia="Arial" w:hAnsi="Arial"/>
                <w:b/>
                <w:bCs/>
                <w:sz w:val="18"/>
                <w:szCs w:val="18"/>
              </w:rPr>
              <w:t xml:space="preserve">Total ADL Score (sample)</w:t>
            </w:r>
          </w:p>
        </w:tc>
        <w:tc>
          <w:tcPr>
            <w:tcW w:type="dxa" w:w="1800"/>
            <w:tcBorders>
              <w:top w:val="single" w:color="CCCCCC" w:sz="1"/>
              <w:left w:val="single" w:color="CCCCCC" w:sz="1"/>
              <w:bottom w:val="single" w:color="CCCCCC" w:sz="1"/>
              <w:right w:val="single" w:color="CCCCCC" w:sz="1"/>
            </w:tcBorders>
            <w:shd w:fill="F0FAF3" w:val="clear"/>
            <w:tcMar>
              <w:top w:type="dxa" w:w="60"/>
              <w:left w:type="dxa" w:w="120"/>
              <w:bottom w:type="dxa" w:w="60"/>
              <w:right w:type="dxa" w:w="120"/>
            </w:tcMar>
          </w:tcPr>
          <w:p>
            <w:r>
              <w:rPr>
                <w:rFonts w:ascii="Arial" w:cs="Arial" w:eastAsia="Arial" w:hAnsi="Arial"/>
                <w:b/>
                <w:bCs/>
                <w:sz w:val="18"/>
                <w:szCs w:val="18"/>
              </w:rPr>
              <w:t xml:space="preserve"/>
            </w:r>
          </w:p>
        </w:tc>
        <w:tc>
          <w:tcPr>
            <w:tcW w:type="dxa" w:w="1800"/>
            <w:tcBorders>
              <w:top w:val="single" w:color="CCCCCC" w:sz="1"/>
              <w:left w:val="single" w:color="CCCCCC" w:sz="1"/>
              <w:bottom w:val="single" w:color="CCCCCC" w:sz="1"/>
              <w:right w:val="single" w:color="CCCCCC" w:sz="1"/>
            </w:tcBorders>
            <w:shd w:fill="F0FAF3" w:val="clear"/>
            <w:tcMar>
              <w:top w:type="dxa" w:w="60"/>
              <w:left w:type="dxa" w:w="120"/>
              <w:bottom w:type="dxa" w:w="60"/>
              <w:right w:type="dxa" w:w="120"/>
            </w:tcMar>
          </w:tcPr>
          <w:p>
            <w:r>
              <w:rPr>
                <w:rFonts w:ascii="Arial" w:cs="Arial" w:eastAsia="Arial" w:hAnsi="Arial"/>
                <w:b/>
                <w:bCs/>
                <w:sz w:val="18"/>
                <w:szCs w:val="18"/>
              </w:rPr>
              <w:t xml:space="preserve">22 (TIER 3)</w:t>
            </w:r>
          </w:p>
        </w:tc>
        <w:tc>
          <w:tcPr>
            <w:tcW w:type="dxa" w:w="1760"/>
            <w:tcBorders>
              <w:top w:val="single" w:color="CCCCCC" w:sz="1"/>
              <w:left w:val="single" w:color="CCCCCC" w:sz="1"/>
              <w:bottom w:val="single" w:color="CCCCCC" w:sz="1"/>
              <w:right w:val="single" w:color="CCCCCC" w:sz="1"/>
            </w:tcBorders>
            <w:shd w:fill="F0FAF3" w:val="clear"/>
            <w:tcMar>
              <w:top w:type="dxa" w:w="60"/>
              <w:left w:type="dxa" w:w="120"/>
              <w:bottom w:type="dxa" w:w="60"/>
              <w:right w:type="dxa" w:w="120"/>
            </w:tcMar>
          </w:tcPr>
          <w:p>
            <w:r>
              <w:rPr>
                <w:rFonts w:ascii="Arial" w:cs="Arial" w:eastAsia="Arial" w:hAnsi="Arial"/>
                <w:b/>
                <w:bCs/>
                <w:sz w:val="18"/>
                <w:szCs w:val="18"/>
              </w:rPr>
              <w:t xml:space="preserve">21 (TIER 3)</w:t>
            </w:r>
          </w:p>
        </w:tc>
      </w:tr>
    </w:tbl>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6  Medication Administration Record (MAR)</w:t>
      </w:r>
    </w:p>
    <w:p>
      <w:pPr>
        <w:spacing w:before="40" w:after="80"/>
      </w:pPr>
      <w:r>
        <w:rPr>
          <w:rFonts w:ascii="Arial" w:cs="Arial" w:eastAsia="Arial" w:hAnsi="Arial"/>
        </w:rPr>
        <w:t xml:space="preserve">The AL MAR is a </w:t>
      </w:r>
      <w:r>
        <w:rPr>
          <w:rFonts w:ascii="Arial" w:cs="Arial" w:eastAsia="Arial" w:hAnsi="Arial"/>
          <w:b/>
          <w:bCs/>
        </w:rPr>
        <w:t xml:space="preserve">5-day rolling grid</w:t>
      </w:r>
      <w:r>
        <w:rPr>
          <w:rFonts w:ascii="Arial" w:cs="Arial" w:eastAsia="Arial" w:hAnsi="Arial"/>
        </w:rPr>
        <w:t xml:space="preserve"> centered on today. Scheduled medications appear as rows; date columns run from yesterday through 3 days ahead. PRN medications appear in a separate section below the grid. This standing-order model distinguishes AL MAR from the acute ED model, where a single encounter drives the schedule.</w:t>
      </w:r>
    </w:p>
    <w:p>
      <w:pPr>
        <w:pStyle w:val="Heading2"/>
        <w:spacing w:before="240" w:after="80"/>
      </w:pPr>
      <w:r>
        <w:rPr>
          <w:rFonts w:ascii="Arial" w:cs="Arial" w:eastAsia="Arial" w:hAnsi="Arial"/>
          <w:b/>
          <w:bCs/>
          <w:color w:val="40916C"/>
          <w:sz w:val="26"/>
          <w:szCs w:val="26"/>
        </w:rPr>
        <w:t xml:space="preserve">6.1  Dorothy Vasquez — Daily Medication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200"/>
        <w:gridCol w:w="1200"/>
        <w:gridCol w:w="1000"/>
        <w:gridCol w:w="1000"/>
        <w:gridCol w:w="800"/>
        <w:gridCol w:w="1360"/>
        <w:gridCol w:w="180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Medication</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Dose</w:t>
            </w:r>
          </w:p>
        </w:tc>
        <w:tc>
          <w:tcPr>
            <w:tcW w:type="dxa" w:w="1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c>
          <w:tcPr>
            <w:tcW w:type="dxa" w:w="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Scheduled Time</w:t>
            </w:r>
          </w:p>
        </w:tc>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Furosemide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20 mg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QAM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Scheduled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08:00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GIVEN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Lisinopril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 mg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QD</w:t>
            </w:r>
          </w:p>
        </w:tc>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Scheduled</w:t>
            </w:r>
          </w:p>
        </w:tc>
        <w:tc>
          <w:tcPr>
            <w:tcW w:type="dxa" w:w="1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09:00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GIVEN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Metformin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500 mg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Scheduled</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08:00 / 20:00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GIVEN</w:t>
            </w:r>
          </w:p>
        </w:tc>
      </w:tr>
      <w:tr>
        <w:tc>
          <w:tcPr>
            <w:tcW w:type="dxa" w:w="2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sz w:val="18"/>
                <w:szCs w:val="18"/>
              </w:rPr>
              <w:t xml:space="preserve">Insulin Glargine</w:t>
            </w:r>
          </w:p>
        </w:tc>
        <w:tc>
          <w:tcPr>
            <w:tcW w:type="dxa" w:w="12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sz w:val="18"/>
                <w:szCs w:val="18"/>
              </w:rPr>
              <w:t xml:space="preserve">18 units</w:t>
            </w:r>
          </w:p>
        </w:tc>
        <w:tc>
          <w:tcPr>
            <w:tcW w:type="dxa" w:w="10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sz w:val="18"/>
                <w:szCs w:val="18"/>
              </w:rPr>
              <w:t xml:space="preserve">SubQ</w:t>
            </w:r>
          </w:p>
        </w:tc>
        <w:tc>
          <w:tcPr>
            <w:tcW w:type="dxa" w:w="10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sz w:val="18"/>
                <w:szCs w:val="18"/>
              </w:rPr>
              <w:t xml:space="preserve">QHS</w:t>
            </w:r>
          </w:p>
        </w:tc>
        <w:tc>
          <w:tcPr>
            <w:tcW w:type="dxa" w:w="8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sz w:val="18"/>
                <w:szCs w:val="18"/>
              </w:rPr>
              <w:t xml:space="preserve">Scheduled</w:t>
            </w:r>
          </w:p>
        </w:tc>
        <w:tc>
          <w:tcPr>
            <w:tcW w:type="dxa" w:w="136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sz w:val="18"/>
                <w:szCs w:val="18"/>
              </w:rPr>
              <w:t xml:space="preserve">21:00</w:t>
            </w:r>
          </w:p>
        </w:tc>
        <w:tc>
          <w:tcPr>
            <w:tcW w:type="dxa" w:w="1800"/>
            <w:tcBorders>
              <w:top w:val="single" w:color="CCCCCC" w:sz="1"/>
              <w:left w:val="single" w:color="CCCCCC" w:sz="1"/>
              <w:bottom w:val="single" w:color="CCCCCC" w:sz="1"/>
              <w:right w:val="single" w:color="CCCCCC" w:sz="1"/>
            </w:tcBorders>
            <w:shd w:fill="FFF8E1" w:val="clear"/>
            <w:tcMar>
              <w:top w:type="dxa" w:w="60"/>
              <w:left w:type="dxa" w:w="120"/>
              <w:bottom w:type="dxa" w:w="60"/>
              <w:right w:type="dxa" w:w="120"/>
            </w:tcMar>
          </w:tcPr>
          <w:p>
            <w:r>
              <w:rPr>
                <w:rFonts w:ascii="Arial" w:cs="Arial" w:eastAsia="Arial" w:hAnsi="Arial"/>
                <w:sz w:val="18"/>
                <w:szCs w:val="18"/>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Nitroglycerin SL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0.4 mg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 needed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PRN</w:t>
            </w:r>
          </w:p>
        </w:tc>
      </w:tr>
    </w:tbl>
    <w:p>
      <w:pPr>
        <w:pStyle w:val="Heading2"/>
        <w:spacing w:before="240" w:after="80"/>
      </w:pPr>
      <w:r>
        <w:rPr>
          <w:rFonts w:ascii="Arial" w:cs="Arial" w:eastAsia="Arial" w:hAnsi="Arial"/>
          <w:b/>
          <w:bCs/>
          <w:color w:val="40916C"/>
          <w:sz w:val="26"/>
          <w:szCs w:val="26"/>
        </w:rPr>
        <w:t xml:space="preserve">6.2  Medication Incident — Dorothy Vasquez</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9360"/>
      </w:tblGrid>
      <w:tr>
        <w:tc>
          <w:tcPr>
            <w:gridSpan w:val="1"/>
            <w:tcBorders>
              <w:top w:val="single" w:color="CCCCCC" w:sz="1"/>
              <w:left w:val="single" w:color="CCCCCC" w:sz="1"/>
              <w:bottom w:val="single" w:color="CCCCCC" w:sz="1"/>
              <w:right w:val="single" w:color="CCCCCC" w:sz="1"/>
            </w:tcBorders>
            <w:shd w:fill="3A86FF" w:val="clear"/>
            <w:tcMar>
              <w:top w:type="dxa" w:w="80"/>
              <w:left w:type="dxa" w:w="160"/>
              <w:bottom w:type="dxa" w:w="80"/>
              <w:right w:type="dxa" w:w="160"/>
            </w:tcMar>
          </w:tcPr>
          <w:p>
            <w:r>
              <w:rPr>
                <w:rFonts w:ascii="Arial" w:cs="Arial" w:eastAsia="Arial" w:hAnsi="Arial"/>
                <w:b/>
                <w:bCs/>
                <w:color w:val="FFFFFF"/>
                <w:sz w:val="22"/>
                <w:szCs w:val="22"/>
              </w:rPr>
              <w:t xml:space="preserve">Medication Error — February 20, 2026  (Incident #2)</w:t>
            </w:r>
          </w:p>
        </w:tc>
      </w:tr>
      <w:tr>
        <w:tc>
          <w:tcPr>
            <w:tcBorders>
              <w:top w:val="single" w:color="CCCCCC" w:sz="1"/>
              <w:left w:val="single" w:color="CCCCCC" w:sz="1"/>
              <w:bottom w:val="single" w:color="CCCCCC" w:sz="1"/>
              <w:right w:val="single" w:color="CCCCCC" w:sz="1"/>
            </w:tcBorders>
            <w:shd w:fill="F0FAF3" w:val="clear"/>
            <w:tcMar>
              <w:top w:type="dxa" w:w="60"/>
              <w:left w:type="dxa" w:w="160"/>
              <w:bottom w:type="dxa" w:w="60"/>
              <w:right w:type="dxa" w:w="160"/>
            </w:tcMar>
          </w:tcPr>
          <w:p>
            <w:r>
              <w:rPr>
                <w:rFonts w:ascii="Arial" w:cs="Arial" w:eastAsia="Arial" w:hAnsi="Arial"/>
                <w:b/>
                <w:bCs/>
              </w:rPr>
              <w:t xml:space="preserve">Drug: </w:t>
            </w:r>
            <w:r>
              <w:rPr>
                <w:rFonts w:ascii="Arial" w:cs="Arial" w:eastAsia="Arial" w:hAnsi="Arial"/>
              </w:rPr>
              <w:t xml:space="preserve">Furosemide 40 mg administered instead of scheduled 20 mg</w:t>
            </w:r>
          </w:p>
        </w:tc>
      </w:tr>
      <w:tr>
        <w:tc>
          <w:tcPr>
            <w:tcBorders>
              <w:top w:val="single" w:color="CCCCCC" w:sz="1"/>
              <w:left w:val="single" w:color="CCCCCC" w:sz="1"/>
              <w:bottom w:val="single" w:color="CCCCCC" w:sz="1"/>
              <w:right w:val="single" w:color="CCCCCC" w:sz="1"/>
            </w:tcBorders>
            <w:shd w:fill="F0FAF3" w:val="clear"/>
            <w:tcMar>
              <w:top w:type="dxa" w:w="60"/>
              <w:left w:type="dxa" w:w="160"/>
              <w:bottom w:type="dxa" w:w="60"/>
              <w:right w:type="dxa" w:w="160"/>
            </w:tcMar>
          </w:tcPr>
          <w:p>
            <w:r>
              <w:rPr>
                <w:rFonts w:ascii="Arial" w:cs="Arial" w:eastAsia="Arial" w:hAnsi="Arial"/>
                <w:b/>
                <w:bCs/>
              </w:rPr>
              <w:t xml:space="preserve">Discovery: </w:t>
            </w:r>
            <w:r>
              <w:rPr>
                <w:rFonts w:ascii="Arial" w:cs="Arial" w:eastAsia="Arial" w:hAnsi="Arial"/>
              </w:rPr>
              <w:t xml:space="preserve">Next-shift MAR review. No acute adverse effects. BP 118/72, HR 74, SpO2 97%.</w:t>
            </w:r>
          </w:p>
        </w:tc>
      </w:tr>
      <w:tr>
        <w:tc>
          <w:tcPr>
            <w:tcBorders>
              <w:top w:val="single" w:color="CCCCCC" w:sz="1"/>
              <w:left w:val="single" w:color="CCCCCC" w:sz="1"/>
              <w:bottom w:val="single" w:color="CCCCCC" w:sz="1"/>
              <w:right w:val="single" w:color="CCCCCC" w:sz="1"/>
            </w:tcBorders>
            <w:shd w:fill="F0FAF3" w:val="clear"/>
            <w:tcMar>
              <w:top w:type="dxa" w:w="60"/>
              <w:left w:type="dxa" w:w="160"/>
              <w:bottom w:type="dxa" w:w="60"/>
              <w:right w:type="dxa" w:w="160"/>
            </w:tcMar>
          </w:tcPr>
          <w:p>
            <w:r>
              <w:rPr>
                <w:rFonts w:ascii="Arial" w:cs="Arial" w:eastAsia="Arial" w:hAnsi="Arial"/>
                <w:b/>
                <w:bCs/>
              </w:rPr>
              <w:t xml:space="preserve">Corrective action: </w:t>
            </w:r>
            <w:r>
              <w:rPr>
                <w:rFonts w:ascii="Arial" w:cs="Arial" w:eastAsia="Arial" w:hAnsi="Arial"/>
              </w:rPr>
              <w:t xml:space="preserve">Physician notified immediately. Electrolyte panel ordered. Resident monitored q2h x8h. Pharmacy notified. Root cause: look-alike packaging. Corrective action: separate storage, barcode-scan protocol initiated.</w:t>
            </w:r>
          </w:p>
        </w:tc>
      </w:tr>
      <w:tr>
        <w:tc>
          <w:tcPr>
            <w:tcBorders>
              <w:top w:val="single" w:color="CCCCCC" w:sz="1"/>
              <w:left w:val="single" w:color="CCCCCC" w:sz="1"/>
              <w:bottom w:val="single" w:color="CCCCCC" w:sz="1"/>
              <w:right w:val="single" w:color="CCCCCC" w:sz="1"/>
            </w:tcBorders>
            <w:shd w:fill="F0FAF3" w:val="clear"/>
            <w:tcMar>
              <w:top w:type="dxa" w:w="60"/>
              <w:left w:type="dxa" w:w="160"/>
              <w:bottom w:type="dxa" w:w="60"/>
              <w:right w:type="dxa" w:w="160"/>
            </w:tcMar>
          </w:tcPr>
          <w:p>
            <w:r>
              <w:rPr>
                <w:rFonts w:ascii="Arial" w:cs="Arial" w:eastAsia="Arial" w:hAnsi="Arial"/>
                <w:b/>
                <w:bCs/>
              </w:rPr>
              <w:t xml:space="preserve">Mandatory report: </w:t>
            </w:r>
            <w:r>
              <w:rPr>
                <w:rFonts w:ascii="Arial" w:cs="Arial" w:eastAsia="Arial" w:hAnsi="Arial"/>
              </w:rPr>
              <w:t xml:space="preserve">NOT REQUIRED (no adverse patient harm). Incident logged in oei_incident. Corrective action documented.</w:t>
            </w:r>
          </w:p>
        </w:tc>
      </w:tr>
    </w:tbl>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7  Fall Risk Assessment (Morse Fall Scale)</w:t>
      </w:r>
    </w:p>
    <w:p>
      <w:pPr>
        <w:spacing w:before="40" w:after="80"/>
      </w:pPr>
      <w:r>
        <w:rPr>
          <w:rFonts w:ascii="Arial" w:cs="Arial" w:eastAsia="Arial" w:hAnsi="Arial"/>
        </w:rPr>
        <w:t xml:space="preserve">The Morse Fall Scale (MFS) assesses six clinical factors. Scores 0-24 = LOW (standard precautions), 25-44 = MODERATE (fall prevention program), 45+ = HIGH (high-risk fall protocol). Reassessment is due every 30 days or after any fall event.</w:t>
      </w:r>
    </w:p>
    <w:p>
      <w:pPr>
        <w:pStyle w:val="Heading2"/>
        <w:spacing w:before="240" w:after="80"/>
      </w:pPr>
      <w:r>
        <w:rPr>
          <w:rFonts w:ascii="Arial" w:cs="Arial" w:eastAsia="Arial" w:hAnsi="Arial"/>
          <w:b/>
          <w:bCs/>
          <w:color w:val="40916C"/>
          <w:sz w:val="26"/>
          <w:szCs w:val="26"/>
        </w:rPr>
        <w:t xml:space="preserve">7.1  Harold Steinberg — Assessment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000"/>
        <w:gridCol w:w="800"/>
        <w:gridCol w:w="800"/>
        <w:gridCol w:w="800"/>
        <w:gridCol w:w="800"/>
        <w:gridCol w:w="800"/>
        <w:gridCol w:w="800"/>
        <w:gridCol w:w="800"/>
        <w:gridCol w:w="7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r>
              <w:rPr>
                <w:rFonts w:ascii="Arial" w:cs="Arial" w:eastAsia="Arial" w:hAnsi="Arial"/>
                <w:b/>
                <w:bCs/>
                <w:color w:val="FFFFFF"/>
                <w:sz w:val="16"/>
                <w:szCs w:val="16"/>
              </w:rPr>
              <w:t xml:space="preserve">Date</w:t>
            </w:r>
          </w:p>
        </w:tc>
        <w:tc>
          <w:tcPr>
            <w:tcW w:type="dxa" w:w="8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r>
              <w:rPr>
                <w:rFonts w:ascii="Arial" w:cs="Arial" w:eastAsia="Arial" w:hAnsi="Arial"/>
                <w:b/>
                <w:bCs/>
                <w:color w:val="FFFFFF"/>
                <w:sz w:val="16"/>
                <w:szCs w:val="16"/>
              </w:rPr>
              <w:t xml:space="preserve">Fall Hx</w:t>
            </w:r>
          </w:p>
        </w:tc>
        <w:tc>
          <w:tcPr>
            <w:tcW w:type="dxa" w:w="8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r>
              <w:rPr>
                <w:rFonts w:ascii="Arial" w:cs="Arial" w:eastAsia="Arial" w:hAnsi="Arial"/>
                <w:b/>
                <w:bCs/>
                <w:color w:val="FFFFFF"/>
                <w:sz w:val="16"/>
                <w:szCs w:val="16"/>
              </w:rPr>
              <w:t xml:space="preserve">2nd Dx</w:t>
            </w:r>
          </w:p>
        </w:tc>
        <w:tc>
          <w:tcPr>
            <w:tcW w:type="dxa" w:w="8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r>
              <w:rPr>
                <w:rFonts w:ascii="Arial" w:cs="Arial" w:eastAsia="Arial" w:hAnsi="Arial"/>
                <w:b/>
                <w:bCs/>
                <w:color w:val="FFFFFF"/>
                <w:sz w:val="16"/>
                <w:szCs w:val="16"/>
              </w:rPr>
              <w:t xml:space="preserve">Aid</w:t>
            </w:r>
          </w:p>
        </w:tc>
        <w:tc>
          <w:tcPr>
            <w:tcW w:type="dxa" w:w="8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r>
              <w:rPr>
                <w:rFonts w:ascii="Arial" w:cs="Arial" w:eastAsia="Arial" w:hAnsi="Arial"/>
                <w:b/>
                <w:bCs/>
                <w:color w:val="FFFFFF"/>
                <w:sz w:val="16"/>
                <w:szCs w:val="16"/>
              </w:rPr>
              <w:t xml:space="preserve">IV/Hep</w:t>
            </w:r>
          </w:p>
        </w:tc>
        <w:tc>
          <w:tcPr>
            <w:tcW w:type="dxa" w:w="8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r>
              <w:rPr>
                <w:rFonts w:ascii="Arial" w:cs="Arial" w:eastAsia="Arial" w:hAnsi="Arial"/>
                <w:b/>
                <w:bCs/>
                <w:color w:val="FFFFFF"/>
                <w:sz w:val="16"/>
                <w:szCs w:val="16"/>
              </w:rPr>
              <w:t xml:space="preserve">Gait</w:t>
            </w:r>
          </w:p>
        </w:tc>
        <w:tc>
          <w:tcPr>
            <w:tcW w:type="dxa" w:w="8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r>
              <w:rPr>
                <w:rFonts w:ascii="Arial" w:cs="Arial" w:eastAsia="Arial" w:hAnsi="Arial"/>
                <w:b/>
                <w:bCs/>
                <w:color w:val="FFFFFF"/>
                <w:sz w:val="16"/>
                <w:szCs w:val="16"/>
              </w:rPr>
              <w:t xml:space="preserve">Mental</w:t>
            </w:r>
          </w:p>
        </w:tc>
        <w:tc>
          <w:tcPr>
            <w:tcW w:type="dxa" w:w="80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r>
              <w:rPr>
                <w:rFonts w:ascii="Arial" w:cs="Arial" w:eastAsia="Arial" w:hAnsi="Arial"/>
                <w:b/>
                <w:bCs/>
                <w:color w:val="FFFFFF"/>
                <w:sz w:val="16"/>
                <w:szCs w:val="16"/>
              </w:rPr>
              <w:t xml:space="preserve">TOTAL</w:t>
            </w:r>
          </w:p>
        </w:tc>
        <w:tc>
          <w:tcPr>
            <w:tcW w:type="dxa" w:w="760"/>
            <w:tcBorders>
              <w:top w:val="single" w:color="CCCCCC" w:sz="1"/>
              <w:left w:val="single" w:color="CCCCCC" w:sz="1"/>
              <w:bottom w:val="single" w:color="CCCCCC" w:sz="1"/>
              <w:right w:val="single" w:color="CCCCCC" w:sz="1"/>
            </w:tcBorders>
            <w:shd w:fill="2D6A4F" w:val="clear"/>
            <w:tcMar>
              <w:top w:type="dxa" w:w="80"/>
              <w:left w:type="dxa" w:w="60"/>
              <w:bottom w:type="dxa" w:w="80"/>
              <w:right w:type="dxa" w:w="60"/>
            </w:tcMar>
          </w:tcPr>
          <w:p>
            <w:r>
              <w:rPr>
                <w:rFonts w:ascii="Arial" w:cs="Arial" w:eastAsia="Arial" w:hAnsi="Arial"/>
                <w:b/>
                <w:bCs/>
                <w:color w:val="FFFFFF"/>
                <w:sz w:val="16"/>
                <w:szCs w:val="16"/>
              </w:rPr>
              <w:t xml:space="preserve">Level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rFonts w:ascii="Arial" w:cs="Arial" w:eastAsia="Arial" w:hAnsi="Arial"/>
                <w:sz w:val="18"/>
                <w:szCs w:val="18"/>
              </w:rPr>
              <w:t xml:space="preserve">Admission Dec 28</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rFonts w:ascii="Arial" w:cs="Arial" w:eastAsia="Arial" w:hAnsi="Arial"/>
                <w:sz w:val="18"/>
                <w:szCs w:val="18"/>
              </w:rPr>
              <w:t xml:space="preserve">25</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rFonts w:ascii="Arial" w:cs="Arial" w:eastAsia="Arial" w:hAnsi="Arial"/>
                <w:sz w:val="18"/>
                <w:szCs w:val="18"/>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rFonts w:ascii="Arial" w:cs="Arial" w:eastAsia="Arial" w:hAnsi="Arial"/>
                <w:sz w:val="18"/>
                <w:szCs w:val="18"/>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rFonts w:ascii="Arial" w:cs="Arial" w:eastAsia="Arial" w:hAnsi="Arial"/>
                <w:sz w:val="18"/>
                <w:szCs w:val="18"/>
              </w:rPr>
              <w:t xml:space="preserve">75</w:t>
            </w:r>
          </w:p>
        </w:tc>
        <w:tc>
          <w:tcPr>
            <w:tcW w:type="dxa" w:w="76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r>
              <w:rPr>
                <w:rFonts w:ascii="Arial" w:cs="Arial" w:eastAsia="Arial" w:hAnsi="Arial"/>
                <w:sz w:val="18"/>
                <w:szCs w:val="18"/>
              </w:rPr>
              <w:t xml:space="preserve">30-day review Jan 28</w:t>
            </w:r>
          </w:p>
        </w:tc>
        <w:tc>
          <w:tcPr>
            <w:tcW w:type="dxa" w:w="8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r>
              <w:rPr>
                <w:rFonts w:ascii="Arial" w:cs="Arial" w:eastAsia="Arial" w:hAnsi="Arial"/>
                <w:sz w:val="18"/>
                <w:szCs w:val="18"/>
              </w:rPr>
              <w:t xml:space="preserve">25</w:t>
            </w:r>
          </w:p>
        </w:tc>
        <w:tc>
          <w:tcPr>
            <w:tcW w:type="dxa" w:w="8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r>
              <w:rPr>
                <w:rFonts w:ascii="Arial" w:cs="Arial" w:eastAsia="Arial" w:hAnsi="Arial"/>
                <w:sz w:val="18"/>
                <w:szCs w:val="18"/>
              </w:rPr>
              <w:t xml:space="preserve">15</w:t>
            </w:r>
          </w:p>
        </w:tc>
        <w:tc>
          <w:tcPr>
            <w:tcW w:type="dxa" w:w="8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r>
              <w:rPr>
                <w:rFonts w:ascii="Arial" w:cs="Arial" w:eastAsia="Arial" w:hAnsi="Arial"/>
                <w:sz w:val="18"/>
                <w:szCs w:val="18"/>
              </w:rPr>
              <w:t xml:space="preserve">15</w:t>
            </w:r>
          </w:p>
        </w:tc>
        <w:tc>
          <w:tcPr>
            <w:tcW w:type="dxa" w:w="8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r>
              <w:rPr>
                <w:rFonts w:ascii="Arial" w:cs="Arial" w:eastAsia="Arial" w:hAnsi="Arial"/>
                <w:sz w:val="18"/>
                <w:szCs w:val="18"/>
              </w:rPr>
              <w:t xml:space="preserve">5</w:t>
            </w:r>
          </w:p>
        </w:tc>
        <w:tc>
          <w:tcPr>
            <w:tcW w:type="dxa" w:w="80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r>
              <w:rPr>
                <w:rFonts w:ascii="Arial" w:cs="Arial" w:eastAsia="Arial" w:hAnsi="Arial"/>
                <w:sz w:val="18"/>
                <w:szCs w:val="18"/>
              </w:rPr>
              <w:t xml:space="preserve">80</w:t>
            </w:r>
          </w:p>
        </w:tc>
        <w:tc>
          <w:tcPr>
            <w:tcW w:type="dxa" w:w="760"/>
            <w:tcBorders>
              <w:top w:val="single" w:color="CCCCCC" w:sz="1"/>
              <w:left w:val="single" w:color="CCCCCC" w:sz="1"/>
              <w:bottom w:val="single" w:color="CCCCCC" w:sz="1"/>
              <w:right w:val="single" w:color="CCCCCC" w:sz="1"/>
            </w:tcBorders>
            <w:shd w:fill="F2F2F2" w:val="clear"/>
            <w:tcMar>
              <w:top w:type="dxa" w:w="60"/>
              <w:left w:type="dxa" w:w="60"/>
              <w:bottom w:type="dxa" w:w="60"/>
              <w:right w:type="dxa" w:w="6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FE8E8" w:val="clear"/>
            <w:tcMar>
              <w:top w:type="dxa" w:w="60"/>
              <w:left w:type="dxa" w:w="60"/>
              <w:bottom w:type="dxa" w:w="60"/>
              <w:right w:type="dxa" w:w="60"/>
            </w:tcMar>
          </w:tcPr>
          <w:p>
            <w:r>
              <w:rPr>
                <w:rFonts w:ascii="Arial" w:cs="Arial" w:eastAsia="Arial" w:hAnsi="Arial"/>
                <w:sz w:val="18"/>
                <w:szCs w:val="18"/>
              </w:rPr>
              <w:t xml:space="preserve">Post-fall Feb 28</w:t>
            </w:r>
          </w:p>
        </w:tc>
        <w:tc>
          <w:tcPr>
            <w:tcW w:type="dxa" w:w="800"/>
            <w:tcBorders>
              <w:top w:val="single" w:color="CCCCCC" w:sz="1"/>
              <w:left w:val="single" w:color="CCCCCC" w:sz="1"/>
              <w:bottom w:val="single" w:color="CCCCCC" w:sz="1"/>
              <w:right w:val="single" w:color="CCCCCC" w:sz="1"/>
            </w:tcBorders>
            <w:shd w:fill="FFE8E8" w:val="clear"/>
            <w:tcMar>
              <w:top w:type="dxa" w:w="60"/>
              <w:left w:type="dxa" w:w="60"/>
              <w:bottom w:type="dxa" w:w="60"/>
              <w:right w:type="dxa" w:w="60"/>
            </w:tcMar>
          </w:tcPr>
          <w:p>
            <w:r>
              <w:rPr>
                <w:rFonts w:ascii="Arial" w:cs="Arial" w:eastAsia="Arial" w:hAnsi="Arial"/>
                <w:sz w:val="18"/>
                <w:szCs w:val="18"/>
              </w:rPr>
              <w:t xml:space="preserve">25</w:t>
            </w:r>
          </w:p>
        </w:tc>
        <w:tc>
          <w:tcPr>
            <w:tcW w:type="dxa" w:w="800"/>
            <w:tcBorders>
              <w:top w:val="single" w:color="CCCCCC" w:sz="1"/>
              <w:left w:val="single" w:color="CCCCCC" w:sz="1"/>
              <w:bottom w:val="single" w:color="CCCCCC" w:sz="1"/>
              <w:right w:val="single" w:color="CCCCCC" w:sz="1"/>
            </w:tcBorders>
            <w:shd w:fill="FFE8E8" w:val="clear"/>
            <w:tcMar>
              <w:top w:type="dxa" w:w="60"/>
              <w:left w:type="dxa" w:w="60"/>
              <w:bottom w:type="dxa" w:w="60"/>
              <w:right w:type="dxa" w:w="60"/>
            </w:tcMar>
          </w:tcPr>
          <w:p>
            <w:r>
              <w:rPr>
                <w:rFonts w:ascii="Arial" w:cs="Arial" w:eastAsia="Arial" w:hAnsi="Arial"/>
                <w:sz w:val="18"/>
                <w:szCs w:val="18"/>
              </w:rPr>
              <w:t xml:space="preserve">15</w:t>
            </w:r>
          </w:p>
        </w:tc>
        <w:tc>
          <w:tcPr>
            <w:tcW w:type="dxa" w:w="800"/>
            <w:tcBorders>
              <w:top w:val="single" w:color="CCCCCC" w:sz="1"/>
              <w:left w:val="single" w:color="CCCCCC" w:sz="1"/>
              <w:bottom w:val="single" w:color="CCCCCC" w:sz="1"/>
              <w:right w:val="single" w:color="CCCCCC" w:sz="1"/>
            </w:tcBorders>
            <w:shd w:fill="FFE8E8" w:val="clear"/>
            <w:tcMar>
              <w:top w:type="dxa" w:w="60"/>
              <w:left w:type="dxa" w:w="60"/>
              <w:bottom w:type="dxa" w:w="60"/>
              <w:right w:type="dxa" w:w="60"/>
            </w:tcMar>
          </w:tcPr>
          <w:p>
            <w:r>
              <w:rPr>
                <w:rFonts w:ascii="Arial" w:cs="Arial" w:eastAsia="Arial" w:hAnsi="Arial"/>
                <w:sz w:val="18"/>
                <w:szCs w:val="18"/>
              </w:rPr>
              <w:t xml:space="preserve">15</w:t>
            </w:r>
          </w:p>
        </w:tc>
        <w:tc>
          <w:tcPr>
            <w:tcW w:type="dxa" w:w="800"/>
            <w:tcBorders>
              <w:top w:val="single" w:color="CCCCCC" w:sz="1"/>
              <w:left w:val="single" w:color="CCCCCC" w:sz="1"/>
              <w:bottom w:val="single" w:color="CCCCCC" w:sz="1"/>
              <w:right w:val="single" w:color="CCCCCC" w:sz="1"/>
            </w:tcBorders>
            <w:shd w:fill="FFE8E8" w:val="clear"/>
            <w:tcMar>
              <w:top w:type="dxa" w:w="60"/>
              <w:left w:type="dxa" w:w="60"/>
              <w:bottom w:type="dxa" w:w="60"/>
              <w:right w:type="dxa" w:w="60"/>
            </w:tcMar>
          </w:tcPr>
          <w:p>
            <w:r>
              <w:rPr>
                <w:rFonts w:ascii="Arial" w:cs="Arial" w:eastAsia="Arial" w:hAnsi="Arial"/>
                <w:sz w:val="18"/>
                <w:szCs w:val="18"/>
              </w:rPr>
              <w:t xml:space="preserve">20</w:t>
            </w:r>
          </w:p>
        </w:tc>
        <w:tc>
          <w:tcPr>
            <w:tcW w:type="dxa" w:w="800"/>
            <w:tcBorders>
              <w:top w:val="single" w:color="CCCCCC" w:sz="1"/>
              <w:left w:val="single" w:color="CCCCCC" w:sz="1"/>
              <w:bottom w:val="single" w:color="CCCCCC" w:sz="1"/>
              <w:right w:val="single" w:color="CCCCCC" w:sz="1"/>
            </w:tcBorders>
            <w:shd w:fill="FFE8E8" w:val="clear"/>
            <w:tcMar>
              <w:top w:type="dxa" w:w="60"/>
              <w:left w:type="dxa" w:w="60"/>
              <w:bottom w:type="dxa" w:w="60"/>
              <w:right w:type="dxa" w:w="60"/>
            </w:tcMar>
          </w:tcPr>
          <w:p>
            <w:r>
              <w:rPr>
                <w:rFonts w:ascii="Arial" w:cs="Arial" w:eastAsia="Arial" w:hAnsi="Arial"/>
                <w:sz w:val="18"/>
                <w:szCs w:val="18"/>
              </w:rPr>
              <w:t xml:space="preserve">0</w:t>
            </w:r>
          </w:p>
        </w:tc>
        <w:tc>
          <w:tcPr>
            <w:tcW w:type="dxa" w:w="800"/>
            <w:tcBorders>
              <w:top w:val="single" w:color="CCCCCC" w:sz="1"/>
              <w:left w:val="single" w:color="CCCCCC" w:sz="1"/>
              <w:bottom w:val="single" w:color="CCCCCC" w:sz="1"/>
              <w:right w:val="single" w:color="CCCCCC" w:sz="1"/>
            </w:tcBorders>
            <w:shd w:fill="FFE8E8" w:val="clear"/>
            <w:tcMar>
              <w:top w:type="dxa" w:w="60"/>
              <w:left w:type="dxa" w:w="60"/>
              <w:bottom w:type="dxa" w:w="60"/>
              <w:right w:type="dxa" w:w="60"/>
            </w:tcMar>
          </w:tcPr>
          <w:p>
            <w:r>
              <w:rPr>
                <w:rFonts w:ascii="Arial" w:cs="Arial" w:eastAsia="Arial" w:hAnsi="Arial"/>
                <w:sz w:val="18"/>
                <w:szCs w:val="18"/>
              </w:rPr>
              <w:t xml:space="preserve">5</w:t>
            </w:r>
          </w:p>
        </w:tc>
        <w:tc>
          <w:tcPr>
            <w:tcW w:type="dxa" w:w="800"/>
            <w:tcBorders>
              <w:top w:val="single" w:color="CCCCCC" w:sz="1"/>
              <w:left w:val="single" w:color="CCCCCC" w:sz="1"/>
              <w:bottom w:val="single" w:color="CCCCCC" w:sz="1"/>
              <w:right w:val="single" w:color="CCCCCC" w:sz="1"/>
            </w:tcBorders>
            <w:shd w:fill="FFE8E8" w:val="clear"/>
            <w:tcMar>
              <w:top w:type="dxa" w:w="60"/>
              <w:left w:type="dxa" w:w="60"/>
              <w:bottom w:type="dxa" w:w="60"/>
              <w:right w:type="dxa" w:w="60"/>
            </w:tcMar>
          </w:tcPr>
          <w:p>
            <w:r>
              <w:rPr>
                <w:rFonts w:ascii="Arial" w:cs="Arial" w:eastAsia="Arial" w:hAnsi="Arial"/>
                <w:sz w:val="18"/>
                <w:szCs w:val="18"/>
              </w:rPr>
              <w:t xml:space="preserve">80</w:t>
            </w:r>
          </w:p>
        </w:tc>
        <w:tc>
          <w:tcPr>
            <w:tcW w:type="dxa" w:w="760"/>
            <w:tcBorders>
              <w:top w:val="single" w:color="CCCCCC" w:sz="1"/>
              <w:left w:val="single" w:color="CCCCCC" w:sz="1"/>
              <w:bottom w:val="single" w:color="CCCCCC" w:sz="1"/>
              <w:right w:val="single" w:color="CCCCCC" w:sz="1"/>
            </w:tcBorders>
            <w:shd w:fill="FFE8E8" w:val="clear"/>
            <w:tcMar>
              <w:top w:type="dxa" w:w="60"/>
              <w:left w:type="dxa" w:w="60"/>
              <w:bottom w:type="dxa" w:w="60"/>
              <w:right w:type="dxa" w:w="60"/>
            </w:tcMar>
          </w:tcPr>
          <w:p>
            <w:r>
              <w:rPr>
                <w:rFonts w:ascii="Arial" w:cs="Arial" w:eastAsia="Arial" w:hAnsi="Arial"/>
                <w:sz w:val="18"/>
                <w:szCs w:val="18"/>
              </w:rPr>
              <w:t xml:space="preserve">HIGH</w:t>
            </w:r>
          </w:p>
        </w:tc>
      </w:tr>
    </w:tbl>
    <w:p>
      <w:pPr>
        <w:spacing w:before="40" w:after="80"/>
      </w:pPr>
      <w:r>
        <w:rPr>
          <w:rFonts w:ascii="Arial" w:cs="Arial" w:eastAsia="Arial" w:hAnsi="Arial"/>
        </w:rPr>
        <w:t xml:space="preserve">MFS factors: </w:t>
      </w:r>
      <w:r>
        <w:rPr>
          <w:rFonts w:ascii="Arial" w:cs="Arial" w:eastAsia="Arial" w:hAnsi="Arial"/>
          <w:b/>
          <w:bCs/>
        </w:rPr>
        <w:t xml:space="preserve">Fall History </w:t>
      </w:r>
      <w:r>
        <w:rPr>
          <w:rFonts w:ascii="Arial" w:cs="Arial" w:eastAsia="Arial" w:hAnsi="Arial"/>
        </w:rPr>
        <w:t xml:space="preserve">(25 pts if yes), </w:t>
      </w:r>
      <w:r>
        <w:rPr>
          <w:rFonts w:ascii="Arial" w:cs="Arial" w:eastAsia="Arial" w:hAnsi="Arial"/>
          <w:b/>
          <w:bCs/>
        </w:rPr>
        <w:t xml:space="preserve">Secondary Diagnosis </w:t>
      </w:r>
      <w:r>
        <w:rPr>
          <w:rFonts w:ascii="Arial" w:cs="Arial" w:eastAsia="Arial" w:hAnsi="Arial"/>
        </w:rPr>
        <w:t xml:space="preserve">(15 pts), </w:t>
      </w:r>
      <w:r>
        <w:rPr>
          <w:rFonts w:ascii="Arial" w:cs="Arial" w:eastAsia="Arial" w:hAnsi="Arial"/>
          <w:b/>
          <w:bCs/>
        </w:rPr>
        <w:t xml:space="preserve">Ambulatory Aid </w:t>
      </w:r>
      <w:r>
        <w:rPr>
          <w:rFonts w:ascii="Arial" w:cs="Arial" w:eastAsia="Arial" w:hAnsi="Arial"/>
        </w:rPr>
        <w:t xml:space="preserve">(0-30 pts), </w:t>
      </w:r>
      <w:r>
        <w:rPr>
          <w:rFonts w:ascii="Arial" w:cs="Arial" w:eastAsia="Arial" w:hAnsi="Arial"/>
          <w:b/>
          <w:bCs/>
        </w:rPr>
        <w:t xml:space="preserve">IV/Heparin Lock </w:t>
      </w:r>
      <w:r>
        <w:rPr>
          <w:rFonts w:ascii="Arial" w:cs="Arial" w:eastAsia="Arial" w:hAnsi="Arial"/>
        </w:rPr>
        <w:t xml:space="preserve">(20 pts), </w:t>
      </w:r>
      <w:r>
        <w:rPr>
          <w:rFonts w:ascii="Arial" w:cs="Arial" w:eastAsia="Arial" w:hAnsi="Arial"/>
          <w:b/>
          <w:bCs/>
        </w:rPr>
        <w:t xml:space="preserve">Gait </w:t>
      </w:r>
      <w:r>
        <w:rPr>
          <w:rFonts w:ascii="Arial" w:cs="Arial" w:eastAsia="Arial" w:hAnsi="Arial"/>
        </w:rPr>
        <w:t xml:space="preserve">(0-20 pts), </w:t>
      </w:r>
      <w:r>
        <w:rPr>
          <w:rFonts w:ascii="Arial" w:cs="Arial" w:eastAsia="Arial" w:hAnsi="Arial"/>
          <w:b/>
          <w:bCs/>
        </w:rPr>
        <w:t xml:space="preserve">Mental Status </w:t>
      </w:r>
      <w:r>
        <w:rPr>
          <w:rFonts w:ascii="Arial" w:cs="Arial" w:eastAsia="Arial" w:hAnsi="Arial"/>
        </w:rPr>
        <w:t xml:space="preserve">(0-15 pts).</w:t>
      </w:r>
    </w:p>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8  Incident Reporting</w:t>
      </w:r>
    </w:p>
    <w:p>
      <w:pPr>
        <w:spacing w:before="40" w:after="80"/>
      </w:pPr>
      <w:r>
        <w:rPr>
          <w:rFonts w:ascii="Arial" w:cs="Arial" w:eastAsia="Arial" w:hAnsi="Arial"/>
        </w:rPr>
        <w:t xml:space="preserve">Incident reports are stored in </w:t>
      </w:r>
      <w:r>
        <w:rPr>
          <w:rFonts w:ascii="Arial" w:cs="Arial" w:eastAsia="Arial" w:hAnsi="Arial"/>
          <w:b/>
          <w:bCs/>
        </w:rPr>
        <w:t xml:space="preserve">oei_incident</w:t>
      </w:r>
      <w:r>
        <w:rPr>
          <w:rFonts w:ascii="Arial" w:cs="Arial" w:eastAsia="Arial" w:hAnsi="Arial"/>
        </w:rPr>
        <w:t xml:space="preserve">. The system supports mandatory state reporting flags, corrective action documentation, and severity classification. Each incident triggers a flag on the Resident Board and Shift Handoff report.</w:t>
      </w:r>
    </w:p>
    <w:p>
      <w:pPr>
        <w:pStyle w:val="Heading2"/>
        <w:spacing w:before="240" w:after="80"/>
      </w:pPr>
      <w:r>
        <w:rPr>
          <w:rFonts w:ascii="Arial" w:cs="Arial" w:eastAsia="Arial" w:hAnsi="Arial"/>
          <w:b/>
          <w:bCs/>
          <w:color w:val="40916C"/>
          <w:sz w:val="26"/>
          <w:szCs w:val="26"/>
        </w:rPr>
        <w:t xml:space="preserve">8.1  Harold Steinberg — Fall with Injury (February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Incident type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FALL_INJURY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Severity</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Location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Wing B, Room B-201, beside bed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Narrative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Resident found on floor during AM care check. Unwitnessed. Alert x2 on assessment. No LOC. 2 cm laceration right forearm, mild bruising right hip. X-ray ordered. Physician and family notified.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Corrective action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Assisted to bed. Wound cleaned and dressed. Neuro checks q1h x4h. Bed at lowest position, floor mat placed. Fall alarm re-evaluated. PT to reassess ambulation safety. Care plan goal updated.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Mandatory report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PENDING — await physician review and final determination.</w:t>
            </w:r>
          </w:p>
        </w:tc>
      </w:tr>
    </w:tbl>
    <w:p>
      <w:pPr>
        <w:pStyle w:val="Heading2"/>
        <w:spacing w:before="240" w:after="80"/>
      </w:pPr>
      <w:r>
        <w:rPr>
          <w:rFonts w:ascii="Arial" w:cs="Arial" w:eastAsia="Arial" w:hAnsi="Arial"/>
          <w:b/>
          <w:bCs/>
          <w:color w:val="40916C"/>
          <w:sz w:val="26"/>
          <w:szCs w:val="26"/>
        </w:rPr>
        <w:t xml:space="preserve">8.2  Incident-to-Discharge Escalation Path</w:t>
      </w:r>
    </w:p>
    <w:p>
      <w:pPr>
        <w:pStyle w:val="ListParagraph"/>
        <w:numPr>
          <w:ilvl w:val="0"/>
          <w:numId w:val="2"/>
        </w:numPr>
        <w:spacing w:before="20" w:after="40"/>
      </w:pPr>
      <w:r>
        <w:rPr>
          <w:rFonts w:ascii="Arial" w:cs="Arial" w:eastAsia="Arial" w:hAnsi="Arial"/>
          <w:b/>
          <w:bCs/>
        </w:rPr>
        <w:t xml:space="preserve">Fall with no injury: </w:t>
      </w:r>
      <w:r>
        <w:rPr>
          <w:rFonts w:ascii="Arial" w:cs="Arial" w:eastAsia="Arial" w:hAnsi="Arial"/>
        </w:rPr>
        <w:t xml:space="preserve">Incident logged, PT notified, bed alarm adjusted. Episode stays active.</w:t>
      </w:r>
    </w:p>
    <w:p>
      <w:pPr>
        <w:pStyle w:val="ListParagraph"/>
        <w:numPr>
          <w:ilvl w:val="0"/>
          <w:numId w:val="2"/>
        </w:numPr>
        <w:spacing w:before="20" w:after="40"/>
      </w:pPr>
      <w:r>
        <w:rPr>
          <w:rFonts w:ascii="Arial" w:cs="Arial" w:eastAsia="Arial" w:hAnsi="Arial"/>
          <w:b/>
          <w:bCs/>
        </w:rPr>
        <w:t xml:space="preserve">Fall with injury requiring imaging: </w:t>
      </w:r>
      <w:r>
        <w:rPr>
          <w:rFonts w:ascii="Arial" w:cs="Arial" w:eastAsia="Arial" w:hAnsi="Arial"/>
        </w:rPr>
        <w:t xml:space="preserve">Incident logged + hospital evaluation disposition created. If fracture confirmed, episode closes as HOSPITAL_TRANSFER with HL7 A03 fired.</w:t>
      </w:r>
    </w:p>
    <w:p>
      <w:pPr>
        <w:pStyle w:val="ListParagraph"/>
        <w:numPr>
          <w:ilvl w:val="0"/>
          <w:numId w:val="2"/>
        </w:numPr>
        <w:spacing w:before="20" w:after="40"/>
      </w:pPr>
      <w:r>
        <w:rPr>
          <w:rFonts w:ascii="Arial" w:cs="Arial" w:eastAsia="Arial" w:hAnsi="Arial"/>
          <w:b/>
          <w:bCs/>
        </w:rPr>
        <w:t xml:space="preserve">Medication error, no harm: </w:t>
      </w:r>
      <w:r>
        <w:rPr>
          <w:rFonts w:ascii="Arial" w:cs="Arial" w:eastAsia="Arial" w:hAnsi="Arial"/>
        </w:rPr>
        <w:t xml:space="preserve">Incident logged, pharmacy notified, corrective action documented. Mandatory report = NOT REQUIRED.</w:t>
      </w:r>
    </w:p>
    <w:p>
      <w:pPr>
        <w:pStyle w:val="ListParagraph"/>
        <w:numPr>
          <w:ilvl w:val="0"/>
          <w:numId w:val="2"/>
        </w:numPr>
        <w:spacing w:before="20" w:after="40"/>
      </w:pPr>
      <w:r>
        <w:rPr>
          <w:rFonts w:ascii="Arial" w:cs="Arial" w:eastAsia="Arial" w:hAnsi="Arial"/>
          <w:b/>
          <w:bCs/>
        </w:rPr>
        <w:t xml:space="preserve">Elopement: </w:t>
      </w:r>
      <w:r>
        <w:rPr>
          <w:rFonts w:ascii="Arial" w:cs="Arial" w:eastAsia="Arial" w:hAnsi="Arial"/>
        </w:rPr>
        <w:t xml:space="preserve">Incident logged, mandatory report triggered automatically, law enforcement contact field populated.</w:t>
      </w:r>
    </w:p>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9  Care Plans</w:t>
      </w:r>
    </w:p>
    <w:p>
      <w:pPr>
        <w:spacing w:before="40" w:after="80"/>
      </w:pPr>
      <w:r>
        <w:rPr>
          <w:rFonts w:ascii="Arial" w:cs="Arial" w:eastAsia="Arial" w:hAnsi="Arial"/>
        </w:rPr>
        <w:t xml:space="preserve">Care plans are stored in OpenEMR's native </w:t>
      </w:r>
      <w:r>
        <w:rPr>
          <w:rFonts w:ascii="Arial" w:cs="Arial" w:eastAsia="Arial" w:hAnsi="Arial"/>
          <w:b/>
          <w:bCs/>
        </w:rPr>
        <w:t xml:space="preserve">form_care_plan</w:t>
      </w:r>
      <w:r>
        <w:rPr>
          <w:rFonts w:ascii="Arial" w:cs="Arial" w:eastAsia="Arial" w:hAnsi="Arial"/>
        </w:rPr>
        <w:t xml:space="preserve"> table, anchored to the form_encounter created at admission. This makes all goals and activities exportable via </w:t>
      </w:r>
      <w:r>
        <w:rPr>
          <w:rFonts w:ascii="Arial" w:cs="Arial" w:eastAsia="Arial" w:hAnsi="Arial"/>
          <w:b/>
          <w:bCs/>
        </w:rPr>
        <w:t xml:space="preserve">CCDA and FHIR</w:t>
      </w:r>
      <w:r>
        <w:rPr>
          <w:rFonts w:ascii="Arial" w:cs="Arial" w:eastAsia="Arial" w:hAnsi="Arial"/>
        </w:rPr>
        <w:t xml:space="preserve"> without any custom integration, satisfying USCDI v3 care coordination requirements.</w:t>
      </w:r>
    </w:p>
    <w:p>
      <w:pPr>
        <w:pStyle w:val="Heading2"/>
        <w:spacing w:before="240" w:after="80"/>
      </w:pPr>
      <w:r>
        <w:rPr>
          <w:rFonts w:ascii="Arial" w:cs="Arial" w:eastAsia="Arial" w:hAnsi="Arial"/>
          <w:b/>
          <w:bCs/>
          <w:color w:val="40916C"/>
          <w:sz w:val="26"/>
          <w:szCs w:val="26"/>
        </w:rPr>
        <w:t xml:space="preserve">9.1  Sample Care Plans by Resident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700"/>
        <w:gridCol w:w="4360"/>
        <w:gridCol w:w="3300"/>
      </w:tblGrid>
      <w:tr>
        <w:trPr>
          <w:tblHeader/>
        </w:trPr>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Resident</w:t>
            </w:r>
          </w:p>
        </w:tc>
        <w:tc>
          <w:tcPr>
            <w:tcW w:type="dxa" w:w="4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Goal</w:t>
            </w:r>
          </w:p>
        </w:tc>
        <w:tc>
          <w:tcPr>
            <w:tcW w:type="dxa" w:w="33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Activity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Eleanor Hartwell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fall events — maintain Morse score &lt;80 via safety protocol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music therapy (proven behavioral calming); bed alarm active; PT 3x/week</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George Calloway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Walk 150 ft with walker independently — discharge to home at day 60</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PT/OT twice weekly; opioid taper by day 28; stair training before discharge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Ruth Okonkwo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Inhaler adherence 100% — SpO2 ≥95% at all times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BID inhaler administration per schedule; daily SpO2 monitoring; COPD education class</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Harold Steinberg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Zero aspiration events; reduce falls from 2/month to 0/month</w:t>
            </w:r>
          </w:p>
        </w:tc>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Thickened liquids only; supervised meals; carbidopa/levodopa within 30-min window</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Dorothy Vasquez</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Daily weight within 2 lb of baseline; FBG 80-180 mg/dL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1500 mL fluid restriction; 2g sodium diet; daily weight log; insulin sliding scale</w:t>
            </w:r>
          </w:p>
        </w:tc>
      </w:tr>
    </w:tbl>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10  Shift Handoff Report</w:t>
      </w:r>
    </w:p>
    <w:p>
      <w:pPr>
        <w:spacing w:before="40" w:after="80"/>
      </w:pPr>
      <w:r>
        <w:rPr>
          <w:rFonts w:ascii="Arial" w:cs="Arial" w:eastAsia="Arial" w:hAnsi="Arial"/>
        </w:rPr>
        <w:t xml:space="preserve">The </w:t>
      </w:r>
      <w:r>
        <w:rPr>
          <w:rFonts w:ascii="Arial" w:cs="Arial" w:eastAsia="Arial" w:hAnsi="Arial"/>
          <w:b/>
          <w:bCs/>
        </w:rPr>
        <w:t xml:space="preserve">Shift Handoff</w:t>
      </w:r>
      <w:r>
        <w:rPr>
          <w:rFonts w:ascii="Arial" w:cs="Arial" w:eastAsia="Arial" w:hAnsi="Arial"/>
        </w:rPr>
        <w:t xml:space="preserve"> screen generates a single-query facility-wide snapshot for the oncoming shift. Each row contains identity, room, care level, latest vitals summary, ADL score label, MAR pending count, open incidents, discharge plans, most recent care plan goal, and days since fall reassessment. Rows are sorted by unit and room.</w:t>
      </w:r>
    </w:p>
    <w:p>
      <w:pPr>
        <w:pStyle w:val="Heading2"/>
        <w:spacing w:before="240" w:after="80"/>
      </w:pPr>
      <w:r>
        <w:rPr>
          <w:rFonts w:ascii="Arial" w:cs="Arial" w:eastAsia="Arial" w:hAnsi="Arial"/>
          <w:b/>
          <w:bCs/>
          <w:color w:val="40916C"/>
          <w:sz w:val="26"/>
          <w:szCs w:val="26"/>
        </w:rPr>
        <w:t xml:space="preserve">10.1  Sample Handoff — Morning Shift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1500"/>
        <w:gridCol w:w="800"/>
        <w:gridCol w:w="900"/>
        <w:gridCol w:w="1200"/>
        <w:gridCol w:w="1000"/>
        <w:gridCol w:w="1200"/>
        <w:gridCol w:w="1400"/>
        <w:gridCol w:w="1360"/>
      </w:tblGrid>
      <w:tr>
        <w:trPr>
          <w:tblHeader/>
        </w:trPr>
        <w:tc>
          <w:tcPr>
            <w:tcW w:type="dxa" w:w="1500"/>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r>
              <w:rPr>
                <w:rFonts w:ascii="Arial" w:cs="Arial" w:eastAsia="Arial" w:hAnsi="Arial"/>
                <w:b/>
                <w:bCs/>
                <w:color w:val="FFFFFF"/>
                <w:sz w:val="16"/>
                <w:szCs w:val="16"/>
              </w:rPr>
              <w:t xml:space="preserve">Resident</w:t>
            </w:r>
          </w:p>
        </w:tc>
        <w:tc>
          <w:tcPr>
            <w:tcW w:type="dxa" w:w="800"/>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r>
              <w:rPr>
                <w:rFonts w:ascii="Arial" w:cs="Arial" w:eastAsia="Arial" w:hAnsi="Arial"/>
                <w:b/>
                <w:bCs/>
                <w:color w:val="FFFFFF"/>
                <w:sz w:val="16"/>
                <w:szCs w:val="16"/>
              </w:rPr>
              <w:t xml:space="preserve">Room</w:t>
            </w:r>
          </w:p>
        </w:tc>
        <w:tc>
          <w:tcPr>
            <w:tcW w:type="dxa" w:w="900"/>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r>
              <w:rPr>
                <w:rFonts w:ascii="Arial" w:cs="Arial" w:eastAsia="Arial" w:hAnsi="Arial"/>
                <w:b/>
                <w:bCs/>
                <w:color w:val="FFFFFF"/>
                <w:sz w:val="16"/>
                <w:szCs w:val="16"/>
              </w:rPr>
              <w:t xml:space="preserve">Care Lvl</w:t>
            </w:r>
          </w:p>
        </w:tc>
        <w:tc>
          <w:tcPr>
            <w:tcW w:type="dxa" w:w="1200"/>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r>
              <w:rPr>
                <w:rFonts w:ascii="Arial" w:cs="Arial" w:eastAsia="Arial" w:hAnsi="Arial"/>
                <w:b/>
                <w:bCs/>
                <w:color w:val="FFFFFF"/>
                <w:sz w:val="16"/>
                <w:szCs w:val="16"/>
              </w:rPr>
              <w:t xml:space="preserve">Vitals (last)</w:t>
            </w:r>
          </w:p>
        </w:tc>
        <w:tc>
          <w:tcPr>
            <w:tcW w:type="dxa" w:w="1000"/>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r>
              <w:rPr>
                <w:rFonts w:ascii="Arial" w:cs="Arial" w:eastAsia="Arial" w:hAnsi="Arial"/>
                <w:b/>
                <w:bCs/>
                <w:color w:val="FFFFFF"/>
                <w:sz w:val="16"/>
                <w:szCs w:val="16"/>
              </w:rPr>
              <w:t xml:space="preserve">ADL</w:t>
            </w:r>
          </w:p>
        </w:tc>
        <w:tc>
          <w:tcPr>
            <w:tcW w:type="dxa" w:w="1200"/>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r>
              <w:rPr>
                <w:rFonts w:ascii="Arial" w:cs="Arial" w:eastAsia="Arial" w:hAnsi="Arial"/>
                <w:b/>
                <w:bCs/>
                <w:color w:val="FFFFFF"/>
                <w:sz w:val="16"/>
                <w:szCs w:val="16"/>
              </w:rPr>
              <w:t xml:space="preserve">MAR Pending</w:t>
            </w:r>
          </w:p>
        </w:tc>
        <w:tc>
          <w:tcPr>
            <w:tcW w:type="dxa" w:w="1400"/>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r>
              <w:rPr>
                <w:rFonts w:ascii="Arial" w:cs="Arial" w:eastAsia="Arial" w:hAnsi="Arial"/>
                <w:b/>
                <w:bCs/>
                <w:color w:val="FFFFFF"/>
                <w:sz w:val="16"/>
                <w:szCs w:val="16"/>
              </w:rPr>
              <w:t xml:space="preserve">Flags</w:t>
            </w:r>
          </w:p>
        </w:tc>
        <w:tc>
          <w:tcPr>
            <w:tcW w:type="dxa" w:w="1360"/>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r>
              <w:rPr>
                <w:rFonts w:ascii="Arial" w:cs="Arial" w:eastAsia="Arial" w:hAnsi="Arial"/>
                <w:b/>
                <w:bCs/>
                <w:color w:val="FFFFFF"/>
                <w:sz w:val="16"/>
                <w:szCs w:val="16"/>
              </w:rPr>
              <w:t xml:space="preserve">Plan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Eleanor Hartwell</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A-101</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TIER 3</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142/88 HR74</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High assist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SNF transfer</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Awaiting bed at Springfield Memory Care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George Calloway</w:t>
            </w:r>
          </w:p>
        </w:tc>
        <w:tc>
          <w:tcPr>
            <w:tcW w:type="dxa" w:w="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A-104</w:t>
            </w:r>
          </w:p>
        </w:tc>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TIER 2</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124/78 HR72</w:t>
            </w:r>
          </w:p>
        </w:tc>
        <w:tc>
          <w:tcPr>
            <w:tcW w:type="dxa" w:w="10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Mod assist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Discharge d60</w:t>
            </w:r>
          </w:p>
        </w:tc>
        <w:tc>
          <w:tcPr>
            <w:tcW w:type="dxa" w:w="1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Home PT confirmed</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Ruth Okonkwo</w:t>
            </w:r>
          </w:p>
        </w:tc>
        <w:tc>
          <w:tcPr>
            <w:tcW w:type="dxa" w:w="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A-108</w:t>
            </w:r>
          </w:p>
        </w:tc>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TIER 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128/76 HR78</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Independent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Inhalers on schedule</w:t>
            </w:r>
          </w:p>
        </w:tc>
      </w:tr>
      <w:tr>
        <w:tc>
          <w:tcPr>
            <w:tcW w:type="dxa" w:w="15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Harold Steinberg</w:t>
            </w:r>
          </w:p>
        </w:tc>
        <w:tc>
          <w:tcPr>
            <w:tcW w:type="dxa" w:w="8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B-201</w:t>
            </w:r>
          </w:p>
        </w:tc>
        <w:tc>
          <w:tcPr>
            <w:tcW w:type="dxa" w:w="9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TIER 3</w:t>
            </w:r>
          </w:p>
        </w:tc>
        <w:tc>
          <w:tcPr>
            <w:tcW w:type="dxa" w:w="12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w:t>
            </w:r>
          </w:p>
        </w:tc>
        <w:tc>
          <w:tcPr>
            <w:tcW w:type="dxa" w:w="10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High assist</w:t>
            </w:r>
          </w:p>
        </w:tc>
        <w:tc>
          <w:tcPr>
            <w:tcW w:type="dxa" w:w="12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2</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FALL + Hosp eval</w:t>
            </w:r>
          </w:p>
        </w:tc>
        <w:tc>
          <w:tcPr>
            <w:tcW w:type="dxa" w:w="136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X-ray pending SGMC; PT hold</w:t>
            </w:r>
          </w:p>
        </w:tc>
      </w:tr>
      <w:tr>
        <w:tc>
          <w:tcPr>
            <w:tcW w:type="dxa" w:w="15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Dorothy Vasquez</w:t>
            </w:r>
          </w:p>
        </w:tc>
        <w:tc>
          <w:tcPr>
            <w:tcW w:type="dxa" w:w="8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B-205</w:t>
            </w:r>
          </w:p>
        </w:tc>
        <w:tc>
          <w:tcPr>
            <w:tcW w:type="dxa" w:w="9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TIER 2</w:t>
            </w:r>
          </w:p>
        </w:tc>
        <w:tc>
          <w:tcPr>
            <w:tcW w:type="dxa" w:w="12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148/92 HR88 SpO2 93%</w:t>
            </w:r>
          </w:p>
        </w:tc>
        <w:tc>
          <w:tcPr>
            <w:tcW w:type="dxa" w:w="10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Mod assist</w:t>
            </w:r>
          </w:p>
        </w:tc>
        <w:tc>
          <w:tcPr>
            <w:tcW w:type="dxa" w:w="12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1</w:t>
            </w:r>
          </w:p>
        </w:tc>
        <w:tc>
          <w:tcPr>
            <w:tcW w:type="dxa" w:w="140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CHF + Hosp eval</w:t>
            </w:r>
          </w:p>
        </w:tc>
        <w:tc>
          <w:tcPr>
            <w:tcW w:type="dxa" w:w="1360"/>
            <w:tcBorders>
              <w:top w:val="single" w:color="CCCCCC" w:sz="1"/>
              <w:left w:val="single" w:color="CCCCCC" w:sz="1"/>
              <w:bottom w:val="single" w:color="CCCCCC" w:sz="1"/>
              <w:right w:val="single" w:color="CCCCCC" w:sz="1"/>
            </w:tcBorders>
            <w:shd w:fill="FFE8E8" w:val="clear"/>
            <w:tcMar>
              <w:top w:type="dxa" w:w="60"/>
              <w:left w:type="dxa" w:w="80"/>
              <w:bottom w:type="dxa" w:w="60"/>
              <w:right w:type="dxa" w:w="80"/>
            </w:tcMar>
          </w:tcPr>
          <w:p>
            <w:r>
              <w:rPr>
                <w:rFonts w:ascii="Arial" w:cs="Arial" w:eastAsia="Arial" w:hAnsi="Arial"/>
                <w:sz w:val="18"/>
                <w:szCs w:val="18"/>
              </w:rPr>
              <w:t xml:space="preserve">BNP stat; Cardiology on-call</w:t>
            </w:r>
          </w:p>
        </w:tc>
      </w:tr>
    </w:tbl>
    <w:p>
      <w:pPr>
        <w:spacing w:before="40" w:after="80"/>
      </w:pPr>
      <w:r>
        <w:rPr>
          <w:rFonts w:ascii="Arial" w:cs="Arial" w:eastAsia="Arial" w:hAnsi="Arial"/>
        </w:rPr>
        <w:t xml:space="preserve">Harold and Dorothy rows are highlighted red (severity 2 — 3+ flags each). The charge nurse sees immediately which residents need priority attention without reviewing individual charts.</w:t>
      </w:r>
    </w:p>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11  Discharge &amp; Transfer Planning</w:t>
      </w:r>
    </w:p>
    <w:p>
      <w:pPr>
        <w:spacing w:before="40" w:after="80"/>
      </w:pPr>
      <w:r>
        <w:rPr>
          <w:rFonts w:ascii="Arial" w:cs="Arial" w:eastAsia="Arial" w:hAnsi="Arial"/>
        </w:rPr>
        <w:t xml:space="preserve">Discharge planning uses a </w:t>
      </w:r>
      <w:r>
        <w:rPr>
          <w:rFonts w:ascii="Arial" w:cs="Arial" w:eastAsia="Arial" w:hAnsi="Arial"/>
          <w:b/>
          <w:bCs/>
        </w:rPr>
        <w:t xml:space="preserve">two-stage model</w:t>
      </w:r>
      <w:r>
        <w:rPr>
          <w:rFonts w:ascii="Arial" w:cs="Arial" w:eastAsia="Arial" w:hAnsi="Arial"/>
        </w:rPr>
        <w:t xml:space="preserve">: first a plan is created (episode remains ACTIVE), then a departure is confirmed (episode closes, HL7 A03 fires automatically). Five different discharge pathways are illustrated across the demo residents.</w:t>
      </w:r>
    </w:p>
    <w:p>
      <w:pPr>
        <w:pStyle w:val="Heading2"/>
        <w:spacing w:before="240" w:after="80"/>
      </w:pPr>
      <w:r>
        <w:rPr>
          <w:rFonts w:ascii="Arial" w:cs="Arial" w:eastAsia="Arial" w:hAnsi="Arial"/>
          <w:b/>
          <w:bCs/>
          <w:color w:val="40916C"/>
          <w:sz w:val="26"/>
          <w:szCs w:val="26"/>
        </w:rPr>
        <w:t xml:space="preserve">11.1  Eleanor Hartwell — SNF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Disposition code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SNF_TRANSFER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Destination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Springfield Memory Care &amp; Rehabilitation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Decision date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 days ago (family meeting with Karen, POA)</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Departure confirmed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 awaiting bed availability, est. 3-7 days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Admit flag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Yes — SNF admission expected (financial paperwork submitted)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Board flag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flag_discharge active — "SNF Transfer" tag visible on board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eReferral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Neurologist discharge summary sent by fax. Receiving SNF confirmed receipt.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When confirmed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Staff clicks Confirm Departure, enters actual departure time. Episode closes, HL7 A03 fires to HIS, record archived.</w:t>
            </w:r>
          </w:p>
        </w:tc>
      </w:tr>
    </w:tbl>
    <w:p>
      <w:pPr>
        <w:pStyle w:val="Heading2"/>
        <w:spacing w:before="240" w:after="80"/>
      </w:pPr>
      <w:r>
        <w:rPr>
          <w:rFonts w:ascii="Arial" w:cs="Arial" w:eastAsia="Arial" w:hAnsi="Arial"/>
          <w:b/>
          <w:bCs/>
          <w:color w:val="40916C"/>
          <w:sz w:val="26"/>
          <w:szCs w:val="26"/>
        </w:rPr>
        <w:t xml:space="preserve">11.2  George Calloway — Home Discharge at Day 60</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Disposition code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HOME_DISCHARGE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Destination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Home with outpatient PT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Decision date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February 20, 2026 (day 28 — planned at care plan meeting)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Departure confirmed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 PT must confirm 150 ft ambulation independence by day 60</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Current 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Day 34. Ambulating 100 ft with walker. Pain 3/10. Opioid taper initiated.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Discharge criteria</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Walk 150 ft independently, pain ≤3/10, stair clearance, home safety assessment complete.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eReferral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Outpatient PT referral pre-drafted with hip ROM measurements and current functional status.</w:t>
            </w:r>
          </w:p>
        </w:tc>
      </w:tr>
    </w:tbl>
    <w:p>
      <w:pPr>
        <w:pStyle w:val="Heading2"/>
        <w:spacing w:before="240" w:after="80"/>
      </w:pPr>
      <w:r>
        <w:rPr>
          <w:rFonts w:ascii="Arial" w:cs="Arial" w:eastAsia="Arial" w:hAnsi="Arial"/>
          <w:b/>
          <w:bCs/>
          <w:color w:val="40916C"/>
          <w:sz w:val="26"/>
          <w:szCs w:val="26"/>
        </w:rPr>
        <w:t xml:space="preserve">11.3  Harold Steinberg — Hospital Evaluation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Disposition code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HOSPITAL_EVAL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Destination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Springfield General ER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Unwitnessed fall this morning — 2 cm forearm laceration, hip bruising, X-ray ordered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Departure confirmed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 awaiting X-ray results. Episode stays ACTIVE pending physician decision.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If hip fracture confirmed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Disposition upgraded to HOSPITAL_TRANSFER. Episode closes. HL7 A03 fires. Bed flagged vacant in Bed Management.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If X-ray negative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Resident returns PM. Disposition cancelled. Fall Risk reassessment performed. MAR resumed.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eReferral sent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Neurology consult referral faxed at 09:00 — Parkinson's med review, COMT inhibitor consideration.</w:t>
            </w:r>
          </w:p>
        </w:tc>
      </w:tr>
    </w:tbl>
    <w:p>
      <w:pPr>
        <w:pStyle w:val="Heading2"/>
        <w:spacing w:before="240" w:after="80"/>
      </w:pPr>
      <w:r>
        <w:rPr>
          <w:rFonts w:ascii="Arial" w:cs="Arial" w:eastAsia="Arial" w:hAnsi="Arial"/>
          <w:b/>
          <w:bCs/>
          <w:color w:val="40916C"/>
          <w:sz w:val="26"/>
          <w:szCs w:val="26"/>
        </w:rPr>
        <w:t xml:space="preserve">11.4  Dorothy Vasquez — Hospital Evaluation (CHF Decompensation)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Disposition code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HOSPITAL_EVAL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Destination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Springfield General ER — Cardiology on-call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Trigger</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Weight +2.8 lbs over 5 days. Pitting edema bilateral. SpO2 93% (baseline 96%). BNP ordered.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Departure confirmed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 — BNP results pending. If BNP &gt;500 or worsening desaturation: admit Cardiology.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Cardiology eReferral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Draft referral created to Springfield Heart Center requesting diuretic review and echo within 6 months.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Related incident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Medication error (furosemide double dose) Feb 20 — pharmacy corrective action in progress. Noted in referral clinical summary.</w:t>
            </w:r>
          </w:p>
        </w:tc>
      </w:tr>
    </w:tbl>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12  eReferral Generation</w:t>
      </w:r>
    </w:p>
    <w:p>
      <w:pPr>
        <w:spacing w:before="40" w:after="80"/>
      </w:pPr>
      <w:r>
        <w:rPr>
          <w:rFonts w:ascii="Arial" w:cs="Arial" w:eastAsia="Arial" w:hAnsi="Arial"/>
        </w:rPr>
        <w:t xml:space="preserve">The </w:t>
      </w:r>
      <w:r>
        <w:rPr>
          <w:rFonts w:ascii="Arial" w:cs="Arial" w:eastAsia="Arial" w:hAnsi="Arial"/>
          <w:b/>
          <w:bCs/>
        </w:rPr>
        <w:t xml:space="preserve">eReferral</w:t>
      </w:r>
      <w:r>
        <w:rPr>
          <w:rFonts w:ascii="Arial" w:cs="Arial" w:eastAsia="Arial" w:hAnsi="Arial"/>
        </w:rPr>
        <w:t xml:space="preserve"> submodule generates structured referral documents incorporating the resident's current medications summary, clinical narrative, and services requested. Transmission methods include FAX (most common in SNF-to-SNF), secure message, and manual download.</w:t>
      </w:r>
    </w:p>
    <w:p>
      <w:pPr>
        <w:pStyle w:val="Heading2"/>
        <w:spacing w:before="240" w:after="80"/>
      </w:pPr>
      <w:r>
        <w:rPr>
          <w:rFonts w:ascii="Arial" w:cs="Arial" w:eastAsia="Arial" w:hAnsi="Arial"/>
          <w:b/>
          <w:bCs/>
          <w:color w:val="40916C"/>
          <w:sz w:val="26"/>
          <w:szCs w:val="26"/>
        </w:rPr>
        <w:t xml:space="preserve">12.1  Referral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Referral type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DISCHARGE, SPECIALIST, DIAGNOSTIC, THERAPY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Priority</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ROUTINE, URGENT, STAT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Destination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Facility name, phone, fax, address (auto-populated from Facility Directory)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Reason for referral</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Free text — clinical indication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Clinical summary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Auto-populated from episode: diagnosis, current vitals, recent events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Medications summary</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Pulled from active MAR orders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Follow-up instructions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Expected response timeframe and post-referral monitoring plan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HL7 trigger</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SENT status triggers HL7 outbound log entry for audit trail</w:t>
            </w:r>
          </w:p>
        </w:tc>
      </w:tr>
    </w:tbl>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13  Activity &amp; Engagement Log</w:t>
      </w:r>
    </w:p>
    <w:p>
      <w:pPr>
        <w:spacing w:before="40" w:after="80"/>
      </w:pPr>
      <w:r>
        <w:rPr>
          <w:rFonts w:ascii="Arial" w:cs="Arial" w:eastAsia="Arial" w:hAnsi="Arial"/>
        </w:rPr>
        <w:t xml:space="preserve">The </w:t>
      </w:r>
      <w:r>
        <w:rPr>
          <w:rFonts w:ascii="Arial" w:cs="Arial" w:eastAsia="Arial" w:hAnsi="Arial"/>
          <w:b/>
          <w:bCs/>
        </w:rPr>
        <w:t xml:space="preserve">Activity Log</w:t>
      </w:r>
      <w:r>
        <w:rPr>
          <w:rFonts w:ascii="Arial" w:cs="Arial" w:eastAsia="Arial" w:hAnsi="Arial"/>
        </w:rPr>
        <w:t xml:space="preserve"> records group sessions and individual engagement with attendance tracked per resident. Attendance levels are FULL, PARTIAL, DECLINED, or NOT_OFFERED. Session data feeds the care plan goal tracking for residents like Harold (music therapy goal).</w:t>
      </w:r>
    </w:p>
    <w:p>
      <w:pPr>
        <w:pStyle w:val="Heading2"/>
        <w:spacing w:before="240" w:after="80"/>
      </w:pPr>
      <w:r>
        <w:rPr>
          <w:rFonts w:ascii="Arial" w:cs="Arial" w:eastAsia="Arial" w:hAnsi="Arial"/>
          <w:b/>
          <w:bCs/>
          <w:color w:val="40916C"/>
          <w:sz w:val="26"/>
          <w:szCs w:val="26"/>
        </w:rPr>
        <w:t xml:space="preserve">13.1  Weekly Activity Schedule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0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Morning Stretch</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Daily 08:30, Community Room, 20 min. Eleanor, George, Dorothy attending.</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Guitar Singalong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Monday &amp; Thursday 10:00, Music Room, 45 min. Eleanor (full — behavioral benefit noted), Harold (full — on-period response).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Bingo Social</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Wednesday &amp; Friday 14:00, Dining Room, 60 min. George, Dorothy attending. Ruth declined (low exertion preference).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Devotional</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Tuesday 15:00, Chapel, 30 min. Ruth attends consistently — preferred low-exertion activity.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8"/>
                <w:szCs w:val="18"/>
              </w:rPr>
              <w:t xml:space="preserve">PT Exercise Group</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Mon/Wed/Fri 09:00, Therapy Room, 45 min. George (full), Harold (partial — fatigue).</w:t>
            </w:r>
          </w:p>
        </w:tc>
      </w:tr>
    </w:tbl>
    <w:p>
      <w:r>
        <w:br w:type="page"/>
      </w:r>
    </w:p>
    <w:p>
      <w:pPr>
        <w:pStyle w:val="Heading1"/>
        <w:pBdr>
          <w:bottom w:val="single" w:color="40916C" w:sz="6" w:space="4"/>
        </w:pBdr>
        <w:spacing w:before="320" w:after="120"/>
      </w:pPr>
      <w:r>
        <w:rPr>
          <w:rFonts w:ascii="Arial" w:cs="Arial" w:eastAsia="Arial" w:hAnsi="Arial"/>
          <w:b/>
          <w:bCs/>
          <w:color w:val="2D6A4F"/>
          <w:sz w:val="32"/>
          <w:szCs w:val="32"/>
        </w:rPr>
        <w:t xml:space="preserve">14  System Feature Summary</w:t>
      </w:r>
    </w:p>
    <w:p>
      <w:pPr>
        <w:spacing w:before="40" w:after="80"/>
      </w:pPr>
      <w:r>
        <w:rPr>
          <w:rFonts w:ascii="Arial" w:cs="Arial" w:eastAsia="Arial" w:hAnsi="Arial"/>
        </w:rPr>
        <w:t xml:space="preserve">The table below maps each clinical workflow to its module feature flag, making it easy for administrators to enable or disable capabilities for their facility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bottom w:type="dxa" w:w="120"/>
        </w:tblCellMar>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Feature Flag</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5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18"/>
                <w:szCs w:val="18"/>
              </w:rPr>
              <w:t xml:space="preserve">Clinical 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916C"/>
                <w:sz w:val="18"/>
                <w:szCs w:val="18"/>
              </w:rPr>
              <w:t xml:space="preserve">al_board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Resident Board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Census overview with clinical flags, vitals summary, and quick actions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40916C"/>
                <w:sz w:val="18"/>
                <w:szCs w:val="18"/>
              </w:rPr>
              <w:t xml:space="preserve">al_intake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Resident Intake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Admission form — creates episode, overlay, form_encounter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916C"/>
                <w:sz w:val="18"/>
                <w:szCs w:val="18"/>
              </w:rPr>
              <w:t xml:space="preserve">al_profile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Resident Profile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Single-resident hub — all panels in one view</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40916C"/>
                <w:sz w:val="18"/>
                <w:szCs w:val="18"/>
              </w:rPr>
              <w:t xml:space="preserve">al_adl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ADL Tracking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MDS 3.0 seven-domain per-shift charting; care level computation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916C"/>
                <w:sz w:val="18"/>
                <w:szCs w:val="18"/>
              </w:rPr>
              <w:t xml:space="preserve">al_vitals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Periodic Vitals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BP, HR, SpO2, temp, weight with trend sparklines and abnormal alerts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40916C"/>
                <w:sz w:val="18"/>
                <w:szCs w:val="18"/>
              </w:rPr>
              <w:t xml:space="preserve">al_fall_risk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Fall Risk</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Morse Fall Scale with history; 30-day reassessment tracking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916C"/>
                <w:sz w:val="18"/>
                <w:szCs w:val="18"/>
              </w:rPr>
              <w:t xml:space="preserve">al_mar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Medication Admin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5-day rolling MAR grid; standing orders; GIVEN/HELD/REFUSED/OMITTED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40916C"/>
                <w:sz w:val="18"/>
                <w:szCs w:val="18"/>
              </w:rPr>
              <w:t xml:space="preserve">al_care_plan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Care Plan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FHIR/CCDA-compatible goals and activities via form_care_plan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916C"/>
                <w:sz w:val="18"/>
                <w:szCs w:val="18"/>
              </w:rPr>
              <w:t xml:space="preserve">al_incident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Incident Reports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Fall, med error, elopement with mandatory reporting workflow</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40916C"/>
                <w:sz w:val="18"/>
                <w:szCs w:val="18"/>
              </w:rPr>
              <w:t xml:space="preserve">al_discharge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Discharge Planning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Two-stage discharge/transfer; HL7 A03 on episode close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40916C"/>
                <w:sz w:val="18"/>
                <w:szCs w:val="18"/>
              </w:rPr>
              <w:t xml:space="preserve">al_activity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Activity Log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1A1A1A"/>
                <w:sz w:val="18"/>
                <w:szCs w:val="18"/>
              </w:rPr>
              <w:t xml:space="preserve">Group sessions with per-resident attendance and engagement level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color w:val="40916C"/>
                <w:sz w:val="18"/>
                <w:szCs w:val="18"/>
              </w:rPr>
              <w:t xml:space="preserve">al_handoff</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Shift Handoff</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color w:val="1A1A1A"/>
                <w:sz w:val="18"/>
                <w:szCs w:val="18"/>
              </w:rPr>
              <w:t xml:space="preserve">Single-query shift snapshot with clinical flags for oncoming staff</w:t>
            </w:r>
          </w:p>
        </w:tc>
      </w:tr>
    </w:tbl>
    <w:p>
      <w:pPr>
        <w:spacing w:before="40" w:after="80"/>
      </w:pPr>
      <w:r>
        <w:rPr>
          <w:rFonts w:ascii="Arial" w:cs="Arial" w:eastAsia="Arial" w:hAnsi="Arial"/>
        </w:rPr>
        <w:t xml:space="preserve">All feature flags are managed in </w:t>
      </w:r>
      <w:r>
        <w:rPr>
          <w:rFonts w:ascii="Arial" w:cs="Arial" w:eastAsia="Arial" w:hAnsi="Arial"/>
          <w:b/>
          <w:bCs/>
        </w:rPr>
        <w:t xml:space="preserve">manifest.json</w:t>
      </w:r>
      <w:r>
        <w:rPr>
          <w:rFonts w:ascii="Arial" w:cs="Arial" w:eastAsia="Arial" w:hAnsi="Arial"/>
        </w:rPr>
        <w:t xml:space="preserve">. Set any flag to </w:t>
      </w:r>
      <w:r>
        <w:rPr>
          <w:rFonts w:ascii="Arial" w:cs="Arial" w:eastAsia="Arial" w:hAnsi="Arial"/>
          <w:b/>
          <w:bCs/>
        </w:rPr>
        <w:t xml:space="preserve">false</w:t>
      </w:r>
      <w:r>
        <w:rPr>
          <w:rFonts w:ascii="Arial" w:cs="Arial" w:eastAsia="Arial" w:hAnsi="Arial"/>
        </w:rPr>
        <w:t xml:space="preserve"> to hide that submodule across all users at that facility without requiring code changes.</w:t>
      </w:r>
    </w:p>
    <w:p>
      <w:pPr>
        <w:spacing w:before="240" w:after="0"/>
        <w:jc w:val="center"/>
      </w:pPr>
      <w:r>
        <w:rPr>
          <w:rFonts w:ascii="Arial" w:cs="Arial" w:eastAsia="Arial" w:hAnsi="Arial"/>
          <w:color w:val="555555"/>
          <w:sz w:val="18"/>
          <w:szCs w:val="18"/>
        </w:rPr>
        <w:t xml:space="preserve">oe-module-institutional v0.15.1  •  Requires OpenEMR 7.0+  •  PHP 8.1+  •  MariaDB 10.4+  •  Bootstrap 5.3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0916C" w:sz="4" w:space="4"/>
      </w:pBdr>
      <w:tabs>
        <w:tab w:val="right" w:pos="9026"/>
      </w:tabs>
    </w:pPr>
    <w:r>
      <w:rPr>
        <w:rFonts w:ascii="Arial" w:cs="Arial" w:eastAsia="Arial" w:hAnsi="Arial"/>
        <w:color w:val="555555"/>
        <w:sz w:val="16"/>
        <w:szCs w:val="16"/>
      </w:rPr>
      <w:t xml:space="preserve">Confidential — Demo purposes only. All residents are fictional.</w:t>
    </w:r>
    <w:r>
      <w:rPr>
        <w:rFonts w:ascii="Arial" w:cs="Arial" w:eastAsia="Arial" w:hAnsi="Arial"/>
      </w:rP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0916C" w:sz="4" w:space="4"/>
      </w:pBdr>
      <w:tabs>
        <w:tab w:val="right" w:pos="9026"/>
      </w:tabs>
    </w:pPr>
    <w:r>
      <w:rPr>
        <w:rFonts w:ascii="Arial" w:cs="Arial" w:eastAsia="Arial" w:hAnsi="Arial"/>
        <w:b/>
        <w:bCs/>
        <w:color w:val="2D6A4F"/>
        <w:sz w:val="18"/>
        <w:szCs w:val="18"/>
      </w:rPr>
      <w:t xml:space="preserve">Maple Grove Assisted Living</w:t>
    </w:r>
    <w:r>
      <w:rPr>
        <w:rFonts w:ascii="Arial" w:cs="Arial" w:eastAsia="Arial" w:hAnsi="Arial"/>
        <w:color w:val="555555"/>
        <w:sz w:val="18"/>
        <w:szCs w:val="18"/>
      </w:rPr>
      <w:t xml:space="preserve">  |  Resident Workflow Guide</w:t>
    </w:r>
    <w:r>
      <w:rPr>
        <w:rFonts w:ascii="Arial" w:cs="Arial" w:eastAsia="Arial" w:hAnsi="Arial"/>
      </w:rPr>
      <w:t xml:space="preserve">	</w:t>
    </w:r>
    <w:r>
      <w:rPr>
        <w:rFonts w:ascii="Arial" w:cs="Arial" w:eastAsia="Arial" w:hAnsi="Arial"/>
        <w:color w:val="555555"/>
        <w:sz w:val="16"/>
        <w:szCs w:val="16"/>
      </w:rPr>
      <w:t xml:space="preserve">oe-module-institutional v0.15.1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0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2D6A4F"/>
      <w:sz w:val="32"/>
      <w:szCs w:val="32"/>
    </w:rPr>
  </w:style>
  <w:style w:type="paragraph" w:styleId="Heading2">
    <w:name w:val="Heading 2"/>
    <w:basedOn w:val="Normal"/>
    <w:next w:val="Normal"/>
    <w:qFormat/>
    <w:pPr>
      <w:spacing w:before="240" w:after="80"/>
      <w:outlineLvl w:val="1"/>
    </w:pPr>
    <w:rPr>
      <w:rFonts w:ascii="Arial" w:cs="Arial" w:eastAsia="Arial" w:hAnsi="Arial"/>
      <w:b/>
      <w:bCs/>
      <w:color w:val="40916C"/>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2026-03-02T22:54:42.538Z</dcterms:created>
  <dcterms:modified xsi:type="dcterms:W3CDTF">2026-03-02T22:54:42.539Z</dcterms:modified>
</cp:coreProperties>
</file>

<file path=docProps/custom.xml><?xml version="1.0" encoding="utf-8"?>
<Properties xmlns="http://schemas.openxmlformats.org/officeDocument/2006/custom-properties" xmlns:vt="http://schemas.openxmlformats.org/officeDocument/2006/docPropsVTypes"/>
</file>