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p>
    <w:p>
      <w:pPr>
        <w:pStyle w:val="TextBody"/>
        <w:rPr/>
      </w:pPr>
      <w:r>
        <w:rPr/>
        <w:t>Next find out when you save an image with a background the background isn’t saved?</w:t>
      </w:r>
    </w:p>
    <w:p>
      <w:pPr>
        <w:pStyle w:val="TextBody"/>
        <w:rPr/>
      </w:pPr>
      <w:r>
        <w:rPr/>
        <w:t>Do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t>a) Add to structure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t>b) serialize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t>c) connect to UI</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t>d) Connect to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2) Find out why exception when loading image for background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3) Refactor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4) Bump version</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5)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104"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04"/>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20333</TotalTime>
  <Application>LibreOffice/6.3.5.2$Windows_X86_64 LibreOffice_project/dd0751754f11728f69b42ee2af66670068624673</Application>
  <Pages>104</Pages>
  <Words>13539</Words>
  <Characters>76099</Characters>
  <CharactersWithSpaces>89374</CharactersWithSpaces>
  <Paragraphs>2210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2020-06-23T19:20:39Z</dcterms:modified>
  <cp:revision>645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