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b5dccbb209d4080321e7d38783eae8d3dd46625"/>
    <w:p>
      <w:pPr>
        <w:pStyle w:val="Heading1"/>
      </w:pPr>
      <w:r>
        <w:t xml:space="preserve">Egypt carbon pricing and CBAM: version notes (final v1.5)</w:t>
      </w:r>
    </w:p>
    <w:p>
      <w:pPr>
        <w:pStyle w:val="FirstParagraph"/>
      </w:pPr>
      <w:r>
        <w:t xml:space="preserve">Change history for the final Egypt deliverables and the kernel. The methodology (</w:t>
      </w:r>
      <w:r>
        <w:rPr>
          <w:rStyle w:val="VerbatimChar"/>
        </w:rPr>
        <w:t xml:space="preserve">EGYPT_Methodology_v1.5</w:t>
      </w:r>
      <w:r>
        <w:t xml:space="preserve">) describes the current method only and carries no history (repository rule,</w:t>
      </w:r>
      <w:r>
        <w:t xml:space="preserve"> </w:t>
      </w:r>
      <w:r>
        <w:rPr>
          <w:rStyle w:val="VerbatimChar"/>
        </w:rPr>
        <w:t xml:space="preserve">NORMS.md</w:t>
      </w:r>
      <w:r>
        <w:t xml:space="preserve"> </w:t>
      </w:r>
      <w:r>
        <w:t xml:space="preserve">section 7). Task-level detail and caveats are in</w:t>
      </w:r>
      <w:r>
        <w:t xml:space="preserve"> </w:t>
      </w:r>
      <w:r>
        <w:rPr>
          <w:rStyle w:val="VerbatimChar"/>
        </w:rPr>
        <w:t xml:space="preserve">CAVEATS.md</w:t>
      </w:r>
      <w:r>
        <w:t xml:space="preserve">; the kernel’s own log is on its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sheet.</w:t>
      </w:r>
    </w:p>
    <w:bookmarkStart w:id="9" w:name="final-set-v1.5-2026-10-08"/>
    <w:p>
      <w:pPr>
        <w:pStyle w:val="Heading2"/>
      </w:pPr>
      <w:r>
        <w:t xml:space="preserve">Final set v1.5 (2026-10-08)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3B rebate decision applied everywhere.</w:t>
      </w:r>
      <w:r>
        <w:t xml:space="preserve"> </w:t>
      </w:r>
      <w:r>
        <w:t xml:space="preserve">The output-based rebate in 3B covers all covered industry (rebuild switch</w:t>
      </w:r>
      <w:r>
        <w:t xml:space="preserve"> </w:t>
      </w:r>
      <w:r>
        <w:rPr>
          <w:rStyle w:val="VerbatimChar"/>
        </w:rPr>
        <w:t xml:space="preserve">ThetaOther</w:t>
      </w:r>
      <w:r>
        <w:t xml:space="preserve"> </w:t>
      </w:r>
      <w:r>
        <w:t xml:space="preserve">= 1; kernel</w:t>
      </w:r>
      <w:r>
        <w:t xml:space="preserve"> </w:t>
      </w:r>
      <w:r>
        <w:rPr>
          <w:rStyle w:val="VerbatimChar"/>
        </w:rPr>
        <w:t xml:space="preserve">Manual inputs</w:t>
      </w:r>
      <w:r>
        <w:t xml:space="preserve"> </w:t>
      </w:r>
      <w:r>
        <w:t xml:space="preserve">E112 = 1), not only CBAM producers. Final Table 2, 3B: revenue 0.6 to 0.3 USD bn; emission cut −19.1 to −12.0 Mt (−3.2% to −2.0% of GHG); deaths avoided 491 to 330. No other scenario and no other column changes.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CBAM obligation naming made consistent.</w:t>
      </w:r>
      <w:r>
        <w:t xml:space="preserve"> </w:t>
      </w:r>
      <w:r>
        <w:t xml:space="preserve">Table 2 row O is the CBAM-product intensity change and does not depend on the EU price or the phase-in. The deduction-based memo obligation is reported on FULL (2030 phase-in, CBAM factor 0.485) with NOPHASE (no phase-in, factor 1) as the other memo, in the kernel, the rebuild and the documents. The former</w:t>
      </w:r>
      <w:r>
        <w:t xml:space="preserve"> </w:t>
      </w:r>
      <w:r>
        <w:t xml:space="preserve">“Full implementation”</w:t>
      </w:r>
      <w:r>
        <w:t xml:space="preserve"> </w:t>
      </w:r>
      <w:r>
        <w:t xml:space="preserve">label in the CBAM-calculation workbook meant CBF = 1, i.e. NOPHASE.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workbook.</w:t>
      </w:r>
      <w:r>
        <w:t xml:space="preserve"> </w:t>
      </w:r>
      <w:r>
        <w:t xml:space="preserve">Kernel v1.5 sheet</w:t>
      </w:r>
      <w:r>
        <w:t xml:space="preserve"> </w:t>
      </w:r>
      <w:r>
        <w:rPr>
          <w:rStyle w:val="VerbatimChar"/>
        </w:rPr>
        <w:t xml:space="preserve">Table2_Final</w:t>
      </w:r>
      <w:r>
        <w:t xml:space="preserve"> </w:t>
      </w:r>
      <w:r>
        <w:t xml:space="preserve">holds the final Table 2, the figures as printed in the documents, their differences (zero) and a live recomputation of row O. The separate</w:t>
      </w:r>
      <w:r>
        <w:t xml:space="preserve"> </w:t>
      </w:r>
      <w:r>
        <w:rPr>
          <w:rStyle w:val="VerbatimChar"/>
        </w:rPr>
        <w:t xml:space="preserve">EGYPT_Table2_Final_CBAMcalc</w:t>
      </w:r>
      <w:r>
        <w:t xml:space="preserve"> </w:t>
      </w:r>
      <w:r>
        <w:t xml:space="preserve">workbook (hard-coded rows) is retired to the archive.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Methodology.</w:t>
      </w:r>
      <w:r>
        <w:t xml:space="preserve"> </w:t>
      </w:r>
      <w:r>
        <w:t xml:space="preserve">New section 4.7 (composition of the final results); the 3B rebate scope in the scenario table; the pre-T5 comparison column and bullets, the</w:t>
      </w:r>
      <w:r>
        <w:t xml:space="preserve"> </w:t>
      </w:r>
      <w:r>
        <w:t xml:space="preserve">“earlier Egypt value”</w:t>
      </w:r>
      <w:r>
        <w:t xml:space="preserve"> </w:t>
      </w:r>
      <w:r>
        <w:t xml:space="preserve">remark and kernel/rebuild version mentions removed from the methodology (moved here, below).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Rebuild v0.4 and kernel v1.5</w:t>
      </w:r>
      <w:r>
        <w:t xml:space="preserve"> </w:t>
      </w:r>
      <w:r>
        <w:t xml:space="preserve">are the supporting models; see</w:t>
      </w:r>
      <w:r>
        <w:t xml:space="preserve"> </w:t>
      </w:r>
      <w:r>
        <w:rPr>
          <w:rStyle w:val="VerbatimChar"/>
        </w:rPr>
        <w:t xml:space="preserve">VersionNotes_AdHocRebuild.md</w:t>
      </w:r>
      <w:r>
        <w:t xml:space="preserve"> </w:t>
      </w:r>
      <w:r>
        <w:t xml:space="preserve">and the kernel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log.</w:t>
      </w:r>
    </w:p>
    <w:bookmarkEnd w:id="9"/>
    <w:bookmarkStart w:id="10" w:name="earlier-final-sets"/>
    <w:p>
      <w:pPr>
        <w:pStyle w:val="Heading2"/>
      </w:pPr>
      <w:r>
        <w:t xml:space="preserve">Earlier final sets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v1.3</w:t>
            </w:r>
          </w:p>
        </w:tc>
        <w:tc>
          <w:tcPr/>
          <w:p>
            <w:pPr>
              <w:pStyle w:val="Compact"/>
            </w:pPr>
            <w:r>
              <w:t xml:space="preserve">2026-10-07</w:t>
            </w:r>
          </w:p>
        </w:tc>
        <w:tc>
          <w:tcPr/>
          <w:p>
            <w:pPr>
              <w:pStyle w:val="Compact"/>
            </w:pPr>
            <w:r>
              <w:t xml:space="preserve">All documents aligned; methodology rebuilt from the author’s edited version; obligations on intensity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</w:t>
            </w:r>
          </w:p>
        </w:tc>
        <w:tc>
          <w:tcPr/>
          <w:p>
            <w:pPr>
              <w:pStyle w:val="Compact"/>
            </w:pPr>
            <w:r>
              <w:t xml:space="preserve">2026-10-06</w:t>
            </w:r>
          </w:p>
        </w:tc>
        <w:tc>
          <w:tcPr/>
          <w:p>
            <w:pPr>
              <w:pStyle w:val="Compact"/>
            </w:pPr>
            <w:r>
              <w:t xml:space="preserve">Row O restated as CBAM-product intensity change (no domestic-price deduction)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2026-10-05</w:t>
            </w:r>
          </w:p>
        </w:tc>
        <w:tc>
          <w:tcPr/>
          <w:p>
            <w:pPr>
              <w:pStyle w:val="Compact"/>
            </w:pPr>
            <w:r>
              <w:t xml:space="preserve">One scenario term throughout the results text; Table 2 workbook with live obligations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2026-10-04</w:t>
            </w:r>
          </w:p>
        </w:tc>
        <w:tc>
          <w:tcPr/>
          <w:p>
            <w:pPr>
              <w:pStyle w:val="Compact"/>
            </w:pPr>
            <w:r>
              <w:t xml:space="preserve">First final release (carve-out Table 2; proofread)</w:t>
            </w:r>
          </w:p>
        </w:tc>
      </w:tr>
    </w:tbl>
    <w:bookmarkEnd w:id="10"/>
    <w:bookmarkStart w:id="11" w:name="kernel"/>
    <w:p>
      <w:pPr>
        <w:pStyle w:val="Heading2"/>
      </w:pPr>
      <w:r>
        <w:t xml:space="preserve">Kernel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v0.3</w:t>
            </w:r>
          </w:p>
        </w:tc>
        <w:tc>
          <w:tcPr/>
          <w:p>
            <w:pPr>
              <w:pStyle w:val="Compact"/>
            </w:pPr>
            <w:r>
              <w:t xml:space="preserve">CBAM block added (legacy rows 12198–12353 layout)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v0.4–v0.7</w:t>
            </w:r>
          </w:p>
        </w:tc>
        <w:tc>
          <w:tcPr/>
          <w:p>
            <w:pPr>
              <w:pStyle w:val="Compact"/>
            </w:pPr>
            <w:r>
              <w:t xml:space="preserve">Scenarios sheet and bundles (E); revenue rows fixed (A); four-way EF split (B); process emissions priced (C)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v0.8</w:t>
            </w:r>
          </w:p>
        </w:tc>
        <w:tc>
          <w:tcPr/>
          <w:p>
            <w:pPr>
              <w:pStyle w:val="Compact"/>
            </w:pPr>
            <w:r>
              <w:t xml:space="preserve">CBAM metrics (K)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v0.9</w:t>
            </w:r>
          </w:p>
        </w:tc>
        <w:tc>
          <w:tcPr/>
          <w:p>
            <w:pPr>
              <w:pStyle w:val="Compact"/>
            </w:pPr>
            <w:r>
              <w:t xml:space="preserve">Process semi-elasticity layout (D)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v0.10</w:t>
            </w:r>
          </w:p>
        </w:tc>
        <w:tc>
          <w:tcPr/>
          <w:p>
            <w:pPr>
              <w:pStyle w:val="Compact"/>
            </w:pPr>
            <w:r>
              <w:t xml:space="preserve">Output response (H)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v0.11</w:t>
            </w:r>
          </w:p>
        </w:tc>
        <w:tc>
          <w:tcPr/>
          <w:p>
            <w:pPr>
              <w:pStyle w:val="Compact"/>
            </w:pPr>
            <w:r>
              <w:t xml:space="preserve">CBAM obligations, deduction-based memo (L)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v0.12</w:t>
            </w:r>
          </w:p>
        </w:tc>
        <w:tc>
          <w:tcPr/>
          <w:p>
            <w:pPr>
              <w:pStyle w:val="Compact"/>
            </w:pPr>
            <w:r>
              <w:t xml:space="preserve">Stream 2 merged: energy CO₂ (F), output-based rebate (I), revenue fund (J)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v0.13</w:t>
            </w:r>
          </w:p>
        </w:tc>
        <w:tc>
          <w:tcPr/>
          <w:p>
            <w:pPr>
              <w:pStyle w:val="Compact"/>
            </w:pPr>
            <w:r>
              <w:t xml:space="preserve">IPPU replacement and fuel-CO₂ reconciliation (G)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v0.14</w:t>
            </w:r>
          </w:p>
        </w:tc>
        <w:tc>
          <w:tcPr/>
          <w:p>
            <w:pPr>
              <w:pStyle w:val="Compact"/>
            </w:pPr>
            <w:r>
              <w:t xml:space="preserve">Links to main CPAT and Table 2 composition (M)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v0.15</w:t>
            </w:r>
          </w:p>
        </w:tc>
        <w:tc>
          <w:tcPr/>
          <w:p>
            <w:pPr>
              <w:pStyle w:val="Compact"/>
            </w:pPr>
            <w:r>
              <w:t xml:space="preserve">Egypt EF v0.1 and IPCC process semi-elasticities adopted (T1, T5)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v0.16</w:t>
            </w:r>
          </w:p>
        </w:tc>
        <w:tc>
          <w:tcPr/>
          <w:p>
            <w:pPr>
              <w:pStyle w:val="Compact"/>
            </w:pPr>
            <w:r>
              <w:t xml:space="preserve">P* = 122 (USD 2024); EG3 1/κ approximation in the kernel composition; fuel-CO₂ reallocation; 3C fund fixed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v0.17</w:t>
            </w:r>
          </w:p>
        </w:tc>
        <w:tc>
          <w:tcPr/>
          <w:p>
            <w:pPr>
              <w:pStyle w:val="Compact"/>
            </w:pPr>
            <w:r>
              <w:t xml:space="preserve">Sheet</w:t>
            </w:r>
            <w:r>
              <w:t xml:space="preserve"> </w:t>
            </w:r>
            <w:r>
              <w:rPr>
                <w:rStyle w:val="VerbatimChar"/>
              </w:rPr>
              <w:t xml:space="preserve">CarveOut_Table2</w:t>
            </w:r>
            <w:r>
              <w:t xml:space="preserve"> </w:t>
            </w:r>
            <w:r>
              <w:t xml:space="preserve">(final Table 2, carve-out)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Final release (v0.17 relabelled); v1.1–v1.3 relabelled with the deliverable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v1.4</w:t>
            </w:r>
          </w:p>
        </w:tc>
        <w:tc>
          <w:tcPr/>
          <w:p>
            <w:pPr>
              <w:pStyle w:val="Compact"/>
            </w:pPr>
            <w:r>
              <w:t xml:space="preserve">CBAM market data moved to</w:t>
            </w:r>
            <w:r>
              <w:t xml:space="preserve"> </w:t>
            </w:r>
            <w:r>
              <w:rPr>
                <w:rStyle w:val="VerbatimChar"/>
              </w:rPr>
              <w:t xml:space="preserve">Manual inputs</w:t>
            </w:r>
            <w:r>
              <w:t xml:space="preserve"> </w:t>
            </w:r>
            <w:r>
              <w:t xml:space="preserve">(T3), no value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v1.5</w:t>
            </w:r>
          </w:p>
        </w:tc>
        <w:tc>
          <w:tcPr/>
          <w:p>
            <w:pPr>
              <w:pStyle w:val="Compact"/>
            </w:pPr>
            <w:r>
              <w:t xml:space="preserve">3B rebate decision; sheet</w:t>
            </w:r>
            <w:r>
              <w:t xml:space="preserve"> </w:t>
            </w:r>
            <w:r>
              <w:rPr>
                <w:rStyle w:val="VerbatimChar"/>
              </w:rPr>
              <w:t xml:space="preserve">Table2_Final</w:t>
            </w:r>
          </w:p>
        </w:tc>
      </w:tr>
    </w:tbl>
    <w:bookmarkEnd w:id="11"/>
    <w:bookmarkStart w:id="12" w:name="material-moved-out-of-the-methodology"/>
    <w:p>
      <w:pPr>
        <w:pStyle w:val="Heading2"/>
      </w:pPr>
      <w:r>
        <w:t xml:space="preserve">Material moved out of the methodology</w:t>
      </w:r>
    </w:p>
    <w:p>
      <w:pPr>
        <w:pStyle w:val="FirstParagraph"/>
      </w:pPr>
      <w:r>
        <w:rPr>
          <w:b/>
          <w:bCs/>
        </w:rPr>
        <w:t xml:space="preserve">Emission factors: pre-T5 kernel values (tCO₂e/t, own process emissions), kernel v0.13 against the Egypt EF v0.1 values now in the kernel.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EF v0.1 (own)</w:t>
            </w:r>
          </w:p>
        </w:tc>
        <w:tc>
          <w:tcPr/>
          <w:p>
            <w:pPr>
              <w:pStyle w:val="Compact"/>
            </w:pPr>
            <w:r>
              <w:t xml:space="preserve">Kernel v0.13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DRI-EAF steel</w:t>
            </w:r>
          </w:p>
        </w:tc>
        <w:tc>
          <w:tcPr/>
          <w:p>
            <w:pPr>
              <w:pStyle w:val="Compact"/>
            </w:pPr>
            <w:r>
              <w:t xml:space="preserve">0.609</w:t>
            </w:r>
          </w:p>
        </w:tc>
        <w:tc>
          <w:tcPr/>
          <w:p>
            <w:pPr>
              <w:pStyle w:val="Compact"/>
            </w:pPr>
            <w:r>
              <w:t xml:space="preserve">0.730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Scrap-EAF steel</w:t>
            </w:r>
          </w:p>
        </w:tc>
        <w:tc>
          <w:tcPr/>
          <w:p>
            <w:pPr>
              <w:pStyle w:val="Compact"/>
            </w:pPr>
            <w:r>
              <w:t xml:space="preserve">0.089</w:t>
            </w:r>
          </w:p>
        </w:tc>
        <w:tc>
          <w:tcPr/>
          <w:p>
            <w:pPr>
              <w:pStyle w:val="Compact"/>
            </w:pPr>
            <w:r>
              <w:t xml:space="preserve">0.155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BF-BOF steel (reference)</w:t>
            </w:r>
          </w:p>
        </w:tc>
        <w:tc>
          <w:tcPr/>
          <w:p>
            <w:pPr>
              <w:pStyle w:val="Compact"/>
            </w:pPr>
            <w:r>
              <w:t xml:space="preserve">1.478</w:t>
            </w:r>
          </w:p>
        </w:tc>
        <w:tc>
          <w:tcPr/>
          <w:p>
            <w:pPr>
              <w:pStyle w:val="Compact"/>
            </w:pPr>
            <w:r>
              <w:t xml:space="preserve">2.172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Grey clinker</w:t>
            </w:r>
          </w:p>
        </w:tc>
        <w:tc>
          <w:tcPr/>
          <w:p>
            <w:pPr>
              <w:pStyle w:val="Compact"/>
            </w:pPr>
            <w:r>
              <w:t xml:space="preserve">0.851</w:t>
            </w:r>
          </w:p>
        </w:tc>
        <w:tc>
          <w:tcPr/>
          <w:p>
            <w:pPr>
              <w:pStyle w:val="Compact"/>
            </w:pPr>
            <w:r>
              <w:t xml:space="preserve">0.814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Ammonia</w:t>
            </w:r>
          </w:p>
        </w:tc>
        <w:tc>
          <w:tcPr/>
          <w:p>
            <w:pPr>
              <w:pStyle w:val="Compact"/>
            </w:pPr>
            <w:r>
              <w:t xml:space="preserve">1.975</w:t>
            </w:r>
          </w:p>
        </w:tc>
        <w:tc>
          <w:tcPr/>
          <w:p>
            <w:pPr>
              <w:pStyle w:val="Compact"/>
            </w:pPr>
            <w:r>
              <w:t xml:space="preserve">1.851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Urea</w:t>
            </w:r>
          </w:p>
        </w:tc>
        <w:tc>
          <w:tcPr/>
          <w:p>
            <w:pPr>
              <w:pStyle w:val="Compact"/>
            </w:pPr>
            <w:r>
              <w:t xml:space="preserve">0.112</w:t>
            </w:r>
          </w:p>
        </w:tc>
        <w:tc>
          <w:tcPr/>
          <w:p>
            <w:pPr>
              <w:pStyle w:val="Compact"/>
            </w:pPr>
            <w:r>
              <w:t xml:space="preserve">−0.621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Ammonium nitrate</w:t>
            </w:r>
          </w:p>
        </w:tc>
        <w:tc>
          <w:tcPr/>
          <w:p>
            <w:pPr>
              <w:pStyle w:val="Compact"/>
            </w:pPr>
            <w:r>
              <w:t xml:space="preserve">0.112</w:t>
            </w:r>
          </w:p>
        </w:tc>
        <w:tc>
          <w:tcPr/>
          <w:p>
            <w:pPr>
              <w:pStyle w:val="Compact"/>
            </w:pPr>
            <w:r>
              <w:t xml:space="preserve">1.082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aluminium</w:t>
            </w:r>
          </w:p>
        </w:tc>
        <w:tc>
          <w:tcPr/>
          <w:p>
            <w:pPr>
              <w:pStyle w:val="Compact"/>
            </w:pPr>
            <w:r>
              <w:t xml:space="preserve">2.521</w:t>
            </w:r>
          </w:p>
        </w:tc>
        <w:tc>
          <w:tcPr/>
          <w:p>
            <w:pPr>
              <w:pStyle w:val="Compact"/>
            </w:pPr>
            <w:r>
              <w:t xml:space="preserve">2.506</w:t>
            </w:r>
          </w:p>
        </w:tc>
      </w:tr>
    </w:tbl>
    <w:p>
      <w:pPr>
        <w:pStyle w:val="BodyText"/>
      </w:pPr>
      <w:r>
        <w:t xml:space="preserve">Why they differ: urea follows the CBAM rule here, inventory netting in the kernel; the kernel folded 0.97 of HNO₃ N₂O into the own emissions of AN; DRI-EAF is rebuilt from a carbon balance because the kernel’s EF-input columns S:V were inconsistent with its own H:I values; ammonia 35.2 GJ/t here against about 33 in the kernel; clinker and aluminium within 5% of the kernel.</w:t>
      </w:r>
    </w:p>
    <w:p>
      <w:pPr>
        <w:pStyle w:val="BodyText"/>
      </w:pPr>
      <w:r>
        <w:rPr>
          <w:b/>
          <w:bCs/>
        </w:rPr>
        <w:t xml:space="preserve">Process semi-elasticities.</w:t>
      </w:r>
      <w:r>
        <w:t xml:space="preserve"> </w:t>
      </w:r>
      <w:r>
        <w:t xml:space="preserve">The earlier Egypt value, β = 0.00104 (a(100) ≈ 10%), is a conservative lower bound compared with the IPCC-based values now used (Appendix B).</w:t>
      </w:r>
    </w:p>
    <w:bookmarkEnd w:id="12"/>
    <w:bookmarkEnd w:id="13"/>
    <w:sectPr w:rsidR="00FC693F" w:rsidRPr="0006063C" w:rsidSect="00034616">
      <w:pgSz w:h="15840" w:w="12240"/>
      <w:pgMar w:bottom="1080" w:footer="720" w:gutter="0" w:header="720" w:left="1080" w:right="1080" w:top="108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/>
    </w:pPr>
    <w:rPr>
      <w:rFonts w:ascii="Arial" w:eastAsia="Arial" w:hAnsi="Arial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="Arial" w:eastAsiaTheme="majorEastAsia" w:hAnsi="Arial" w:hAnsiTheme="majorHAnsi"/>
      <w:b/>
      <w:bCs/>
      <w:color w:val="00603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="Arial" w:eastAsiaTheme="majorEastAsia" w:hAnsi="Arial" w:hAnsiTheme="majorHAnsi"/>
      <w:b/>
      <w:bCs/>
      <w:color w:val="006030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="Arial" w:eastAsiaTheme="majorEastAsia" w:hAnsi="Arial" w:hAnsiTheme="majorHAnsi"/>
      <w:b/>
      <w:bCs/>
      <w:color w:val="006030"/>
      <w:sz w:val="21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2026-10-04T16:01:23Z</dcterms:created>
  <dcterms:modified xsi:type="dcterms:W3CDTF">2026-10-04T16:01:23Z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