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Responsiveness of Industrial Process Emissions to Carbon Prices in CBAM Sectors</w:t>
      </w:r>
    </w:p>
    <w:p>
      <w:r>
        <w:rPr>
          <w:b/>
        </w:rPr>
        <w:t>Evidence from IPCC AR6 WGIII (2022), percentage reductions at USD 100/tCO2e and implied semi-elasticities</w:t>
      </w:r>
    </w:p>
    <w:p>
      <w:r>
        <w:rPr>
          <w:i/>
        </w:rPr>
        <w:t>Prepared 2026-10-02. Companion workbook: `ProcessEmissions_CarbonPriceResponse.xlsx` (all calculations are live formulas; yellow cells are inputs).</w:t>
      </w:r>
    </w:p>
    <w:p>
      <w:pPr>
        <w:pStyle w:val="Heading1"/>
      </w:pPr>
      <w:r>
        <w:t>0. Headline 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  <w:sz w:val="16"/>
              </w:rPr>
              <w:t>Sector (process emissions only)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%ER @ $100, 2030 horizon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%ER @ $100, long run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%ER @ $100, central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Î² iso 2030 (%/$)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Î² iso LR (%/$)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Î² iso central (%/$)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Î² linear central (%/$)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Cement clinker / cement / concrete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19.3%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47.8%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33.5%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-0.214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-0.650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-0.408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-0.335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Primary steel: BF-BOF route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10.2%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45.9%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28.0%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-0.107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-0.614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-0.329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-0.280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Primary steel: natural-gas DRI-EAF route (Egypt-type)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11.3%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57.3%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34.3%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-0.120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-0.852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-0.421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-0.343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Secondary steel: scrap-EAF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26.7%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18.1%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-0.100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-0.310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-0.200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-0.181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Primary aluminium (Hall-Heroult)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36.4%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21.6%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-0.072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-0.452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-0.244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-0.216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Ammonia (natural-gas SMR; merchant and non-urea uses)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15.0%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44.5%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29.7%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-0.162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-0.589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-0.353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-0.297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Urea (ammonia precursor + urea plant)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4.8%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18.4%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11.6%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-0.049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-0.203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-0.123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-0.116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Nitric acid (N2O) - component of ammonium nitrate and other N fertilisers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79.2%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83.6%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81.4%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-1.570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-1.808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-1.682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-0.814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Ammonium nitrate - unabated N2O baseline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67.6%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76.6%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72.1%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-1.128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-1.451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-1.277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-0.721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Ammonium nitrate - N2O already ~90% abated (EU / CDM-legacy plants)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21.2%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44.6%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32.9%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-0.238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-0.591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-0.399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-0.329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Hydrogen (merchant, SMR)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15.7%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70.4%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43.0%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-0.171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-1.218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-0.563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-0.430</w:t>
            </w:r>
          </w:p>
        </w:tc>
      </w:tr>
    </w:tbl>
    <w:p/>
    <w:p>
      <w:r>
        <w:rPr>
          <w:i/>
        </w:rPr>
        <w:t>%ER = percentage reduction of baseline process-emission intensity (tCO2e per tonne of product) at a carbon price of USD 100 (2019 dollars) per tCO2e. Î² iso = iso-semi-elastic parameter, Î² = ln(1 âˆ’ a(100))/100, expressed in % change in emissions per USD 1 of carbon price (negative = reduction). "2030 horizon" is a deployment-constrained estimate calibrated to IPCC AR6 2030 economic potentials; "long run" assumes full capital-stock turnover with the same price; "central" is the arithmetic mean of the two and is the recommended parameter for a medium-run policy model (see Â§5).</w:t>
      </w:r>
    </w:p>
    <w:p>
      <w:r>
        <w:rPr>
          <w:b/>
        </w:rPr>
        <w:t>Cross-checks.</w:t>
      </w:r>
      <w:r>
        <w:t xml:space="preserve"> (i) The IPCC AR6 Table 12.3 aggregate for industry </w:t>
      </w:r>
      <w:r>
        <w:rPr>
          <w:i/>
        </w:rPr>
        <w:t>process-related</w:t>
      </w:r>
      <w:r>
        <w:t xml:space="preserve"> options costing â‰¤ USD 100 in 2030 (feedstock decarbonisation/process change 0.38 Gt + cementitious substitution 0.28 Gt + non-CO2 reductions 0.20 Gt = 0.86 GtCO2e) equals </w:t>
      </w:r>
      <w:r>
        <w:rPr>
          <w:b/>
        </w:rPr>
        <w:t>14.9%â€“16.6%</w:t>
      </w:r>
      <w:r>
        <w:t xml:space="preserve"> of 2030 reference industrial process emissions (central 15.7%; 23.3%â€“25.9% if enhanced recycling is included), i.e. Î² â‰ˆ -0.171 %/$. (ii) The semi-elasticity currently in the CPAT Egypt workbook, Î² = -0.1040 %/$, corresponds to a(100) = 9.9% â€” close to the IPCC 2030 aggregate for cement-dominated process emissions, but below the sector-specific 2030 estimates for nitric acid, ammonia and hydrogen, and well below long-run technology-cost potentials.</w:t>
      </w:r>
    </w:p>
    <w:p>
      <w:pPr>
        <w:pStyle w:val="Heading1"/>
      </w:pPr>
      <w:r>
        <w:t>1. Purpose and scope</w:t>
      </w:r>
    </w:p>
    <w:p>
      <w:r>
        <w:t xml:space="preserve">The task is to trace, as rigorously as the public evidence allows, how </w:t>
      </w:r>
      <w:r>
        <w:rPr>
          <w:b/>
        </w:rPr>
        <w:t>process emissions</w:t>
      </w:r>
      <w:r>
        <w:t xml:space="preserve"> (non-combustion emissions from chemical or physical transformation of feedstocks) in the main EU CBAM sectors respond to a carbon price, using the latest IPCC assessment (AR6 WGIII, 2022) as the primary source, to report the percentage reduction at USD 100/tCO2e, and to derive the implied semi-elasticities under an iso-(semi-)elastic model. Sectors covered: cement/clinker/concrete; primary steel by BF-BOF and by natural-gas DRI-EAF (the Egyptian route); scrap-EAF steel; primary aluminium; ammonia; urea; nitric acid and ammonium nitrate; hydrogen. Electricity (a CBAM good) has no process emissions and is out of scope; iron-ore pellets/sinter, ferro-alloys and downstream iron/steel/aluminium articles are discussed briefly in Â§7.10. Fuel-combustion emissions and indirect (electricity) emissions are excluded throughout; demand-side measures (material efficiency, product substitution) are excluded because they change output, not emission intensity, and are handled elsewhere in CPAT through demand elasticities.</w:t>
      </w:r>
    </w:p>
    <w:p>
      <w:r>
        <w:t>The same parameter set is applied to Egypt and non-Egypt (per instruction); Egypt-specific considerations are discussed qualitatively in Â§9.</w:t>
      </w:r>
    </w:p>
    <w:p>
      <w:pPr>
        <w:pStyle w:val="Heading1"/>
      </w:pPr>
      <w:r>
        <w:t>2. What the IPCC actually provides (and does not)</w:t>
      </w:r>
    </w:p>
    <w:p>
      <w:r>
        <w:t xml:space="preserve">IPCC AR6 WGIII does </w:t>
      </w:r>
      <w:r>
        <w:rPr>
          <w:b/>
        </w:rPr>
        <w:t>not</w:t>
      </w:r>
      <w:r>
        <w:t xml:space="preserve"> publish price elasticities of process emissions. It provides two things from which a price response can be constructed:</w:t>
      </w:r>
    </w:p>
    <w:p>
      <w:pPr>
        <w:pStyle w:val="ListNumber"/>
      </w:pPr>
      <w:r>
        <w:rPr>
          <w:b/>
        </w:rPr>
        <w:t>Chapter 12, Table 12.3</w:t>
      </w:r>
      <w:r>
        <w:t xml:space="preserve"> â€” global 2030 </w:t>
      </w:r>
      <w:r>
        <w:rPr>
          <w:i/>
        </w:rPr>
        <w:t>economic mitigation potentials</w:t>
      </w:r>
      <w:r>
        <w:t xml:space="preserve"> for industry by option and cost bin (&lt;0, 0â€“20, 20â€“50, 50â€“100, 100â€“200 USD2019/tCO2e), overlap-corrected within industry (Â±25 %), against a current-policies reference (SSP2/WEO-2019-CPS-like). Industry rows: energy efficiency 1.14 Gt (0â€“20); material efficiency 0.93 (20â€“50); circularity/enhanced recycling 0.48 (20â€“50); fuel switching 1.28/0.67/0.15 (20â€“50/50â€“100/100â€“200); feedstock decarbonisation &amp; process change 0.38 (50â€“100); CCU/CCS 0.15 (100â€“200, range 0.08â€“0.36, not overlap-corrected); cementitious material substitution 0.28 (20â€“50); reduction of non-CO2 emissions 0.20 (0â€“20). Table 12.4: industry direct potential &lt; USD 100 = 5.4 Gt (4.0â€“6.7). SPM C.12.1: options â‰¤ USD 100 could halve 2019 GHG by 2030, but Chapter 12 notes that industry is the one sector in which only energy efficiency is available below USD 20.</w:t>
      </w:r>
    </w:p>
    <w:p>
      <w:pPr>
        <w:pStyle w:val="ListNumber"/>
      </w:pPr>
      <w:r>
        <w:rPr>
          <w:b/>
        </w:rPr>
        <w:t>Chapter 11, Table 11.3 and Â§11.4</w:t>
      </w:r>
      <w:r>
        <w:t xml:space="preserve"> â€” per-technology GHG-reduction percentages and cost ranges (USD2019/tCO2e) for steel, cement, aluminium, ammonia/hydrogen and cross-cutting CCS, with TRL and earliest availability. These are </w:t>
      </w:r>
      <w:r>
        <w:rPr>
          <w:i/>
        </w:rPr>
        <w:t>technology costs</w:t>
      </w:r>
      <w:r>
        <w:t>, not deployment-constrained potentials, and therefore describe the long-run response once capital stock turns over (Chapter 11 ES: "mitigation costs are high in the rough range of USD 50â€“150 tCO2-eq", "5 to 15 years of intensive innovation, commercialisation and policy").</w:t>
      </w:r>
    </w:p>
    <w:p>
      <w:r>
        <w:t xml:space="preserve">For the two non-CO2 process gases relevant to CBAM goods (N2O from nitric acid; PFCs from aluminium) AR6 gives only qualitative statements (Ch.11 footnote 24; Â§11.4.1.4), so the quantitative cost-bin data are taken from </w:t>
      </w:r>
      <w:r>
        <w:rPr>
          <w:b/>
        </w:rPr>
        <w:t>IPCC AR4 WGIII Chapter 7 (Table 7.9, Â§7.4.3.4, Â§7.4.2.1)</w:t>
      </w:r>
      <w:r>
        <w:t>, cross-checked against NACAG (2024).</w:t>
      </w:r>
    </w:p>
    <w:p>
      <w:r>
        <w:t xml:space="preserve">Consequently two horizons are reported: a </w:t>
      </w:r>
      <w:r>
        <w:rPr>
          <w:b/>
        </w:rPr>
        <w:t>2030 / deployment-constrained</w:t>
      </w:r>
      <w:r>
        <w:t xml:space="preserve"> estimate (calibrated to Table 12.3 where the mapping is unambiguous) and a </w:t>
      </w:r>
      <w:r>
        <w:rPr>
          <w:b/>
        </w:rPr>
        <w:t>long-run / technology-cost</w:t>
      </w:r>
      <w:r>
        <w:t xml:space="preserve"> estimate (Table 11.3). The central value is the mean.</w:t>
      </w:r>
    </w:p>
    <w:p>
      <w:pPr>
        <w:pStyle w:val="Heading1"/>
      </w:pPr>
      <w:r>
        <w:t>3. Definitions and accounting conventions</w:t>
      </w:r>
    </w:p>
    <w:p>
      <w:pPr>
        <w:pStyle w:val="ListBullet"/>
      </w:pPr>
      <w:r>
        <w:rPr>
          <w:b/>
        </w:rPr>
        <w:t>Process emissions</w:t>
      </w:r>
      <w:r>
        <w:t xml:space="preserve"> follow IPCC inventory category 2 (IPPU): calcination CO2 in clinker and lime; reductant CO2 in iron-making (coke, coal, natural gas) and ferro-alloys; anode CO2 and PFCs in aluminium smelting; feedstock-derived CO2 in ammonia/hydrogen (shift reaction); N2O in nitric acid. Carbon inputs to EAFs (electrodes, charge carbon) and flux calcination are included.</w:t>
      </w:r>
    </w:p>
    <w:p>
      <w:pPr>
        <w:pStyle w:val="ListBullet"/>
      </w:pPr>
      <w:r>
        <w:rPr>
          <w:b/>
        </w:rPr>
        <w:t>CBAM accounting (Implementing Regulation (EU) 2023/1773; Commission Guidance 5c)</w:t>
      </w:r>
      <w:r>
        <w:t xml:space="preserve"> counts all direct emissions of the installation, with precursors' embedded emissions added. Two CBAM-specific points matter here: (a) CO2 chemically bound into </w:t>
      </w:r>
      <w:r>
        <w:rPr>
          <w:b/>
        </w:rPr>
        <w:t>urea</w:t>
      </w:r>
      <w:r>
        <w:t xml:space="preserve"> is </w:t>
      </w:r>
      <w:r>
        <w:rPr>
          <w:i/>
        </w:rPr>
        <w:t>not</w:t>
      </w:r>
      <w:r>
        <w:t xml:space="preserve"> deducted â€” "CO2 received from another installation as process input shall be considered an emission, if not already counted as emission of the installation where the CO2 was produced" â€” so the ammonia-stage process CO2 is embedded in urea and cannot be abated by CCS (it is the urea feedstock); (b) nitric-acid N2O must be reported "including unabated and abated emissions", so the CBAM charge creates a direct incentive to install de-N2O catalysts.</w:t>
      </w:r>
    </w:p>
    <w:p>
      <w:pPr>
        <w:pStyle w:val="ListBullet"/>
      </w:pPr>
      <w:r>
        <w:rPr>
          <w:b/>
        </w:rPr>
        <w:t>Carbon price Ï„</w:t>
      </w:r>
      <w:r>
        <w:t xml:space="preserve"> is in USD2019 per tCO2e, matching IPCC AR6 cost bins (no inflation correction is applied in AR6; USD 100 of 2019 â‰ˆ USD 122 of 2024 at US CPI, so a nominal 2024 price of USD 100 corresponds to â‰ˆ USD 82 on the IPCC scale â€” the workbook lets the user evaluate any Ï„).</w:t>
      </w:r>
    </w:p>
    <w:p>
      <w:pPr>
        <w:pStyle w:val="Heading1"/>
      </w:pPr>
      <w:r>
        <w:t>4. Method: from MACC steps to a price response</w:t>
      </w:r>
    </w:p>
    <w:p>
      <w:r>
        <w:t xml:space="preserve">For each sector, the process-emission MACC is represented by a small number of options </w:t>
      </w:r>
      <w:r>
        <w:rPr>
          <w:i/>
        </w:rPr>
        <w:t>i</w:t>
      </w:r>
      <w:r>
        <w:t xml:space="preserve">, each described by a cost range [c_low, c_high], a technical reduction </w:t>
      </w:r>
      <w:r>
        <w:rPr>
          <w:i/>
        </w:rPr>
        <w:t>r_i</w:t>
      </w:r>
      <w:r>
        <w:t xml:space="preserve"> of the pool it addresses, the share </w:t>
      </w:r>
      <w:r>
        <w:rPr>
          <w:i/>
        </w:rPr>
        <w:t>s_i</w:t>
      </w:r>
      <w:r>
        <w:t xml:space="preserve"> of the sector's process emissions in that pool, and a horizon-specific deployment (penetration) factor </w:t>
      </w:r>
      <w:r>
        <w:rPr>
          <w:i/>
        </w:rPr>
        <w:t>d_i,h</w:t>
      </w:r>
      <w:r>
        <w:t xml:space="preserve"> for h âˆˆ {2030, LR}.</w:t>
      </w:r>
    </w:p>
    <w:p>
      <w:pPr>
        <w:pStyle w:val="ListBullet"/>
      </w:pPr>
      <w:r>
        <w:t xml:space="preserve">Cost heterogeneity across plants is assumed uniform over [c_low, c_high], so the share of plants for which option </w:t>
      </w:r>
      <w:r>
        <w:rPr>
          <w:i/>
        </w:rPr>
        <w:t>i</w:t>
      </w:r>
      <w:r>
        <w:t xml:space="preserve"> is in the money at price Ï„ is f_i(Ï„) = min(1, max(0, (Ï„ âˆ’ c_low)/(c_high âˆ’ c_low))). This smooths the step function implicit in a single-cost MACC and is the reason some options contribute fractionally at Ï„ = 100.</w:t>
      </w:r>
    </w:p>
    <w:p>
      <w:pPr>
        <w:pStyle w:val="ListBullet"/>
      </w:pPr>
      <w:r>
        <w:t>Options are combined multiplicatively: a_h(Ï„) = 1 âˆ’ Î _i (1 âˆ’ r_iÂ·s_iÂ·d_i,hÂ·f_i(Ï„)). This is exact for sequential options on the same pool (e.g. CCS applied to the clinker remaining after substitution) and slightly conservative for disjoint pools (e.g. PFCs vs anode CO2).</w:t>
      </w:r>
    </w:p>
    <w:p>
      <w:pPr>
        <w:pStyle w:val="ListBullet"/>
      </w:pPr>
      <w:r>
        <w:t xml:space="preserve">Costs and </w:t>
      </w:r>
      <w:r>
        <w:rPr>
          <w:i/>
        </w:rPr>
        <w:t>r</w:t>
      </w:r>
      <w:r>
        <w:t xml:space="preserve"> come from the IPCC tables cited in each row; </w:t>
      </w:r>
      <w:r>
        <w:rPr>
          <w:i/>
        </w:rPr>
        <w:t>s</w:t>
      </w:r>
      <w:r>
        <w:t xml:space="preserve"> from stoichiometry or published emission splits; </w:t>
      </w:r>
      <w:r>
        <w:rPr>
          <w:b/>
        </w:rPr>
        <w:t>d_2030 and d_LR are analyst assumptions</w:t>
      </w:r>
      <w:r>
        <w:t>, chosen so that the 2030 figures reproduce the relevant IPCC Table 12.3 potentials where a one-to-one mapping exists (cementitious substitution; CCUS absent below USD 100 in 2030; non-CO2 potential) and otherwise reflect capital-stock turnover (BF relining 15â€“25 yr; aluminium pot relining 5â€“7 yr; cement kiln life 30â€“50 yr; catalysts retrofittable within a year). All are visible and editable in the workbook.</w:t>
      </w:r>
    </w:p>
    <w:p>
      <w:pPr>
        <w:pStyle w:val="Heading1"/>
      </w:pPr>
      <w:r>
        <w:t>5. Derivation of the iso-semi-elastic model and the implied semi-elasticities</w:t>
      </w:r>
    </w:p>
    <w:p>
      <w:r>
        <w:t xml:space="preserve">Let E(Ï„) be process-emission intensity at carbon price Ï„, E0 = E(0), and a(Ï„) = 1 âˆ’ E(Ï„)/E0 the abatement fraction. Define the </w:t>
      </w:r>
      <w:r>
        <w:rPr>
          <w:b/>
        </w:rPr>
        <w:t>semi-elasticity</w:t>
      </w:r>
      <w:r>
        <w:t xml:space="preserve"> Î²(Ï„) â‰¡ (dE/dÏ„)/E = d ln E/dÏ„: the proportional change in emissions per unit increase in the price.</w:t>
      </w:r>
    </w:p>
    <w:p>
      <w:r>
        <w:rPr>
          <w:b/>
        </w:rPr>
        <w:t>Iso-semi-elastic assumption.</w:t>
      </w:r>
      <w:r>
        <w:t xml:space="preserve"> Suppose Î² is constant in Ï„ (the log-linear analogue of a constant-elasticity model). Integrating d ln E = Î² dÏ„ from 0 to Ï„:</w:t>
      </w:r>
    </w:p>
    <w:p>
      <w:pPr>
        <w:jc w:val="center"/>
      </w:pPr>
      <w:r>
        <w:t xml:space="preserve">ln E(Ï„) âˆ’ ln E0 = Î² Ï„  â‡’  </w:t>
      </w:r>
      <w:r>
        <w:rPr>
          <w:b/>
        </w:rPr>
        <w:t>E(Ï„) = E0 Â· e^(Î²Ï„)</w:t>
      </w:r>
      <w:r>
        <w:t xml:space="preserve">,  </w:t>
      </w:r>
      <w:r>
        <w:rPr>
          <w:b/>
        </w:rPr>
        <w:t>a(Ï„) = 1 âˆ’ e^(Î²Ï„)</w:t>
      </w:r>
      <w:r>
        <w:t>.</w:t>
      </w:r>
    </w:p>
    <w:p>
      <w:r>
        <w:t>Calibrating on a single observed point (a</w:t>
      </w:r>
      <w:r>
        <w:rPr>
          <w:i/>
        </w:rPr>
        <w:t xml:space="preserve"> at Ï„</w:t>
      </w:r>
      <w:r>
        <w:t xml:space="preserve"> = 100):</w:t>
      </w:r>
    </w:p>
    <w:p>
      <w:pPr>
        <w:jc w:val="center"/>
      </w:pPr>
      <w:r>
        <w:rPr>
          <w:b/>
        </w:rPr>
        <w:t>Î² = ln(1 âˆ’ a*) / Ï„</w:t>
      </w:r>
      <w:r>
        <w:rPr>
          <w:i/>
        </w:rPr>
        <w:t xml:space="preserve">  (per USD),  or </w:t>
      </w:r>
      <w:r>
        <w:rPr>
          <w:i/>
        </w:rPr>
        <w:t>100Â·Î² % per USD</w:t>
      </w:r>
      <w:r>
        <w:t>*.</w:t>
      </w:r>
    </w:p>
    <w:p>
      <w:r>
        <w:t xml:space="preserve">This is exactly the form used in the CPAT Egypt workbook, Î”I/I = exp(Î²Â·Ï„) âˆ’ 1 = âˆ’a(Ï„). Properties: (i) a(Ï„) â†’ 1 as Ï„ â†’ âˆž, so emissions never go negative; (ii) the </w:t>
      </w:r>
      <w:r>
        <w:rPr>
          <w:i/>
        </w:rPr>
        <w:t>marginal</w:t>
      </w:r>
      <w:r>
        <w:t xml:space="preserve"> response at any price is Î²Â·E(Ï„), i.e. a constant percentage of </w:t>
      </w:r>
      <w:r>
        <w:rPr>
          <w:i/>
        </w:rPr>
        <w:t>current</w:t>
      </w:r>
      <w:r>
        <w:t xml:space="preserve"> emissions; (iii) the linear approximation a(Ï„) â‰ˆ âˆ’Î²Ï„ gives Î²_lin = âˆ’a</w:t>
      </w:r>
      <w:r>
        <w:rPr>
          <w:i/>
        </w:rPr>
        <w:t>/Ï„</w:t>
      </w:r>
      <w:r>
        <w:t>, and |Î²_iso| â‰¥ |Î²_lin| always because âˆ’ln(1 âˆ’ a) â‰¥ a (e.g. a</w:t>
      </w:r>
      <w:r>
        <w:rPr>
          <w:i/>
        </w:rPr>
        <w:t xml:space="preserve"> = 0.50 â‡’ Î²_iso = âˆ’0.693 %/$ vs Î²_lin = âˆ’0.500 %/$). (iv) The </w:t>
      </w:r>
      <w:r>
        <w:t>price elasticity* implied is Îµ(Ï„) = Î²Â·Ï„, which rises with the price; Îµ(100) = 100Î². A true isoelastic (constant-elasticity) form E = E0(Ï„/Ï„_ref)^(âˆ’Îµ) is undefined at Ï„ = 0 and cannot be anchored to a zero-price baseline, which is why the semi-elastic form is the appropriate "iso" model for carbon-price scenarios starting from zero.</w:t>
      </w:r>
    </w:p>
    <w:p>
      <w:r>
        <w:rPr>
          <w:b/>
        </w:rPr>
        <w:t>Consistency test across cost bins.</w:t>
      </w:r>
      <w:r>
        <w:t xml:space="preserve"> If the constant-Î² assumption were exact, Î²_k = ln(1 âˆ’ a(Ï„_k))/Ï„_k would be the same for every Ï„_k. Computing it at Ï„ = 20, 50, 100, 150, 200 (central horizon) gives: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662"/>
          </w:tcPr>
          <w:p>
            <w:r>
              <w:rPr>
                <w:b/>
                <w:sz w:val="16"/>
              </w:rPr>
              <w:t>Î²(20)</w:t>
            </w:r>
          </w:p>
        </w:tc>
        <w:tc>
          <w:tcPr>
            <w:tcW w:type="dxa" w:w="1662"/>
          </w:tcPr>
          <w:p>
            <w:r>
              <w:rPr>
                <w:b/>
                <w:sz w:val="16"/>
              </w:rPr>
              <w:t>Î²(50)</w:t>
            </w:r>
          </w:p>
        </w:tc>
        <w:tc>
          <w:tcPr>
            <w:tcW w:type="dxa" w:w="1662"/>
          </w:tcPr>
          <w:p>
            <w:r>
              <w:rPr>
                <w:b/>
                <w:sz w:val="16"/>
              </w:rPr>
              <w:t>Î²(100)</w:t>
            </w:r>
          </w:p>
        </w:tc>
        <w:tc>
          <w:tcPr>
            <w:tcW w:type="dxa" w:w="1662"/>
          </w:tcPr>
          <w:p>
            <w:r>
              <w:rPr>
                <w:b/>
                <w:sz w:val="16"/>
              </w:rPr>
              <w:t>Î²(150)</w:t>
            </w:r>
          </w:p>
        </w:tc>
        <w:tc>
          <w:tcPr>
            <w:tcW w:type="dxa" w:w="1662"/>
          </w:tcPr>
          <w:p>
            <w:r>
              <w:rPr>
                <w:b/>
                <w:sz w:val="16"/>
              </w:rPr>
              <w:t>Î²(200)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Cement clinker / cement / concrete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-0.439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-0.471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-0.408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-0.352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-0.264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Primary steel: BF-BOF route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-0.156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-0.295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-0.221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Primary steel: natural-gas DRI-EAF route (Egypt-type)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-0.143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-0.421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-0.326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-0.253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Secondary steel: scrap-EAF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-0.353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-0.141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-0.219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-0.164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Primary aluminium (Hall-Heroult)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-0.570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-0.269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-0.244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-0.244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-0.183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Ammonia (natural-gas SMR; merchant and non-urea uses)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-0.171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-0.536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-0.353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-0.294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-0.251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Urea (ammonia precursor + urea plant)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-0.037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-0.123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-0.136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-0.129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Nitric acid (N2O) - component of ammonium nitrate and other N fertilisers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-8.410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-3.364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-1.682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-1.121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-0.841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Ammonium nitrate - unabated N2O baseline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-5.597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-2.474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-1.277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-0.877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-0.671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Ammonium nitrate - N2O already ~90% abated (EU / CDM-legacy plants)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-0.796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-0.674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-0.399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-0.308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-0.253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Hydrogen (merchant, SMR)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-0.297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-1.034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-0.563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-0.407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-0.331</w:t>
            </w:r>
          </w:p>
        </w:tc>
      </w:tr>
    </w:tbl>
    <w:p/>
    <w:p>
      <w:r>
        <w:t xml:space="preserve">Reading: for nitric acid (very cheap catalysts) |Î²| is largest at low prices and falls â€” the MACC is concave and the exponential over-predicts additional abatement above USD 20; for cement, steel and aluminium |Î²| rises with the price because the decisive options (CCS, H2-DRI, inert anodes) only enter above USD 40â€“70 â€” the MACC is convex and a constant Î² calibrated at USD 100 </w:t>
      </w:r>
      <w:r>
        <w:rPr>
          <w:i/>
        </w:rPr>
        <w:t>over</w:t>
      </w:r>
      <w:r>
        <w:t xml:space="preserve">-predicts the response below â‰ˆ USD 50 (where little is actually in the money) and </w:t>
      </w:r>
      <w:r>
        <w:rPr>
          <w:i/>
        </w:rPr>
        <w:t>under</w:t>
      </w:r>
      <w:r>
        <w:t>-predicts it above USD 100. Calibrating at USD 100 is therefore the right anchor for policy scenarios in the USD 50â€“150 range; for scenarios below USD 30 the 2030 column is a safer guide. The workbook also offers a saturating alternative a(Ï„) = A(1 âˆ’ e^(âˆ’Ï„/Ï„_s)) with closed-form two-point calibration Ï„_s = âˆ’100/ln(a(200)/a(100) âˆ’ 1).</w:t>
      </w:r>
    </w:p>
    <w:p>
      <w:pPr>
        <w:pStyle w:val="Heading1"/>
      </w:pPr>
      <w:r>
        <w:t>6. Aggregate IPCC benchmark</w:t>
      </w:r>
    </w:p>
    <w:p>
      <w:r>
        <w:t>Process-related industry options in Table 12.3 costing â‰¤ USD 100 in 2030 sum to 0.86 GtCO2e (0.38 + 0.28 + 0.20); CCU/CCS (0.15 Gt) sits entirely in the 100â€“200 bin. Industrial process GHG were 4.5 Gt in 2019 (Ch.11 Â§11.2); the AR6 reference grows industry CO2 by â‰ˆ 28 % over 2017â€“2030 (Ch.12 SM), while IEA projections for cement and steel output are flatter, so a 2030 reference of 5.2â€“5.8 Gt is used. Result: a(100) = 14.9%â€“16.6% (central 15.7%, Î² â‰ˆ -0.171 %/$); adding enhanced recycling (0.48 Gt, a route-shift option that lowers sector-average intensity) gives 23.3%â€“25.9%. Caveats: "feedstock decarbonisation" includes chemical feedstocks beyond CBAM goods; the Â±25 % uncertainty applies; potentials are deployment-constrained 2030 values. The sector-specific 2030 estimates below (cement 19 %, steel 10â€“11 %, aluminium 7 %, ammonia 15 %, nitric acid 79 %) are consistent with this aggregate once weighted by emissions (cement â‰ˆ 1.5 Gt and steel â‰ˆ 2 Gt dominate; nitric-acid N2O is â‰ˆ 0.1â€“0.2 Gt).</w:t>
      </w:r>
    </w:p>
    <w:p>
      <w:pPr>
        <w:pStyle w:val="Heading1"/>
      </w:pPr>
      <w:r>
        <w:t>7. Sector-by-sector evidence and results</w:t>
      </w:r>
    </w:p>
    <w:p>
      <w:r>
        <w:t>Each table lists the options, the IPCC-sourced cost range and technical reduction, the applicable share, the two deployment factors, the in-the-money fraction at USD 100 and the resulting contribution x = rÂ·sÂ·dÂ·f(100). Sources are listed under each table.</w:t>
      </w:r>
    </w:p>
    <w:p>
      <w:pPr>
        <w:pStyle w:val="Heading2"/>
      </w:pPr>
      <w:r>
        <w:t>7.1 Cement clinker / cement / concrete</w:t>
      </w:r>
    </w:p>
    <w:p>
      <w:r>
        <w:rPr>
          <w:i/>
        </w:rPr>
        <w:t>CBAM goods:</w:t>
      </w:r>
      <w:r>
        <w:t xml:space="preserve"> Cement, clinker, concrete products (CN 2523, 6810 etc.)  </w:t>
      </w:r>
    </w:p>
    <w:p>
      <w:r>
        <w:rPr>
          <w:i/>
        </w:rPr>
        <w:t>Process emissions:</w:t>
      </w:r>
      <w:r>
        <w:t xml:space="preserve"> Calcination CO2 from limestone (CaCO3 -&gt; CaO + CO2): ~0.52 tCO2/t clinker; ~60% of a BAT plant's direct GHG (IPCC AR6 Ch.11 ES &amp; Table 11.3). Fuel CO2 excluded.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Clinker substitution (SCMs: slag, fly ash, calcined clay/LC3, limestone filler) and blended cements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0-50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16.5%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25.5%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Novel binders / alternative chemistries (CSA, belite, alkali-activated) in niche applications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50-150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2.5%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CO2 capture on calcination stream (indirect calcination/LEILAC, oxyfuel, post-combustion) + transport &amp; storage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50-130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2.8%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28.1%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19.3%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47.8%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Clinker substitution (SCMs: slag, fly ash, calcined clay/LC3, limestone filler) and blended cements</w:t>
      </w:r>
      <w:r>
        <w:t>: IPCC AR6 Table 11.3: clinker substitution 40-50% reduction of plant GHG at 'near-zero' cost; Table 12.3: cementitious substitution 0.28 Gt in USD20-50 bin (2030); Fig 11.13 FeedCI 20-50. r=0.30 from clinker ratio 0.71 (2019, Ch.11) -&gt; technical floor ~0.50 (IEA G7 2022): 1-0.50/0.71. d2030=0.55 reproduces 0.28 Gt / ~1.65 Gt 2030 reference calcination CO2 (~17%).</w:t>
      </w:r>
    </w:p>
    <w:p>
      <w:pPr>
        <w:pStyle w:val="ListBullet"/>
      </w:pPr>
      <w:r>
        <w:rPr>
          <w:i/>
        </w:rPr>
        <w:t>Novel binders / alternative chemistries (CSA, belite, alkali-activated) in niche applications</w:t>
      </w:r>
      <w:r>
        <w:t>: IPCC AR6 SPM C.5.2: 'until new chemistries are mastered'; Ch.11 11.4.1.2. Cost range analyst judgement; niche share s=0.2.</w:t>
      </w:r>
    </w:p>
    <w:p>
      <w:pPr>
        <w:pStyle w:val="ListBullet"/>
      </w:pPr>
      <w:r>
        <w:rPr>
          <w:i/>
        </w:rPr>
        <w:t>CO2 capture on calcination stream (indirect calcination/LEILAC, oxyfuel, post-combustion) + transport &amp; storage</w:t>
      </w:r>
      <w:r>
        <w:t>: IPCC AR6 Table 11.3: CCUS 99% of calcination CO2 at &lt;=USD40 capture (TRL 5-7, 2025) + storage of concentrated CO2 USD10-40 (fn f) -&gt; ~50-80 USD; diluted post-combustion 60-170 (Leeson 2017), most &lt;120; Fig 11.13 cement CCUS 60-130; Rootzen &amp; Johnsson 25-110 EUR; ETC 110-130. Table 12.3 puts 2030 industrial CCUS wholly in USD100-200 bin -&gt; d2030 ~0. dLR=0.5 (storage access; Material Economics CCS share 29-79%, Table 11.5).</w:t>
      </w:r>
    </w:p>
    <w:p>
      <w:r>
        <w:rPr>
          <w:b/>
        </w:rPr>
        <w:t>Result:</w:t>
      </w:r>
      <w:r>
        <w:t xml:space="preserve"> a(100) = 19.3% (2030), 47.8% (long run), 33.5% (central); Î²_iso = -0.214 / -0.650 / -0.408 %/$; Î²_lin (central) = -0.335 %/$.</w:t>
      </w:r>
    </w:p>
    <w:p>
      <w:pPr>
        <w:pStyle w:val="Heading2"/>
      </w:pPr>
      <w:r>
        <w:t>7.2 Primary steel: BF-BOF route</w:t>
      </w:r>
    </w:p>
    <w:p>
      <w:r>
        <w:rPr>
          <w:i/>
        </w:rPr>
        <w:t>CBAM goods:</w:t>
      </w:r>
      <w:r>
        <w:t xml:space="preserve"> Pig iron, crude steel, iron &amp; steel products (Ch.72/73)  </w:t>
      </w:r>
    </w:p>
    <w:p>
      <w:r>
        <w:rPr>
          <w:i/>
        </w:rPr>
        <w:t>Process emissions:</w:t>
      </w:r>
      <w:r>
        <w:t xml:space="preserve"> CO2 from carbon reductant (coke/coal) and carbonate fluxes: ~1.8-2.0 of 2.3 tCO2/t crude steel (IPCC AR6 Ch.11 11.4.1.1). Under IPCC inventory rules reductant CO2 is IPPU 2C1 (process); under CBAM all direct emissions are counted.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Incremental: higher scrap charge in BOF, H2/biomass/plastics injection in BF, top-gas efficiency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20-80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6.0%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14.0%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BF-BOF with top-gas recycling + CCUS (retrofit, &lt;=50-60% capture)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70-130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12.0%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Route switch at relining: H2-DRI-EAF (or HIsarna+CCS, syngas DRI+CCS)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40-120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28.5%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10.2%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45.9%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Incremental: higher scrap charge in BOF, H2/biomass/plastics injection in BF, top-gas efficiency</w:t>
      </w:r>
      <w:r>
        <w:t>: IPCC AR6 Ch.11: H2 co-firing 30-40% max (coke needed for stack integrity); 15% energy-efficiency potential (Fig 11.8); bio-coal limited by biomass demand. Costs: Fig 11.13 steel EE &lt;20, ME/circ 20-50, FeedCI 20-80.</w:t>
      </w:r>
    </w:p>
    <w:p>
      <w:pPr>
        <w:pStyle w:val="ListBullet"/>
      </w:pPr>
      <w:r>
        <w:rPr>
          <w:i/>
        </w:rPr>
        <w:t>BF-BOF with top-gas recycling + CCUS (retrofit, &lt;=50-60% capture)</w:t>
      </w:r>
      <w:r>
        <w:t>: IPCC AR6 Table 11.3: BF-BOF + TGR + CCUS 60% at USD70-130 (2025-30); Ch.11: hard to retrofit beyond 50% capture; Fig 11.13 steel CCUS 60-100. Table 12.3 2030 CCUS in 100-200 bin -&gt; d2030 ~0.</w:t>
      </w:r>
    </w:p>
    <w:p>
      <w:pPr>
        <w:pStyle w:val="ListBullet"/>
      </w:pPr>
      <w:r>
        <w:rPr>
          <w:i/>
        </w:rPr>
        <w:t>Route switch at relining: H2-DRI-EAF (or HIsarna+CCS, syngas DRI+CCS)</w:t>
      </w:r>
      <w:r>
        <w:t>: IPCC AR6 Table 11.3: H2-DRI-EAF up to 99% at USD39-79 (EUR40/MWh electricity); HIsarna+CCS 80-90% at USD40-70; syngas DRI-EAF+CCUS &gt;=90% at &gt;=USD40; ETC steel avg USD60; Material Economics new-process pathway EUR91. Upper bound 120 reflects higher electricity prices. SPM C.5.2: H2-DRI 'near-commercial'. Relining cycle 15-25 yrs -&gt; dLR=0.4 at USD100.</w:t>
      </w:r>
    </w:p>
    <w:p>
      <w:r>
        <w:rPr>
          <w:b/>
        </w:rPr>
        <w:t>Result:</w:t>
      </w:r>
      <w:r>
        <w:t xml:space="preserve"> a(100) = 10.2% (2030), 45.9% (long run), 28.0% (central); Î²_iso = -0.107 / -0.614 / -0.329 %/$; Î²_lin (central) = -0.280 %/$.</w:t>
      </w:r>
    </w:p>
    <w:p>
      <w:pPr>
        <w:pStyle w:val="Heading2"/>
      </w:pPr>
      <w:r>
        <w:t>7.3 Primary steel: natural-gas DRI-EAF route (Egypt-type)</w:t>
      </w:r>
    </w:p>
    <w:p>
      <w:r>
        <w:rPr>
          <w:i/>
        </w:rPr>
        <w:t>CBAM goods:</w:t>
      </w:r>
      <w:r>
        <w:t xml:space="preserve"> DRI (CN 7203), crude steel and products  </w:t>
      </w:r>
    </w:p>
    <w:p>
      <w:r>
        <w:rPr>
          <w:i/>
        </w:rPr>
        <w:t>Process emissions:</w:t>
      </w:r>
      <w:r>
        <w:t xml:space="preserve"> CO2 from natural-gas reductant in the shaft furnace (~0.5-0.7 tCO2/t DRI, partly separated in the top-gas CO2-removal unit) plus EAF carbon inputs and fluxes (~0.05-0.1 tCO2/t).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CO2 capture on DRI process gas (concentrated top-gas stream) + T&amp;S (Al Reyadah/Emirates Steel type)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40-90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7.2%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43.3%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Hydrogen blending &lt;=30% in existing DRI shaft (no process change)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70-400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0.09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1.9%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Full conversion to H2-DRI (electrolytic hydrogen)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40-120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21.2%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EAF: bio-based charge carbon/electrodes, lime from decarbonised kilns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50-150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2.6%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11.3%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57.3%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CO2 capture on DRI process gas (concentrated top-gas stream) + T&amp;S (Al Reyadah/Emirates Steel type)</w:t>
      </w:r>
      <w:r>
        <w:t>: IPCC AR6 Table 11.3: syngas DRI-EAF + CCUS &gt;=90% at &gt;=USD40; Ch.11 11.4.1.1 Abu Dhabi DRI capture operating since 2016; concentrated-CO2 storage USD10-40 (fn f). s=0.85 = DRI share of route process emissions.</w:t>
      </w:r>
    </w:p>
    <w:p>
      <w:pPr>
        <w:pStyle w:val="ListBullet"/>
      </w:pPr>
      <w:r>
        <w:rPr>
          <w:i/>
        </w:rPr>
        <w:t>Hydrogen blending &lt;=30% in existing DRI shaft (no process change)</w:t>
      </w:r>
      <w:r>
        <w:t>: IPCC AR6 Ch.11: &lt;=30% H2 substitutable without process change. Cost = H2 premium: at H2 USD1.0-3.0/kg vs gas USD5/MMBtu, abatement cost ~70-400 USD/tCO2 (own calc.: 1 kg H2 displaces 0.114 MMBtu gas = 6 kgCO2).</w:t>
      </w:r>
    </w:p>
    <w:p>
      <w:pPr>
        <w:pStyle w:val="ListBullet"/>
      </w:pPr>
      <w:r>
        <w:rPr>
          <w:i/>
        </w:rPr>
        <w:t>Full conversion to H2-DRI (electrolytic hydrogen)</w:t>
      </w:r>
      <w:r>
        <w:t>: IPCC AR6 Table 11.3: H2-DRI-EAF up to 99% at USD39-79 (converted from EUR2018 34-68; EUR40/MWh). Brownfield DRI plants are the easiest conversion candidates.</w:t>
      </w:r>
    </w:p>
    <w:p>
      <w:pPr>
        <w:pStyle w:val="ListBullet"/>
      </w:pPr>
      <w:r>
        <w:rPr>
          <w:i/>
        </w:rPr>
        <w:t>EAF: bio-based charge carbon/electrodes, lime from decarbonised kilns</w:t>
      </w:r>
      <w:r>
        <w:t>: Analyst judgement; see scrap-EAF row for sources.</w:t>
      </w:r>
    </w:p>
    <w:p>
      <w:r>
        <w:rPr>
          <w:b/>
        </w:rPr>
        <w:t>Result:</w:t>
      </w:r>
      <w:r>
        <w:t xml:space="preserve"> a(100) = 11.3% (2030), 57.3% (long run), 34.3% (central); Î²_iso = -0.120 / -0.852 / -0.421 %/$; Î²_lin (central) = -0.343 %/$.</w:t>
      </w:r>
    </w:p>
    <w:p>
      <w:pPr>
        <w:pStyle w:val="Heading2"/>
      </w:pPr>
      <w:r>
        <w:t>7.4 Secondary steel: scrap-EAF</w:t>
      </w:r>
    </w:p>
    <w:p>
      <w:r>
        <w:rPr>
          <w:i/>
        </w:rPr>
        <w:t>CBAM goods:</w:t>
      </w:r>
      <w:r>
        <w:t xml:space="preserve"> Crude steel and products  </w:t>
      </w:r>
    </w:p>
    <w:p>
      <w:r>
        <w:rPr>
          <w:i/>
        </w:rPr>
        <w:t>Process emissions:</w:t>
      </w:r>
      <w:r>
        <w:t xml:space="preserve"> CO2 from graphite electrodes, charge/injection carbon and lime/dolomite fluxes: ~0.05-0.10 tCO2/t steel (IPCC AR6 Ch.11: EAF route 0.3 tCO2/t or less incl. gas burners; electricity excluded).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Operational optimisation (electrode consumption, carbon injection control, foamy-slag practice)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0-20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5.2%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8.4%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Bio-based charge carbon / biochar, bio-derived electrodes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50-150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14.7%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Lime/dolime from kilns with CO2 capture (supply-chain measure)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60-130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0.57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6.2%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9.5%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26.7%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Operational optimisation (electrode consumption, carbon injection control, foamy-slag practice)</w:t>
      </w:r>
      <w:r>
        <w:t>: Low/no-cost measures; s=0.7 = share of EAF process CO2 from carbon inputs (remainder = flux calcination). Analyst judgement, consistent with IPCC Fig 11.13 steel EE &lt;USD20.</w:t>
      </w:r>
    </w:p>
    <w:p>
      <w:pPr>
        <w:pStyle w:val="ListBullet"/>
      </w:pPr>
      <w:r>
        <w:rPr>
          <w:i/>
        </w:rPr>
        <w:t>Bio-based charge carbon / biochar, bio-derived electrodes</w:t>
      </w:r>
      <w:r>
        <w:t>: IPCC AR6 Ch.11: bio-based fuels can substitute part of coal input but limited by biomass demand; cost range from biochar price premium (analyst calc.).</w:t>
      </w:r>
    </w:p>
    <w:p>
      <w:pPr>
        <w:pStyle w:val="ListBullet"/>
      </w:pPr>
      <w:r>
        <w:rPr>
          <w:i/>
        </w:rPr>
        <w:t>Lime/dolime from kilns with CO2 capture (supply-chain measure)</w:t>
      </w:r>
      <w:r>
        <w:t>: Same cost basis as cement calcination capture (IPCC Table 11.3 / Fig 11.13).</w:t>
      </w:r>
    </w:p>
    <w:p>
      <w:r>
        <w:rPr>
          <w:b/>
        </w:rPr>
        <w:t>Result:</w:t>
      </w:r>
      <w:r>
        <w:t xml:space="preserve"> a(100) = 9.5% (2030), 26.7% (long run), 18.1% (central); Î²_iso = -0.100 / -0.310 / -0.200 %/$; Î²_lin (central) = -0.181 %/$.</w:t>
      </w:r>
    </w:p>
    <w:p>
      <w:pPr>
        <w:pStyle w:val="Heading2"/>
      </w:pPr>
      <w:r>
        <w:t>7.5 Primary aluminium (Hall-Heroult)</w:t>
      </w:r>
    </w:p>
    <w:p>
      <w:r>
        <w:rPr>
          <w:i/>
        </w:rPr>
        <w:t>CBAM goods:</w:t>
      </w:r>
      <w:r>
        <w:t xml:space="preserve"> Unwrought aluminium and products (Ch.76)  </w:t>
      </w:r>
    </w:p>
    <w:p>
      <w:r>
        <w:rPr>
          <w:i/>
        </w:rPr>
        <w:t>Process emissions:</w:t>
      </w:r>
      <w:r>
        <w:t xml:space="preserve"> CO2 from consumption of carbon (prebaked) anodes ~1.5-1.6 tCO2/t Al (IPCC AR6 Table 11.3; AR4 Table 7.6: 1.55) plus PFCs (CF4, C2F6) from anode effects ~0.3-1.2 tCO2e/t (IPCC AR6: 'up to 2', 'almost eliminated in well-run facilities'; IAI: process emissions ~15% of sector total). Central split: anode CO2 72% / PFC 28%.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PFC control: anode-effect reduction (point feeders, process control, LV-PFC management)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0-20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5.9%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15.7%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Inert (non-carbon) anodes - eliminates anode CO2 and PFCs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40-150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1.1%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24.5%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6.9%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36.4%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PFC control: anode-effect reduction (point feeders, process control, LV-PFC management)</w:t>
      </w:r>
      <w:r>
        <w:t>: IPCC AR4 Ch.7: PFC steps 'mainly low or no-cost'; intensity fell 4.4 -&gt; 1.2 tCO2e/t 1990-2004; AR4 Table 7.9: 7.6 of 51 Mt (15%) of 2030 PFC baseline &lt;USD20 (remaining potential concentrated in non-BAT smelters). r=0.7 for non-BAT smelters.</w:t>
      </w:r>
    </w:p>
    <w:p>
      <w:pPr>
        <w:pStyle w:val="ListBullet"/>
      </w:pPr>
      <w:r>
        <w:rPr>
          <w:i/>
        </w:rPr>
        <w:t>Inert (non-carbon) anodes - eliminates anode CO2 and PFCs</w:t>
      </w:r>
      <w:r>
        <w:t>: IPCC AR6 Table 11.3 &amp; fn h: inert electrodes 100% of process emissions at 'relatively low' cost, TRL 6-7, commercialisation target 2024 (ELYSIS); no USD/tCO2 figure given -&gt; wide analyst range 40-150. Pot relining cycle ~5-7 yrs allows retrofit; dLR=0.45.</w:t>
      </w:r>
    </w:p>
    <w:p>
      <w:r>
        <w:rPr>
          <w:b/>
        </w:rPr>
        <w:t>Result:</w:t>
      </w:r>
      <w:r>
        <w:t xml:space="preserve"> a(100) = 6.9% (2030), 36.4% (long run), 21.6% (central); Î²_iso = -0.072 / -0.452 / -0.244 %/$; Î²_lin (central) = -0.216 %/$.</w:t>
      </w:r>
    </w:p>
    <w:p>
      <w:pPr>
        <w:pStyle w:val="Heading2"/>
      </w:pPr>
      <w:r>
        <w:t>7.6 Ammonia (natural-gas SMR; merchant and non-urea uses)</w:t>
      </w:r>
    </w:p>
    <w:p>
      <w:r>
        <w:rPr>
          <w:i/>
        </w:rPr>
        <w:t>CBAM goods:</w:t>
      </w:r>
      <w:r>
        <w:t xml:space="preserve"> Ammonia (CN 2814)  </w:t>
      </w:r>
    </w:p>
    <w:p>
      <w:r>
        <w:rPr>
          <w:i/>
        </w:rPr>
        <w:t>Process emissions:</w:t>
      </w:r>
      <w:r>
        <w:t xml:space="preserve"> CO2 from the feedstock (shift) reaction, removed as a concentrated stream in the CO2-removal unit: ~1.2 of 1.6-1.8 tCO2/t NH3 for gas-based plants (IPCC AR6 Table 11.3: 1.6 t gas / 3.8 t coal). Fuel CO2 excluded.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CCS of already-separated process CO2 (compression + T&amp;S) - plants not integrated with urea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15-50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12.8%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34.2%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Electrolytic (renewable) hydrogen feed - full replacement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50-200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11.7%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Partial electrolysis (hybrid 10-20% H2) and feedstock-efficiency improvements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50-150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4.5%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15.0%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44.5%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CCS of already-separated process CO2 (compression + T&amp;S) - plants not integrated with urea</w:t>
      </w:r>
      <w:r>
        <w:t>: IPCC AR6 Table 11.3 fn f: CCS of concentrated CO2 USD15-40 commercial; SMR+CCS 56% (process stream) at &lt;=USD40. s=0.45: ~55% of global NH3 goes to urea (IEA Ammonia Roadmap 2021: 177 Mt urea x 0.57 t NH3/t = ~100 Mt of ~183 Mt NH3) and that CO2 is consumed, not storable.</w:t>
      </w:r>
    </w:p>
    <w:p>
      <w:pPr>
        <w:pStyle w:val="ListBullet"/>
      </w:pPr>
      <w:r>
        <w:rPr>
          <w:i/>
        </w:rPr>
        <w:t>Electrolytic (renewable) hydrogen feed - full replacement</w:t>
      </w:r>
      <w:r>
        <w:t>: IPCC AR6 Table 11.3: low-GHG H2 &lt;=99% 'at cost of H2'; electrolysis H2 ~USD50/t at low-cost renewables; IEA Ammonia Roadmap 2021: electrolysis competitive with CCS only at very low electricity prices -&gt; upper bound 200.</w:t>
      </w:r>
    </w:p>
    <w:p>
      <w:pPr>
        <w:pStyle w:val="ListBullet"/>
      </w:pPr>
      <w:r>
        <w:rPr>
          <w:i/>
        </w:rPr>
        <w:t>Partial electrolysis (hybrid 10-20% H2) and feedstock-efficiency improvements</w:t>
      </w:r>
      <w:r>
        <w:t>: Analyst judgement; same H2 cost basis.</w:t>
      </w:r>
    </w:p>
    <w:p>
      <w:r>
        <w:rPr>
          <w:b/>
        </w:rPr>
        <w:t>Result:</w:t>
      </w:r>
      <w:r>
        <w:t xml:space="preserve"> a(100) = 15.0% (2030), 44.5% (long run), 29.7% (central); Î²_iso = -0.162 / -0.589 / -0.353 %/$; Î²_lin (central) = -0.297 %/$.</w:t>
      </w:r>
    </w:p>
    <w:p>
      <w:pPr>
        <w:pStyle w:val="Heading2"/>
      </w:pPr>
      <w:r>
        <w:t>7.7 Urea (ammonia precursor + urea plant)</w:t>
      </w:r>
    </w:p>
    <w:p>
      <w:r>
        <w:rPr>
          <w:i/>
        </w:rPr>
        <w:t>CBAM goods:</w:t>
      </w:r>
      <w:r>
        <w:t xml:space="preserve"> Urea (CN 3102 10)  </w:t>
      </w:r>
    </w:p>
    <w:p>
      <w:r>
        <w:rPr>
          <w:i/>
        </w:rPr>
        <w:t>Process emissions:</w:t>
      </w:r>
      <w:r>
        <w:t xml:space="preserve"> Embedded process CO2 = ammonia-stage process CO2 (0.57 t NH3/t urea x ~1.2 = ~0.7 tCO2/t). Under CBAM the CO2 bound into urea is NOT deducted: Implementing Regulation (EU) 2023/1773 Annex III / Commission Guidance 5c - CO2 received as process input is counted as an emission if not already counted upstream. Hence the process CO2 cannot be abated by CCS (it is the feedstock).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CCS of surplus process CO2 (plants with CO2 in excess of urea stoichiometry, ~10%)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15-50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2.8%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7.6%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Electrolytic H2 + alternative CO2 source (bio-CO2, captured fuel CO2, DAC)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60-220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7.5%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Hybrid partial electrolysis / efficiency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50-150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4.5%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4.8%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18.4%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CCS of surplus process CO2 (plants with CO2 in excess of urea stoichiometry, ~10%)</w:t>
      </w:r>
      <w:r>
        <w:t>: Same cost basis as ammonia CCS; s=0.10 analyst estimate of surplus CO2.</w:t>
      </w:r>
    </w:p>
    <w:p>
      <w:pPr>
        <w:pStyle w:val="ListBullet"/>
      </w:pPr>
      <w:r>
        <w:rPr>
          <w:i/>
        </w:rPr>
        <w:t>Electrolytic H2 + alternative CO2 source (bio-CO2, captured fuel CO2, DAC)</w:t>
      </w:r>
      <w:r>
        <w:t>: IPCC AR6 Table 11.3 (cost of H2) + Ch.11 p.1185: DAC-sourced CO2 feedstock very high cost today; bio-CO2 cheaper. Upper bound raised vs ammonia for CO2 sourcing.</w:t>
      </w:r>
    </w:p>
    <w:p>
      <w:pPr>
        <w:pStyle w:val="ListBullet"/>
      </w:pPr>
      <w:r>
        <w:rPr>
          <w:i/>
        </w:rPr>
        <w:t>Hybrid partial electrolysis / efficiency</w:t>
      </w:r>
      <w:r>
        <w:t>: Analyst judgement.</w:t>
      </w:r>
    </w:p>
    <w:p>
      <w:r>
        <w:rPr>
          <w:b/>
        </w:rPr>
        <w:t>Result:</w:t>
      </w:r>
      <w:r>
        <w:t xml:space="preserve"> a(100) = 4.8% (2030), 18.4% (long run), 11.6% (central); Î²_iso = -0.049 / -0.203 / -0.123 %/$; Î²_lin (central) = -0.116 %/$.</w:t>
      </w:r>
    </w:p>
    <w:p>
      <w:pPr>
        <w:pStyle w:val="Heading2"/>
      </w:pPr>
      <w:r>
        <w:t>7.8 Nitric acid (N2O) - component of ammonium nitrate and other N fertilisers</w:t>
      </w:r>
    </w:p>
    <w:p>
      <w:r>
        <w:rPr>
          <w:i/>
        </w:rPr>
        <w:t>CBAM goods:</w:t>
      </w:r>
      <w:r>
        <w:t xml:space="preserve"> Nitric acid (CN 2808), ammonium nitrate (CN 3102 30/40), mixed fertilisers  </w:t>
      </w:r>
    </w:p>
    <w:p>
      <w:r>
        <w:rPr>
          <w:i/>
        </w:rPr>
        <w:t>Process emissions:</w:t>
      </w:r>
      <w:r>
        <w:t xml:space="preserve"> N2O by-product of ammonia oxidation: unabated 5-9 kg N2O/t HNO3 (= 1.4-2.5 tCO2e/t HNO3 at GWP100=273, AR6). CBAM requires reporting of N2O 'including unabated and abated emissions' (Guidance 5c).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Secondary / tertiary N2O decomposition catalysts (de-N2O)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2-10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0.88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79.2%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83.6%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79.2%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83.6%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Secondary / tertiary N2O decomposition catalysts (de-N2O)</w:t>
      </w:r>
      <w:r>
        <w:t>: IPCC AR4 WGIII Ch.7 7.4.3.4: costs USD2000 2.0-5.8/tCO2e (= ~USD2019 3-9), potential 70% to 'almost 100%', 89% typical; AR4 Table 7.9: 158 of 190 Mt (83%) of 2030 baseline &lt;USD0 and 174 (92%) &lt;USD100. NACAG FAQ 2024: secondary 70-90%, tertiary up to 99%; 'low-cost'. Quick retrofit -&gt; d2030=0.9.</w:t>
      </w:r>
    </w:p>
    <w:p>
      <w:r>
        <w:rPr>
          <w:b/>
        </w:rPr>
        <w:t>Result:</w:t>
      </w:r>
      <w:r>
        <w:t xml:space="preserve"> a(100) = 79.2% (2030), 83.6% (long run), 81.4% (central); Î²_iso = -1.570 / -1.808 / -1.682 %/$; Î²_lin (central) = -0.814 %/$.</w:t>
      </w:r>
    </w:p>
    <w:p>
      <w:pPr>
        <w:pStyle w:val="Heading2"/>
      </w:pPr>
      <w:r>
        <w:t>7.9 Hydrogen (merchant, SMR)</w:t>
      </w:r>
    </w:p>
    <w:p>
      <w:r>
        <w:rPr>
          <w:i/>
        </w:rPr>
        <w:t>CBAM goods:</w:t>
      </w:r>
      <w:r>
        <w:t xml:space="preserve"> Hydrogen (CN 2804 10)  </w:t>
      </w:r>
    </w:p>
    <w:p>
      <w:r>
        <w:rPr>
          <w:i/>
        </w:rPr>
        <w:t>Process emissions:</w:t>
      </w:r>
      <w:r>
        <w:t xml:space="preserve"> CO2 from feedstock (shift) reaction, concentrated stream ~55-60% of total SMR CO2 (~9-10 tCO2/t H2). Fuel CO2 excluded.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Cost USD2019/t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s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d2030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dLR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f(100)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x2030(100)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xLR(100)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CCS of concentrated process CO2 stream (+ T&amp;S)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15-50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14.2%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66.5%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Electrolysis (renewable) replacing SMR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50-200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1.7%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11.7%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6"/>
              </w:rPr>
              <w:t>Combined a(100)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b/>
                <w:sz w:val="16"/>
              </w:rPr>
              <w:t>15.7%</w:t>
            </w:r>
          </w:p>
        </w:tc>
        <w:tc>
          <w:tcPr>
            <w:tcW w:type="dxa" w:w="1108"/>
          </w:tcPr>
          <w:p>
            <w:r>
              <w:rPr>
                <w:b/>
                <w:sz w:val="16"/>
              </w:rPr>
              <w:t>70.4%</w:t>
            </w:r>
          </w:p>
        </w:tc>
      </w:tr>
    </w:tbl>
    <w:p/>
    <w:p>
      <w:r>
        <w:t>Sources and parameter notes:</w:t>
      </w:r>
    </w:p>
    <w:p>
      <w:pPr>
        <w:pStyle w:val="ListBullet"/>
      </w:pPr>
      <w:r>
        <w:rPr>
          <w:i/>
        </w:rPr>
        <w:t>CCS of concentrated process CO2 stream (+ T&amp;S)</w:t>
      </w:r>
      <w:r>
        <w:t>: IPCC AR6 Table 11.3: SMR + CCS 56% at &lt;=USD40 (chem. stream), &lt;=90% at &lt;=USD120 incl. heat; fn f concentrated CO2 USD15-40. d2030=0.15 reflects IEA project pipeline.</w:t>
      </w:r>
    </w:p>
    <w:p>
      <w:pPr>
        <w:pStyle w:val="ListBullet"/>
      </w:pPr>
      <w:r>
        <w:rPr>
          <w:i/>
        </w:rPr>
        <w:t>Electrolysis (renewable) replacing SMR</w:t>
      </w:r>
      <w:r>
        <w:t>: IPCC AR6 Table 11.3: electrolysis H2 ~USD50/t with low-cost renewables; wide range for electricity price.</w:t>
      </w:r>
    </w:p>
    <w:p>
      <w:r>
        <w:rPr>
          <w:b/>
        </w:rPr>
        <w:t>Result:</w:t>
      </w:r>
      <w:r>
        <w:t xml:space="preserve"> a(100) = 15.7% (2030), 70.4% (long run), 43.0% (central); Î²_iso = -0.171 / -1.218 / -0.563 %/$; Î²_lin (central) = -0.430 %/$.</w:t>
      </w:r>
    </w:p>
    <w:p>
      <w:pPr>
        <w:pStyle w:val="Heading2"/>
      </w:pPr>
      <w:r>
        <w:t>7.9 Ammonium nitrate (composite of nitric acid and ammonia)</w:t>
      </w:r>
    </w:p>
    <w:p>
      <w:r>
        <w:t>Per tonne of AN: â‰ˆ 0.60 t HNO3 and â‰ˆ 0.21 t NH3. With unabated nitric acid (7 kg N2O/t HNO3 Ã— 273) the N2O pool is â‰ˆ 1.15 tCO2e/t AN against â‰ˆ 0.25 tCO2 of ammonia-stage process CO2 â€” shares 82 %/18 %. Where N2O is already â‰ˆ 90 % abated (EU plants since 2013; CDM-legacy plants elsewhere) the residual N2O pool is â‰ˆ 0.115 tCO2e and the shares become 31 %/69 %, with only a secondary-to-tertiary upgrade (assumed r = 0.5 of the residual) left on the N2O side. Pools are disjoint, so abatement is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Case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a(100) 2030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a(100) LR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a(100) central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Î² iso central (%/$)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Ammonium nitrate - unabated N2O baseline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67.6%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76.6%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72.1%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-1.277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Ammonium nitrate - N2O already ~90% abated (EU / CDM-legacy plants)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21.2%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44.6%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32.9%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-0.399</w:t>
            </w:r>
          </w:p>
        </w:tc>
      </w:tr>
    </w:tbl>
    <w:p/>
    <w:p>
      <w:r>
        <w:t xml:space="preserve">The choice between the two AN rows is an </w:t>
      </w:r>
      <w:r>
        <w:rPr>
          <w:b/>
        </w:rPr>
        <w:t>empirical question about the baseline plant</w:t>
      </w:r>
      <w:r>
        <w:t>: a CBAM-exposed producer whose nitric-acid lines are unabated has by far the most price-responsive process emissions of any CBAM good (and the cheapest: USD 3â€“9/tCO2e), whereas an already-abated producer behaves essentially like an ammonia producer.</w:t>
      </w:r>
    </w:p>
    <w:p>
      <w:pPr>
        <w:pStyle w:val="Heading2"/>
      </w:pPr>
      <w:r>
        <w:t>7.10 Other CBAM goods</w:t>
      </w:r>
    </w:p>
    <w:p>
      <w:pPr>
        <w:pStyle w:val="ListBullet"/>
      </w:pPr>
      <w:r>
        <w:rPr>
          <w:b/>
        </w:rPr>
        <w:t>Iron-ore pellets and sinter</w:t>
      </w:r>
      <w:r>
        <w:t xml:space="preserve">: process CO2 only from carbonate fluxes/binders (small); treat with the scrap-EAF flux parameters. </w:t>
      </w:r>
      <w:r>
        <w:rPr>
          <w:b/>
        </w:rPr>
        <w:t>Ferro-alloys</w:t>
      </w:r>
      <w:r>
        <w:t xml:space="preserve">: reductant CO2 as in BF iron-making (AR4 Table 7.6: 1.6â€“4.9 tCO2/t); use BF-BOF parameters (bio-reductants are a somewhat cheaper option, which would raise the 2030 figure). </w:t>
      </w:r>
      <w:r>
        <w:rPr>
          <w:b/>
        </w:rPr>
        <w:t>Downstream iron/steel and aluminium articles, mixed fertilisers</w:t>
      </w:r>
      <w:r>
        <w:t xml:space="preserve">: embedded emissions are inherited from precursors; apply the precursor's Î² weighted by the precursor's share of embedded process emissions. </w:t>
      </w:r>
      <w:r>
        <w:rPr>
          <w:b/>
        </w:rPr>
        <w:t>Electricity</w:t>
      </w:r>
      <w:r>
        <w:t>: no process emissions.</w:t>
      </w:r>
    </w:p>
    <w:p>
      <w:pPr>
        <w:pStyle w:val="Heading1"/>
      </w:pPr>
      <w:r>
        <w:t>8. Comparison with empirical (econometric) evidence and with the existing CPAT parameter</w:t>
      </w:r>
    </w:p>
    <w:p>
      <w:r>
        <w:t xml:space="preserve">Ex-post studies of the EU ETS find total installation emissions 7â€“16 % below counterfactual at average allowance prices of roughly EUR 10â€“25 (Bayer &amp; Aklin 2020: âˆ’8 to âˆ’12 % for covered sectors; DechezleprÃªtre et al. 2023: â‰ˆ âˆ’10 % 2005â€“12; Colmer et al. 2024: âˆ’14 %/âˆ’16 % in Phases I/II with marginal abatement cost "not exceeding USD 53/t"; DÃ¶bbeling-Hildebrandt et al. 2024 meta-analysis: âˆ’7.3 % for the EU ETS at a mean USD 20/t, âˆ’10.4 % across 21 schemes, bias-corrected âˆ’6.8 %). Mechanically these imply semi-elasticities of 0.3â€“1.0 % per EUR â€” several times the MACC-based values above. They are </w:t>
      </w:r>
      <w:r>
        <w:rPr>
          <w:b/>
        </w:rPr>
        <w:t>not transferable to process emissions</w:t>
      </w:r>
      <w:r>
        <w:t>: the estimates are for total emissions, dominated by combustion and fuel switching in power and heat, over a period when process-emission technologies (CCS, H2-DRI, inert anodes) were unavailable; the meta-analysis authors explicitly judge the price-elasticity evidence insufficient for a pooled estimate. The one process gas with observed ETS evidence is nitric-acid N2O, whose EU emissions fell by roughly an order of magnitude after inclusion in 2013 â€” consistent with the â‰ˆ 80â€“90 % figures derived here from AR4/NACAG.</w:t>
      </w:r>
    </w:p>
    <w:p>
      <w:r>
        <w:t>The existing CPAT Egypt process semi-elasticity (Î² = âˆ’0.104 %/$, a(100) â‰ˆ 9.9%) is consistent with a 2030, cement-dominated reading of IPCC AR6 (aggregate 15â€“17 %; cement 19 %) and is conservative relative to the long-run technology-cost potentials. It materially understates the response of nitric-acid N2O (where a Î² of about âˆ’1.5 %/$ at prices up to USD 20 â€” effectively full abatement â€” is appropriate) and of ammonia/hydrogen process CO2 where CO2 storage is accessible.</w:t>
      </w:r>
    </w:p>
    <w:p>
      <w:pPr>
        <w:pStyle w:val="Heading1"/>
      </w:pPr>
      <w:r>
        <w:t>9. Egypt versus non-Egypt</w:t>
      </w:r>
    </w:p>
    <w:p>
      <w:r>
        <w:t>Per instruction the same parameters are used. Points that would differentiate Egypt if a country-specific calibration were attempted: (i) Egyptian primary steel is natural-gas DRI-EAF, for which the relevant row is 7.3 â€” the concentrated DRI top-gas CO2 is one of the cheapest industrial CCS opportunities and Egypt has depleted hydrocarbon reservoirs, but no CO2 transport/storage infrastructure exists today, which argues for the 2030 column in the near term; (ii) cement is the dominant process-emission source (â‰ˆ 28 of â‰ˆ 30 Mt in the CPAT CBAM base) and clinker substitution is the operative lever â€” Egypt's clinker ratio and SCM availability (limited slag/fly ash; abundant limestone and clay for LC3) determine whether the 30 % technical ceiling is reachable; (iii) nitric-acid N2O status at Egyptian AN plants should be verified (CDM-era de-N2O projects were registered in Egypt; if catalysts are in place and operating, use the "already abated" AN row); (iv) low-cost gas and the absence of a domestic carbon price mean that the price-induced response starts from a less abated baseline than in the EU, which raises the 2030 percentages for N2O and PFCs and leaves cement/steel/ammonia essentially unchanged.</w:t>
      </w:r>
    </w:p>
    <w:p>
      <w:pPr>
        <w:pStyle w:val="Heading1"/>
      </w:pPr>
      <w:r>
        <w:t>10. Limitations</w:t>
      </w:r>
    </w:p>
    <w:p>
      <w:pPr>
        <w:pStyle w:val="ListNumber"/>
      </w:pPr>
      <w:r>
        <w:t>The IPCC provides engineering potentials and technology costs, not behavioural price responses; converting them to a price response requires the deployment assumptions in Â§4, which are the main source of uncertainty (Â±25 % on IPCC potentials; larger on d_LR).</w:t>
      </w:r>
    </w:p>
    <w:p>
      <w:pPr>
        <w:pStyle w:val="ListNumber"/>
      </w:pPr>
      <w:r>
        <w:t>Costs are USD2019 and partly pre-2020 study vintages; capture and electrolyser costs have moved in both directions since.</w:t>
      </w:r>
    </w:p>
    <w:p>
      <w:pPr>
        <w:pStyle w:val="ListNumber"/>
      </w:pPr>
      <w:r>
        <w:t>Potentials across sectors are "not necessarily additive" (SPM Fig. SPM.7 caption); the multiplicative combination is an approximation.</w:t>
      </w:r>
    </w:p>
    <w:p>
      <w:pPr>
        <w:pStyle w:val="ListNumber"/>
      </w:pPr>
      <w:r>
        <w:t>The constant-Î² form is a calibration device, not a structural result; its bin-consistency is shown in Â§5.</w:t>
      </w:r>
    </w:p>
    <w:p>
      <w:pPr>
        <w:pStyle w:val="ListNumber"/>
      </w:pPr>
      <w:r>
        <w:t>CBAM-specific rules (urea CO2, N2O reporting) are taken from the Commission's guidance because the EUR-Lex text was not machine-accessible during this exercise; the substantive provisions quoted are those of Annex III of Regulation (EU) 2023/1773.</w:t>
      </w:r>
    </w:p>
    <w:p>
      <w:pPr>
        <w:pStyle w:val="ListNumber"/>
      </w:pPr>
      <w:r>
        <w:t>No sector-specific econometric estimate of process-emission price elasticity exists in the literature reviewed.</w:t>
      </w:r>
    </w:p>
    <w:p>
      <w:pPr>
        <w:pStyle w:val="Heading1"/>
      </w:pPr>
      <w:r>
        <w:t>11. Recommendation</w:t>
      </w:r>
    </w:p>
    <w:p>
      <w:r>
        <w:t xml:space="preserve">For a medium-run CPAT-type simulation at carbon prices of USD 50â€“150: use the </w:t>
      </w:r>
      <w:r>
        <w:rPr>
          <w:b/>
        </w:rPr>
        <w:t>central</w:t>
      </w:r>
      <w:r>
        <w:t xml:space="preserve"> Î² values in Â§0 by sector (cement -0.41, BF-BOF -0.33, NG-DRI-EAF -0.42, scrap-EAF -0.20, aluminium -0.24, ammonia -0.35, urea -0.12, nitric acid -1.68, ammonium nitrate -1.28 (unabated) / -0.40 (abated), hydrogen -0.56 %/$), with the 2030 column as the low case and the long-run column as the high case. If a single economy-wide process parameter is required, the emissions-weighted 2030 IPCC aggregate (Î² â‰ˆ -0.17 %/$, a(100) â‰ˆ 16%) is the defensible IPCC-anchored figure; the existing âˆ’0.104 %/$ is a conservative lower bound.</w:t>
      </w:r>
    </w:p>
    <w:p>
      <w:pPr>
        <w:pStyle w:val="Heading1"/>
      </w:pPr>
      <w:r>
        <w:t>References</w:t>
      </w:r>
    </w:p>
    <w:p>
      <w:pPr>
        <w:pStyle w:val="ListBullet"/>
      </w:pPr>
      <w:r>
        <w:t>IPCC (2022) AR6 WGIII, Summary for Policymakers: C.5, C.5.2, C.12, C.12.1, Figure SPM.7.</w:t>
      </w:r>
    </w:p>
    <w:p>
      <w:pPr>
        <w:pStyle w:val="ListBullet"/>
      </w:pPr>
      <w:r>
        <w:t>IPCC (2022) AR6 WGIII, Chapter 11 'Industry' (Bashmakov et al.): Executive Summary (p.1163), 11.2 (p.1170 emissions), 11.3.6 (CCS p.1185), 11.4.1.1-11.4.1.5, Table 11.3 (p.1197-1198), Table 11.5, Figure 11.13.</w:t>
      </w:r>
    </w:p>
    <w:p>
      <w:pPr>
        <w:pStyle w:val="ListBullet"/>
      </w:pPr>
      <w:r>
        <w:t>IPCC (2022) AR6 WGIII, Chapter 12 'Cross-sectoral perspectives' (Babiker et al.): 12.2, Table 12.2 (p.1254), Table 12.3 (p.1255-1256), Table 12.4 (p.1257); Chapter 12 Supplementary Material (industry reference scenario note).</w:t>
      </w:r>
    </w:p>
    <w:p>
      <w:pPr>
        <w:pStyle w:val="ListBullet"/>
      </w:pPr>
      <w:r>
        <w:t>IPCC (2007) AR4 WGIII, Chapter 7 'Industry' (Bernstein et al.): 7.4.2.1 (aluminium PFC), 7.4.3.4 (N2O nitric/adipic acid), Table 7.6, Table 7.9.</w:t>
      </w:r>
    </w:p>
    <w:p>
      <w:pPr>
        <w:pStyle w:val="ListBullet"/>
      </w:pPr>
      <w:r>
        <w:t>NACAG / GIZ (2024) Nitric Acid Climate Action Group - FAQ (EN) and Factsheet, nitricacidaction.org.</w:t>
      </w:r>
    </w:p>
    <w:p>
      <w:pPr>
        <w:pStyle w:val="ListBullet"/>
      </w:pPr>
      <w:r>
        <w:t>IEA (2020) Iron and Steel Technology Roadmap; IEA (2021) Ammonia Technology Roadmap (production volumes: urea 177 Mt, AN 49 Mt, 2019); IEA (2022) Achieving Net Zero Heavy Industry Sectors in G7 Members (clinker ratio floor ~0.5).</w:t>
      </w:r>
    </w:p>
    <w:p>
      <w:pPr>
        <w:pStyle w:val="ListBullet"/>
      </w:pPr>
      <w:r>
        <w:t>International Aluminium Institute (2021) Aluminium Sector Greenhouse Gas Pathways to 2050 (process emissions ~15% of sector total); IAI PFC statistics (GWP basis).</w:t>
      </w:r>
    </w:p>
    <w:p>
      <w:pPr>
        <w:pStyle w:val="ListBullet"/>
      </w:pPr>
      <w:r>
        <w:t>European Commission (2023) Implementing Regulation (EU) 2023/1773 (CBAM transitional period) and Guidance No. 5c - Sector-specific guidance document on fertilisers (urea CO2 and nitric-acid N2O provisions).</w:t>
      </w:r>
    </w:p>
    <w:p>
      <w:pPr>
        <w:pStyle w:val="ListBullet"/>
      </w:pPr>
      <w:r>
        <w:t>Material Economics (2019) Industrial Transformation 2050 - as cited in IPCC AR6 Ch.11 (pathway costs EUR 12-91/t; CCS shares).</w:t>
      </w:r>
    </w:p>
    <w:p>
      <w:pPr>
        <w:pStyle w:val="ListBullet"/>
      </w:pPr>
      <w:r>
        <w:t>Energy Transitions Commission (2018) Mission Possible - as cited in IPCC AR6 Ch.11 (steel USD60/t, cement USD110-130/t).</w:t>
      </w:r>
    </w:p>
    <w:p>
      <w:pPr>
        <w:pStyle w:val="ListBullet"/>
      </w:pPr>
      <w:r>
        <w:t>Rootzen &amp; Johnsson (2016); Leeson et al. (2017) - as cited in IPCC AR6 Ch.11.</w:t>
      </w:r>
    </w:p>
    <w:p>
      <w:pPr>
        <w:pStyle w:val="ListBullet"/>
      </w:pPr>
      <w:r>
        <w:t>Bayer &amp; Aklin (2020) PNAS 117(16): 8804-8812. doi:10.1073/pnas.1918128117.</w:t>
      </w:r>
    </w:p>
    <w:p>
      <w:pPr>
        <w:pStyle w:val="ListBullet"/>
      </w:pPr>
      <w:r>
        <w:t>Dechezlepretre, Nachtigall &amp; Venmans (2023) JEEM 118: 102758. doi:10.1016/j.jeem.2022.102758.</w:t>
      </w:r>
    </w:p>
    <w:p>
      <w:pPr>
        <w:pStyle w:val="ListBullet"/>
      </w:pPr>
      <w:r>
        <w:t>Colmer, Martin, Muuls &amp; Wagner (2024) Review of Economic Studies (forthcoming) 'Does pricing carbon mitigate climate change? Firm-level evidence from the EU ETS'.</w:t>
      </w:r>
    </w:p>
    <w:p>
      <w:pPr>
        <w:pStyle w:val="ListBullet"/>
      </w:pPr>
      <w:r>
        <w:t>Dobbeling-Hildebrandt et al. (2024) Nature Communications 15: 4147. doi:10.1038/s41467-024-48512-w.</w:t>
      </w:r>
    </w:p>
    <w:p>
      <w:pPr>
        <w:pStyle w:val="ListBullet"/>
      </w:pPr>
      <w:r>
        <w:t>CPAT Egypt workbook method note (this repository): TASK-2a_AdHocCalculations_Pseudocode_v0.1.md; InitialResultsAndIssues/Methodological Note.txt (existing process semi-elasticity -0.104 %/USD).</w:t>
      </w:r>
    </w:p>
    <w:p>
      <w:pPr>
        <w:pStyle w:val="Heading1"/>
      </w:pPr>
      <w:r>
        <w:t>Appendix A â€” IPCC AR6 WGIII Table 12.3, industry rows (GtCO2-eq, 2030)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6"/>
              </w:rPr>
              <w:t>Option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&lt;0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0â€“20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20â€“50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50â€“100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100â€“200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Classification here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Energy efficiency (fuels only)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1.14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not process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Material efficiency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demand-side (not intensity)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Circularity (enhanced recycling)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route shift (partly process)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Fuel switching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1.28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not process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Feedstock decarbonisation, process change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0.38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process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CCU and CCS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process (and fuel) - 0.08-0.36 range; not overlap-corrected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Cementitious material substitution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0.28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process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Reduction of non-CO2 emissions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sz w:val="16"/>
              </w:rPr>
              <w:t>process (N2O, PFC, CH4)</w:t>
            </w:r>
          </w:p>
        </w:tc>
      </w:tr>
    </w:tbl>
    <w:p/>
    <w:p>
      <w:r>
        <w:t>Notes (verbatim): "The numbers for the industry sector typically have an uncertainty of Â±25%, unless indicated differently. The numbers are corrected for overlap between the options, except for the 0.15 GtCO2 potential in the highest cost bin." "Energy efficiency â€” This only applies to more efficient use of fuels."</w:t>
      </w:r>
    </w:p>
    <w:p>
      <w:pPr>
        <w:pStyle w:val="Heading1"/>
      </w:pPr>
      <w:r>
        <w:t>Appendix B â€” IPCC AR4 WGIII Table 7.9 extract (MtCO2-eq, 2030)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2030 baseline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&lt;0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&lt;20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&lt;50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&lt;100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share &lt;0</w:t>
            </w:r>
          </w:p>
        </w:tc>
        <w:tc>
          <w:tcPr>
            <w:tcW w:type="dxa" w:w="1246"/>
          </w:tcPr>
          <w:p>
            <w:r>
              <w:rPr>
                <w:b/>
                <w:sz w:val="16"/>
              </w:rPr>
              <w:t>share &lt;100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N2O from adipic and nitric acid production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83%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92%</w:t>
            </w:r>
          </w:p>
        </w:tc>
      </w:tr>
      <w:tr>
        <w:tc>
          <w:tcPr>
            <w:tcW w:type="dxa" w:w="1246"/>
          </w:tcPr>
          <w:p>
            <w:r>
              <w:rPr>
                <w:sz w:val="16"/>
              </w:rPr>
              <w:t>PFC from aluminium production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3%</w:t>
            </w:r>
          </w:p>
        </w:tc>
        <w:tc>
          <w:tcPr>
            <w:tcW w:type="dxa" w:w="1246"/>
          </w:tcPr>
          <w:p>
            <w:r>
              <w:rPr>
                <w:sz w:val="16"/>
              </w:rPr>
              <w:t>16%</w:t>
            </w:r>
          </w:p>
        </w:tc>
      </w:tr>
    </w:tbl>
    <w:p/>
    <w:p>
      <w:pPr>
        <w:pStyle w:val="Heading1"/>
      </w:pPr>
      <w:r>
        <w:t>Appendix C â€” Workbook map</w:t>
      </w:r>
    </w:p>
    <w:p>
      <w:r>
        <w:rPr>
          <w:rFonts w:ascii="Consolas" w:hAnsi="Consolas"/>
        </w:rPr>
        <w:t>Parameters</w:t>
      </w:r>
      <w:r>
        <w:t xml:space="preserve"> (inputs; f(Ï„), x_h(Ï„) per option) â†’ </w:t>
      </w:r>
      <w:r>
        <w:rPr>
          <w:rFonts w:ascii="Consolas" w:hAnsi="Consolas"/>
        </w:rPr>
        <w:t>Results</w:t>
      </w:r>
      <w:r>
        <w:t xml:space="preserve"> (a_h(Ï„), central, Î²_iso, Î²_lin, elasticity, bin-consistency) â†’ </w:t>
      </w:r>
      <w:r>
        <w:rPr>
          <w:rFonts w:ascii="Consolas" w:hAnsi="Consolas"/>
        </w:rPr>
        <w:t>SemiElasticity</w:t>
      </w:r>
      <w:r>
        <w:t xml:space="preserve"> (derivation and worked example) â†’ </w:t>
      </w:r>
      <w:r>
        <w:rPr>
          <w:rFonts w:ascii="Consolas" w:hAnsi="Consolas"/>
        </w:rPr>
        <w:t>IPCC_Aggregate</w:t>
      </w:r>
      <w:r>
        <w:t xml:space="preserve"> (benchmark) â†’ </w:t>
      </w:r>
      <w:r>
        <w:rPr>
          <w:rFonts w:ascii="Consolas" w:hAnsi="Consolas"/>
        </w:rPr>
        <w:t>IPCC_T12_3</w:t>
      </w:r>
      <w:r>
        <w:t xml:space="preserve">, </w:t>
      </w:r>
      <w:r>
        <w:rPr>
          <w:rFonts w:ascii="Consolas" w:hAnsi="Consolas"/>
        </w:rPr>
        <w:t>IPCC_T11_3</w:t>
      </w:r>
      <w:r>
        <w:t xml:space="preserve">, </w:t>
      </w:r>
      <w:r>
        <w:rPr>
          <w:rFonts w:ascii="Consolas" w:hAnsi="Consolas"/>
        </w:rPr>
        <w:t>AR4_T7_9</w:t>
      </w:r>
      <w:r>
        <w:t xml:space="preserve">, </w:t>
      </w:r>
      <w:r>
        <w:rPr>
          <w:rFonts w:ascii="Consolas" w:hAnsi="Consolas"/>
        </w:rPr>
        <w:t>Econometric</w:t>
      </w:r>
      <w:r>
        <w:t xml:space="preserve">, </w:t>
      </w:r>
      <w:r>
        <w:rPr>
          <w:rFonts w:ascii="Consolas" w:hAnsi="Consolas"/>
        </w:rPr>
        <w:t>Sources</w:t>
      </w:r>
      <w:r>
        <w:t xml:space="preserve">. </w:t>
      </w:r>
      <w:r>
        <w:rPr>
          <w:rFonts w:ascii="Consolas" w:hAnsi="Consolas"/>
        </w:rPr>
        <w:t>CPAT_v0.8_Table</w:t>
      </w:r>
      <w:r>
        <w:t xml:space="preserve"> holds the drop-in parameter table of Appendix D.</w:t>
      </w:r>
    </w:p>
    <w:p>
      <w:pPr>
        <w:pStyle w:val="Heading1"/>
      </w:pPr>
      <w:r>
        <w:t>Appendix D â€” Drop-in parameter table for CPAT_Industry_Kernel_Egypt_v0.8.xlsx</w:t>
      </w:r>
    </w:p>
    <w:p>
      <w:r>
        <w:t xml:space="preserve">The kernel's table </w:t>
      </w:r>
      <w:r>
        <w:rPr>
          <w:rFonts w:ascii="Consolas" w:hAnsi="Consolas"/>
        </w:rPr>
        <w:t>'Manual inputs'!D39:F47</w:t>
      </w:r>
      <w:r>
        <w:t xml:space="preserve"> ("Process Emissions Half Elasticities") has columns </w:t>
      </w:r>
      <w:r>
        <w:rPr>
          <w:i/>
        </w:rPr>
        <w:t>Process | Half Elasticity | ER at $100 (%)</w:t>
      </w:r>
      <w:r>
        <w:t xml:space="preserve">. Reverse-engineering the v0.8 values shows the convention </w:t>
      </w:r>
      <w:r>
        <w:rPr>
          <w:b/>
        </w:rPr>
        <w:t>Half Elasticity = âˆ’ln(1 âˆ’ ER)/100</w:t>
      </w:r>
      <w:r>
        <w:t xml:space="preserve"> (positive, fraction per USD/tCO2e; e.g. ER = 0.10 â†’ 0.0010536). This is exactly this report's Î²_iso with the sign reversed and divided by 100. The recommended values are the </w:t>
      </w:r>
      <w:r>
        <w:rPr>
          <w:i/>
        </w:rPr>
        <w:t>central</w:t>
      </w:r>
      <w:r>
        <w:t xml:space="preserve"> estimates (A5, A11); 2030 and long-run alternatives follow. Row labels match v0.8 </w:t>
      </w:r>
      <w:r>
        <w:rPr>
          <w:rFonts w:ascii="Consolas" w:hAnsi="Consolas"/>
        </w:rPr>
        <w:t>D40:D47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Process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Half Elasticity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ER at $100 (%)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v0.8 Half Elasticity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v0.8 ER at $100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DRI-EAF steel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0.004206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34.3%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0.001054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Scrap-EAF steel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0.001997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18.1%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0.000202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BF-BOF steel reference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0.003289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28.0%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0.000513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Grey clinker dry-process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0.004083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33.5%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0.000834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Ammonia net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0.003530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29.7%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0.001985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Urea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0.001231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11.6%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0.012766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72.1%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0.010498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65.0%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Primary aluminium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0.002439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21.6%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0.000834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8.0%</w:t>
            </w:r>
          </w:p>
        </w:tc>
      </w:tr>
    </w:tbl>
    <w:p/>
    <w:p>
      <w:r>
        <w:rPr>
          <w:i/>
        </w:rPr>
        <w:t>Alternatives (same format):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Process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Half Elast. 2030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ER $100 2030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Half Elast. LR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ER $100 LR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DRI-EAF steel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0.001202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11.3%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0.008518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57.3%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Scrap-EAF steel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0.000999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0.003104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26.7%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BF-BOF steel reference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0.001072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10.2%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0.006141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45.9%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Grey clinker dry-process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0.002139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19.3%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0.006499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47.8%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Ammonia net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0.001624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15.0%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0.005886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44.5%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Urea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0.000490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4.8%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0.002030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18.4%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0.011283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67.6%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0.014508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76.6%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Primary aluminium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0.000716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0.004522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36.4%</w:t>
            </w:r>
          </w:p>
        </w:tc>
      </w:tr>
    </w:tbl>
    <w:p/>
    <w:p>
      <w:r>
        <w:rPr>
          <w:i/>
        </w:rPr>
        <w:t>Mapping notes:</w:t>
      </w:r>
    </w:p>
    <w:p>
      <w:pPr>
        <w:pStyle w:val="ListBullet"/>
      </w:pPr>
      <w:r>
        <w:rPr>
          <w:b/>
        </w:rPr>
        <w:t>DRI-EAF steel</w:t>
      </w:r>
      <w:r>
        <w:t xml:space="preserve"> â€” Report 7.3. Scope includes NG-reductant CO2, which the kernel classifies as fp (priced with fuel flags); the kernel applies the same half elasticity to fuel and process ER (Mitigation_Industry rows 351 and 362), so the mismatch is immaterial.</w:t>
      </w:r>
    </w:p>
    <w:p>
      <w:pPr>
        <w:pStyle w:val="ListBullet"/>
      </w:pPr>
      <w:r>
        <w:rPr>
          <w:b/>
        </w:rPr>
        <w:t>Scrap-EAF steel</w:t>
      </w:r>
      <w:r>
        <w:t xml:space="preserve"> â€” Report 7.4 (electrode/charge carbon and flux CO2).</w:t>
      </w:r>
    </w:p>
    <w:p>
      <w:pPr>
        <w:pStyle w:val="ListBullet"/>
      </w:pPr>
      <w:r>
        <w:rPr>
          <w:b/>
        </w:rPr>
        <w:t>BF-BOF steel reference</w:t>
      </w:r>
      <w:r>
        <w:t xml:space="preserve"> â€” Report 7.2 (coke/limestone CO2; TGR+CCUS, H2-DRI switch, scrap share).</w:t>
      </w:r>
    </w:p>
    <w:p>
      <w:pPr>
        <w:pStyle w:val="ListBullet"/>
      </w:pPr>
      <w:r>
        <w:rPr>
          <w:b/>
        </w:rPr>
        <w:t>Grey clinker dry-process</w:t>
      </w:r>
      <w:r>
        <w:t xml:space="preserve"> â€” Report 7.1 (calcination CO2; clinker substitution, CCUS, alternative binders).</w:t>
      </w:r>
    </w:p>
    <w:p>
      <w:pPr>
        <w:pStyle w:val="ListBullet"/>
      </w:pPr>
      <w:r>
        <w:rPr>
          <w:b/>
        </w:rPr>
        <w:t>Ammonia net</w:t>
      </w:r>
      <w:r>
        <w:t xml:space="preserve"> â€” Report 7.6 (SMR feedstock CO2 = kernel fp; CCS of separated stream, electrolytic H2). Applies to merchant/non-urea NH3.</w:t>
      </w:r>
    </w:p>
    <w:p>
      <w:pPr>
        <w:pStyle w:val="ListBullet"/>
      </w:pPr>
      <w:r>
        <w:rPr>
          <w:b/>
        </w:rPr>
        <w:t>Urea</w:t>
      </w:r>
      <w:r>
        <w:t xml:space="preserve"> â€” Report 7.7 (embedded NH3-stage CO2 counted under CBAM; abatement only via surplus-CO2 CCS or electrolytic H2 + alternative CO2). Kernel v0.8 has 0 because own np is floored at 0; use this value only if the embedded-NH3 column (M35) is priced.</w:t>
      </w:r>
    </w:p>
    <w:p>
      <w:pPr>
        <w:pStyle w:val="ListBullet"/>
      </w:pPr>
      <w:r>
        <w:rPr>
          <w:b/>
        </w:rPr>
        <w:t>AN</w:t>
      </w:r>
      <w:r>
        <w:t xml:space="preserve"> â€” Report 7.9 composite, UNABATED nitric-acid N2O baseline - consistent with kernel S1.no = 0.97 tCO2e/t AN (K36). If Egyptian plants are already catalytically abated, use the 'AN abated' row instead: ER(100) = 32.9%.</w:t>
      </w:r>
    </w:p>
    <w:p>
      <w:pPr>
        <w:pStyle w:val="ListBullet"/>
      </w:pPr>
      <w:r>
        <w:rPr>
          <w:b/>
        </w:rPr>
        <w:t>Primary aluminium</w:t>
      </w:r>
      <w:r>
        <w:t xml:space="preserve"> â€” Report 7.5 (anode CO2 + PFC; PFC control, inert anodes).</w:t>
      </w:r>
    </w:p>
    <w:p>
      <w:r>
        <w:t>Caveats specific to the kernel: (i) v0.8 applies the same half elasticity to fuel-combustion ER (</w:t>
      </w:r>
      <w:r>
        <w:rPr>
          <w:rFonts w:ascii="Consolas" w:hAnsi="Consolas"/>
        </w:rPr>
        <w:t>Mitigation_Industry</w:t>
      </w:r>
      <w:r>
        <w:t xml:space="preserve"> row 351) and to process ER (row 362); the values here are derived for process emissions only. (ii) The kernel's DRI-EAF and ammonia "process" rows carry near-zero </w:t>
      </w:r>
      <w:r>
        <w:rPr>
          <w:rFonts w:ascii="Consolas" w:hAnsi="Consolas"/>
        </w:rPr>
        <w:t>np</w:t>
      </w:r>
      <w:r>
        <w:t xml:space="preserve"> because reductant/feedstock CO2 is classified as </w:t>
      </w:r>
      <w:r>
        <w:rPr>
          <w:rFonts w:ascii="Consolas" w:hAnsi="Consolas"/>
        </w:rPr>
        <w:t>fp</w:t>
      </w:r>
      <w:r>
        <w:t xml:space="preserve">; since the half elasticity is applied to both categories this does not change the result, but it does mean the ER acts on the fp column. (iii) Urea's own </w:t>
      </w:r>
      <w:r>
        <w:rPr>
          <w:rFonts w:ascii="Consolas" w:hAnsi="Consolas"/>
        </w:rPr>
        <w:t>np</w:t>
      </w:r>
      <w:r>
        <w:t xml:space="preserve"> is negative (CO2 credit) and floored at zero, so the urea row only matters if the embedded-NH3 CO2 (</w:t>
      </w:r>
      <w:r>
        <w:rPr>
          <w:rFonts w:ascii="Consolas" w:hAnsi="Consolas"/>
        </w:rPr>
        <w:t>M35</w:t>
      </w:r>
      <w:r>
        <w:t xml:space="preserve">) is priced; otherwise retain 0. (iv) The AN row assumes an unabated N2O baseline, consistent with </w:t>
      </w:r>
      <w:r>
        <w:rPr>
          <w:rFonts w:ascii="Consolas" w:hAnsi="Consolas"/>
        </w:rPr>
        <w:t>K36</w:t>
      </w:r>
      <w:r>
        <w:t xml:space="preserve"> = 0.97 tCO2e/t; if Egyptian nitric-acid plants are already catalytically abated, both </w:t>
      </w:r>
      <w:r>
        <w:rPr>
          <w:rFonts w:ascii="Consolas" w:hAnsi="Consolas"/>
        </w:rPr>
        <w:t>K36</w:t>
      </w:r>
      <w:r>
        <w:t xml:space="preserve"> and the AN response should be revised together. (v) Costs are USD2019; USD100 (2019) â‰ˆ USD122 (2024).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