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6155b5892759729badd80f37c36969a45c627e"/>
    <w:p>
      <w:pPr>
        <w:pStyle w:val="Heading1"/>
      </w:pPr>
      <w:r>
        <w:t xml:space="preserve">Output elasticity of the CBAM goods: evidence and a recommended replacement for the uniform −0.5</w:t>
      </w:r>
    </w:p>
    <w:bookmarkStart w:id="9" w:name="what-the-parameter-does"/>
    <w:p>
      <w:pPr>
        <w:pStyle w:val="Heading2"/>
      </w:pPr>
      <w:r>
        <w:t xml:space="preserve">What the parameter does</w:t>
      </w:r>
    </w:p>
    <w:p>
      <w:pPr>
        <w:pStyle w:val="FirstParagraph"/>
      </w:pPr>
      <w:r>
        <w:t xml:space="preserve">The kernel (</w:t>
      </w:r>
      <w:r>
        <w:rPr>
          <w:rStyle w:val="VerbatimChar"/>
        </w:rPr>
        <w:t xml:space="preserve">Manual inputs</w:t>
      </w:r>
      <w:r>
        <w:t xml:space="preserve"> </w:t>
      </w:r>
      <w:r>
        <w:t xml:space="preserve">rows 66–73) lowers output by Q = Q₀ × (1 + Δp)^ε, where Δp is the net carbon cost per tonne as a share of the product price. ε is therefore</w:t>
      </w:r>
      <w:r>
        <w:t xml:space="preserve"> </w:t>
      </w:r>
      <w:r>
        <w:t xml:space="preserve">“how much less is made when the carbon cost is a given share of the price”</w:t>
      </w:r>
      <w:r>
        <w:t xml:space="preserve">. It combines three things: how much buyers cut back when the price rises (demand elasticity), how much of the cost reaches the price (pass-through), and how easily buyers switch to imports or other exporters (trade exposure). The current −0.5 for every product is a placeholder.</w:t>
      </w:r>
    </w:p>
    <w:bookmarkEnd w:id="9"/>
    <w:bookmarkStart w:id="10" w:name="the-first-finding-only-cement-matters"/>
    <w:p>
      <w:pPr>
        <w:pStyle w:val="Heading2"/>
      </w:pPr>
      <w:r>
        <w:t xml:space="preserve">The first finding: only cement matters</w:t>
      </w:r>
    </w:p>
    <w:p>
      <w:pPr>
        <w:pStyle w:val="FirstParagraph"/>
      </w:pPr>
      <w:r>
        <w:t xml:space="preserve">At USD 20/t and the model’s emission factors, the carbon cost is 15% of the price of cement clinker (USD 17 on USD 110) but 1–3% of the price of steel, fertiliser and aluminium. Of the 3.8 Mt output-channel cut in 1A, 3.6 Mt is cement. So the choice of ε for cement drives the result; the other seven products move the total by less than 0.3 Mt whatever ε is chosen. The output channel is about 10% of the 1A cut.</w:t>
      </w:r>
    </w:p>
    <w:bookmarkEnd w:id="10"/>
    <w:bookmarkStart w:id="11" w:name="Xea46fc7738c2d55541079f27467760756ca7f3f"/>
    <w:p>
      <w:pPr>
        <w:pStyle w:val="Heading2"/>
      </w:pPr>
      <w:r>
        <w:t xml:space="preserve">Evidence (components, not a single published number)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Evidence found</w:t>
            </w:r>
          </w:p>
        </w:tc>
        <w:tc>
          <w:tcPr/>
          <w:p>
            <w:pPr>
              <w:pStyle w:val="Compact"/>
            </w:pPr>
            <w:r>
              <w:t xml:space="preserve">Reading for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Cement, market demand</w:t>
            </w:r>
          </w:p>
        </w:tc>
        <w:tc>
          <w:tcPr/>
          <w:p>
            <w:pPr>
              <w:pStyle w:val="Compact"/>
            </w:pPr>
            <w:r>
              <w:t xml:space="preserve">Aggregate demand elasticity about −0.02 to −0.16 (cement studies of the Miller–Osborne type): materials such as steel, asphalt and lumber are poor substitutes for cement</w:t>
            </w:r>
          </w:p>
        </w:tc>
        <w:tc>
          <w:tcPr/>
          <w:p>
            <w:pPr>
              <w:pStyle w:val="Compact"/>
            </w:pPr>
            <w:r>
              <w:t xml:space="preserve">Very inelastic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Cement, pass-through</w:t>
            </w:r>
          </w:p>
        </w:tc>
        <w:tc>
          <w:tcPr/>
          <w:p>
            <w:pPr>
              <w:pStyle w:val="Compact"/>
            </w:pPr>
            <w:r>
              <w:t xml:space="preserve">EC / CE Delft–Oeko-Institut review: 20–40% typical, with a range of 0–100% by country</w:t>
            </w:r>
          </w:p>
        </w:tc>
        <w:tc>
          <w:tcPr/>
          <w:p>
            <w:pPr>
              <w:pStyle w:val="Compact"/>
            </w:pPr>
            <w:r>
              <w:t xml:space="preserve">Only part of the carbon cost reaches the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Steel, market demand</w:t>
            </w:r>
          </w:p>
        </w:tc>
        <w:tc>
          <w:tcPr/>
          <w:p>
            <w:pPr>
              <w:pStyle w:val="Compact"/>
            </w:pPr>
            <w:r>
              <w:t xml:space="preserve">−0.2 to −0.3 (derived demand, inelastic)</w:t>
            </w:r>
          </w:p>
        </w:tc>
        <w:tc>
          <w:tcPr/>
          <w:p>
            <w:pPr>
              <w:pStyle w:val="Compact"/>
            </w:pPr>
            <w:r>
              <w:t xml:space="preserve">Inelastic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Steel, pass-through</w:t>
            </w:r>
          </w:p>
        </w:tc>
        <w:tc>
          <w:tcPr/>
          <w:p>
            <w:pPr>
              <w:pStyle w:val="Compact"/>
            </w:pPr>
            <w:r>
              <w:t xml:space="preserve">Very wide: from about 6% to above 100% by country and technology (NERA for Eurofer: 46–200% depending on emission factor)</w:t>
            </w:r>
          </w:p>
        </w:tc>
        <w:tc>
          <w:tcPr/>
          <w:p>
            <w:pPr>
              <w:pStyle w:val="Compact"/>
            </w:pPr>
            <w:r>
              <w:t xml:space="preserve">Central about 50–60%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Manufacturing, general</w:t>
            </w:r>
          </w:p>
        </w:tc>
        <w:tc>
          <w:tcPr/>
          <w:p>
            <w:pPr>
              <w:pStyle w:val="Compact"/>
            </w:pPr>
            <w:r>
              <w:t xml:space="preserve">US energy-cost pass-through 0.59 on average, 70% in the short to medium run (Ganapati, Shapiro, Walker 2020)</w:t>
            </w:r>
          </w:p>
        </w:tc>
        <w:tc>
          <w:tcPr/>
          <w:p>
            <w:pPr>
              <w:pStyle w:val="Compact"/>
            </w:pPr>
            <w:r>
              <w:t xml:space="preserve">Supports a central pass-through near 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exposure</w:t>
            </w:r>
          </w:p>
        </w:tc>
        <w:tc>
          <w:tcPr/>
          <w:p>
            <w:pPr>
              <w:pStyle w:val="Compact"/>
            </w:pPr>
            <w:r>
              <w:t xml:space="preserve">GTAP Armington elasticities (domestic against imports): chemicals 3.3, mineral products 2.9, ferrous metals 2.95, non-ferrous metals 4.2; import against import twice as large</w:t>
            </w:r>
          </w:p>
        </w:tc>
        <w:tc>
          <w:tcPr/>
          <w:p>
            <w:pPr>
              <w:pStyle w:val="Compact"/>
            </w:pPr>
            <w:r>
              <w:t xml:space="preserve">Traded goods respond strongly when the cost is passed on, so the answer depends on the traded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Fertiliser, market demand</w:t>
            </w:r>
          </w:p>
        </w:tc>
        <w:tc>
          <w:tcPr/>
          <w:p>
            <w:pPr>
              <w:pStyle w:val="Compact"/>
            </w:pPr>
            <w:r>
              <w:t xml:space="preserve">Nitrogen demand and supply described as inelastic; no usable number retrieved</w:t>
            </w:r>
          </w:p>
        </w:tc>
        <w:tc>
          <w:tcPr/>
          <w:p>
            <w:pPr>
              <w:pStyle w:val="Compact"/>
            </w:pPr>
            <w:r>
              <w:t xml:space="preserve">Treat as inelastic; low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output response to carbon prices</w:t>
            </w:r>
          </w:p>
        </w:tc>
        <w:tc>
          <w:tcPr/>
          <w:p>
            <w:pPr>
              <w:pStyle w:val="Compact"/>
            </w:pPr>
            <w:r>
              <w:t xml:space="preserve">EU ETS firms cut CO₂ by 14–16% with no detectable fall in output or employment (Colmer, Martin, Muûls, Wagner 2025)</w:t>
            </w:r>
          </w:p>
        </w:tc>
        <w:tc>
          <w:tcPr/>
          <w:p>
            <w:pPr>
              <w:pStyle w:val="Compact"/>
            </w:pPr>
            <w:r>
              <w:t xml:space="preserve">Upper bound: real output responses to a USD 20 price are 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CPAT’s own elasticities</w:t>
            </w:r>
          </w:p>
        </w:tc>
        <w:tc>
          <w:tcPr/>
          <w:p>
            <w:pPr>
              <w:pStyle w:val="Compact"/>
            </w:pPr>
            <w:r>
              <w:t xml:space="preserve">CPAT’s industry fuel elasticities (usage −0.3 to −0.7) are for fuel demand, not product demand</w:t>
            </w:r>
          </w:p>
        </w:tc>
        <w:tc>
          <w:tcPr/>
          <w:p>
            <w:pPr>
              <w:pStyle w:val="Compact"/>
            </w:pPr>
            <w:r>
              <w:t xml:space="preserve">Not transferable</w:t>
            </w:r>
          </w:p>
        </w:tc>
      </w:tr>
    </w:tbl>
    <w:p>
      <w:pPr>
        <w:pStyle w:val="BodyText"/>
      </w:pPr>
      <w:r>
        <w:t xml:space="preserve">For a domestically sold, hard-to-substitute good such as cement: demand elasticity −0.16 × pass-through 0.2–0.4 gives about −0.03 to −0.06; allowing for some import and export competition lifts it to about −0.1.</w:t>
      </w:r>
    </w:p>
    <w:bookmarkEnd w:id="11"/>
    <w:bookmarkStart w:id="12" w:name="recommendation"/>
    <w:p>
      <w:pPr>
        <w:pStyle w:val="Heading2"/>
      </w:pPr>
      <w:r>
        <w:t xml:space="preserve">Recommendation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Recommended central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Grey clinker (cement)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−0.10</w:t>
            </w:r>
          </w:p>
        </w:tc>
        <w:tc>
          <w:tcPr/>
          <w:p>
            <w:pPr>
              <w:pStyle w:val="Compact"/>
            </w:pPr>
            <w:r>
              <w:t xml:space="preserve">−0.03 to −0.30</w:t>
            </w:r>
          </w:p>
        </w:tc>
        <w:tc>
          <w:tcPr/>
          <w:p>
            <w:pPr>
              <w:pStyle w:val="Compact"/>
            </w:pPr>
            <w:r>
              <w:t xml:space="preserve">Demand −0.02 to −0.16, pass-through 0.2–0.4, small trade exposure (1.6% of output goes to the EU)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Steel (DRI-EAF, scrap-EAF, BF-BOF)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−0.40</w:t>
            </w:r>
          </w:p>
        </w:tc>
        <w:tc>
          <w:tcPr/>
          <w:p>
            <w:pPr>
              <w:pStyle w:val="Compact"/>
            </w:pPr>
            <w:r>
              <w:t xml:space="preserve">−0.2 to −1.0</w:t>
            </w:r>
          </w:p>
        </w:tc>
        <w:tc>
          <w:tcPr/>
          <w:p>
            <w:pPr>
              <w:pStyle w:val="Compact"/>
            </w:pPr>
            <w:r>
              <w:t xml:space="preserve">Demand −0.2 to −0.3, pass-through about 0.5, import competition (Armington about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Ammonia, urea, ammonium nitrate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−0.40</w:t>
            </w:r>
          </w:p>
        </w:tc>
        <w:tc>
          <w:tcPr/>
          <w:p>
            <w:pPr>
              <w:pStyle w:val="Compact"/>
            </w:pPr>
            <w:r>
              <w:t xml:space="preserve">−0.2 to −1.0</w:t>
            </w:r>
          </w:p>
        </w:tc>
        <w:tc>
          <w:tcPr/>
          <w:p>
            <w:pPr>
              <w:pStyle w:val="Compact"/>
            </w:pPr>
            <w:r>
              <w:t xml:space="preserve">Inelastic demand; large exports make producers price-takers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aluminium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−0.50 (keep)</w:t>
            </w:r>
          </w:p>
        </w:tc>
        <w:tc>
          <w:tcPr/>
          <w:p>
            <w:pPr>
              <w:pStyle w:val="Compact"/>
            </w:pPr>
            <w:r>
              <w:t xml:space="preserve">−0.3 to −1.5</w:t>
            </w:r>
          </w:p>
        </w:tc>
        <w:tc>
          <w:tcPr/>
          <w:p>
            <w:pPr>
              <w:pStyle w:val="Compact"/>
            </w:pPr>
            <w:r>
              <w:t xml:space="preserve">World-priced metal, 56% exported; no better evidence found</w:t>
            </w:r>
          </w:p>
        </w:tc>
      </w:tr>
    </w:tbl>
    <w:p>
      <w:pPr>
        <w:pStyle w:val="BodyText"/>
      </w:pPr>
      <w:r>
        <w:t xml:space="preserve">Confidence:</w:t>
      </w:r>
      <w:r>
        <w:t xml:space="preserve"> </w:t>
      </w:r>
      <w:r>
        <w:rPr>
          <w:b/>
          <w:bCs/>
        </w:rPr>
        <w:t xml:space="preserve">Low–Medium</w:t>
      </w:r>
      <w:r>
        <w:t xml:space="preserve"> </w:t>
      </w:r>
      <w:r>
        <w:t xml:space="preserve">for every row. These are judgements built from sourced components, not published product-specific output elasticities. Only the cement row changes results noticeably.</w:t>
      </w:r>
    </w:p>
    <w:bookmarkEnd w:id="12"/>
    <w:bookmarkStart w:id="13" w:name="Xe9fb79cb6fa1acd16328eb07f89fc8b053623aa"/>
    <w:p>
      <w:pPr>
        <w:pStyle w:val="Heading2"/>
      </w:pPr>
      <w:r>
        <w:t xml:space="preserve">Effect on the final results (2030 emission cut, Mt; approximate)</w:t>
      </w:r>
    </w:p>
    <w:p>
      <w:pPr>
        <w:pStyle w:val="FirstParagraph"/>
      </w:pPr>
      <w:r>
        <w:t xml:space="preserve">Cement elasticity changed from −0.5, other products as recommended; the rest of the method unchanged (calculated outside the kernel from the stored product data; the kernel itself was not rerun).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Cement ε</w:t>
            </w:r>
          </w:p>
        </w:tc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3C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−0.5 (current)</w:t>
            </w:r>
          </w:p>
        </w:tc>
        <w:tc>
          <w:tcPr/>
          <w:p>
            <w:pPr>
              <w:pStyle w:val="Compact"/>
            </w:pPr>
            <w:r>
              <w:t xml:space="preserve">−37.4</w:t>
            </w:r>
          </w:p>
        </w:tc>
        <w:tc>
          <w:tcPr/>
          <w:p>
            <w:pPr>
              <w:pStyle w:val="Compact"/>
            </w:pPr>
            <w:r>
              <w:t xml:space="preserve">−33.1</w:t>
            </w:r>
          </w:p>
        </w:tc>
        <w:tc>
          <w:tcPr/>
          <w:p>
            <w:pPr>
              <w:pStyle w:val="Compact"/>
            </w:pPr>
            <w:r>
              <w:t xml:space="preserve">−34.8</w:t>
            </w:r>
          </w:p>
        </w:tc>
        <w:tc>
          <w:tcPr/>
          <w:p>
            <w:pPr>
              <w:pStyle w:val="Compact"/>
            </w:pPr>
            <w:r>
              <w:t xml:space="preserve">−22.8</w:t>
            </w:r>
          </w:p>
        </w:tc>
        <w:tc>
          <w:tcPr/>
          <w:p>
            <w:pPr>
              <w:pStyle w:val="Compact"/>
            </w:pPr>
            <w:r>
              <w:t xml:space="preserve">−12.0</w:t>
            </w:r>
          </w:p>
        </w:tc>
        <w:tc>
          <w:tcPr/>
          <w:p>
            <w:pPr>
              <w:pStyle w:val="Compact"/>
            </w:pPr>
            <w:r>
              <w:t xml:space="preserve">−33.0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−0.30</w:t>
            </w:r>
          </w:p>
        </w:tc>
        <w:tc>
          <w:tcPr/>
          <w:p>
            <w:pPr>
              <w:pStyle w:val="Compact"/>
            </w:pPr>
            <w:r>
              <w:t xml:space="preserve">−35.9</w:t>
            </w:r>
          </w:p>
        </w:tc>
        <w:tc>
          <w:tcPr/>
          <w:p>
            <w:pPr>
              <w:pStyle w:val="Compact"/>
            </w:pPr>
            <w:r>
              <w:t xml:space="preserve">−32.5</w:t>
            </w:r>
          </w:p>
        </w:tc>
        <w:tc>
          <w:tcPr/>
          <w:p>
            <w:pPr>
              <w:pStyle w:val="Compact"/>
            </w:pPr>
            <w:r>
              <w:t xml:space="preserve">−34.2</w:t>
            </w:r>
          </w:p>
        </w:tc>
        <w:tc>
          <w:tcPr/>
          <w:p>
            <w:pPr>
              <w:pStyle w:val="Compact"/>
            </w:pPr>
            <w:r>
              <w:t xml:space="preserve">−21.3</w:t>
            </w:r>
          </w:p>
        </w:tc>
        <w:tc>
          <w:tcPr/>
          <w:p>
            <w:pPr>
              <w:pStyle w:val="Compact"/>
            </w:pPr>
            <w:r>
              <w:t xml:space="preserve">−12.0</w:t>
            </w:r>
          </w:p>
        </w:tc>
        <w:tc>
          <w:tcPr/>
          <w:p>
            <w:pPr>
              <w:pStyle w:val="Compact"/>
            </w:pPr>
            <w:r>
              <w:t xml:space="preserve">−31.6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−0.10 (recommended)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−33.7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−19.9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−0.03</w:t>
            </w:r>
          </w:p>
        </w:tc>
        <w:tc>
          <w:tcPr/>
          <w:p>
            <w:pPr>
              <w:pStyle w:val="Compact"/>
            </w:pPr>
            <w:r>
              <w:t xml:space="preserve">−34.0</w:t>
            </w:r>
          </w:p>
        </w:tc>
        <w:tc>
          <w:tcPr/>
          <w:p>
            <w:pPr>
              <w:pStyle w:val="Compact"/>
            </w:pPr>
            <w:r>
              <w:t xml:space="preserve">−31.7</w:t>
            </w:r>
          </w:p>
        </w:tc>
        <w:tc>
          <w:tcPr/>
          <w:p>
            <w:pPr>
              <w:pStyle w:val="Compact"/>
            </w:pPr>
            <w:r>
              <w:t xml:space="preserve">−33.5</w:t>
            </w:r>
          </w:p>
        </w:tc>
        <w:tc>
          <w:tcPr/>
          <w:p>
            <w:pPr>
              <w:pStyle w:val="Compact"/>
            </w:pPr>
            <w:r>
              <w:t xml:space="preserve">−19.4</w:t>
            </w:r>
          </w:p>
        </w:tc>
        <w:tc>
          <w:tcPr/>
          <w:p>
            <w:pPr>
              <w:pStyle w:val="Compact"/>
            </w:pPr>
            <w:r>
              <w:t xml:space="preserve">−12.0</w:t>
            </w:r>
          </w:p>
        </w:tc>
        <w:tc>
          <w:tcPr/>
          <w:p>
            <w:pPr>
              <w:pStyle w:val="Compact"/>
            </w:pPr>
            <w:r>
              <w:t xml:space="preserve">−29.6</w:t>
            </w:r>
          </w:p>
        </w:tc>
      </w:tr>
    </w:tbl>
    <w:p>
      <w:pPr>
        <w:pStyle w:val="BodyText"/>
      </w:pPr>
      <w:r>
        <w:t xml:space="preserve">A lower elasticity makes the cut smaller by about 3 Mt (8%) in 1A, 1A–2B ranking unchanged. 3B is unaffected because free allowances remove the output response. Revenue and deaths change very little; the CBAM intensity measures (N, O) do not use ε.</w:t>
      </w:r>
    </w:p>
    <w:bookmarkEnd w:id="13"/>
    <w:bookmarkStart w:id="14" w:name="caveats-on-this-note"/>
    <w:p>
      <w:pPr>
        <w:pStyle w:val="Heading2"/>
      </w:pPr>
      <w:r>
        <w:t xml:space="preserve">Caveats on this note</w:t>
      </w:r>
    </w:p>
    <w:p>
      <w:pPr>
        <w:pStyle w:val="Compact"/>
        <w:numPr>
          <w:ilvl w:val="0"/>
          <w:numId w:val="1001"/>
        </w:numPr>
      </w:pPr>
      <w:r>
        <w:t xml:space="preserve">The numbers above come from web search summaries; the web egress here blocked opening the papers, so I could not confirm which study gives each cement and steel figure, nor read the GTAP and Ganapati tables directly. Check the citations before using them in a publication.</w:t>
      </w:r>
    </w:p>
    <w:p>
      <w:pPr>
        <w:pStyle w:val="Compact"/>
        <w:numPr>
          <w:ilvl w:val="0"/>
          <w:numId w:val="1001"/>
        </w:numPr>
      </w:pPr>
      <w:r>
        <w:t xml:space="preserve">No Egypt-specific output elasticity was found.</w:t>
      </w:r>
    </w:p>
    <w:p>
      <w:pPr>
        <w:pStyle w:val="Compact"/>
        <w:numPr>
          <w:ilvl w:val="0"/>
          <w:numId w:val="1001"/>
        </w:numPr>
      </w:pPr>
      <w:r>
        <w:t xml:space="preserve">Pass-through is not a separate input in the kernel; ε absorbs it. A cleaner design would split ε into demand elasticity × pass-through, with trade exposure by product.</w:t>
      </w:r>
    </w:p>
    <w:p>
      <w:pPr>
        <w:pStyle w:val="Compact"/>
        <w:numPr>
          <w:ilvl w:val="0"/>
          <w:numId w:val="1001"/>
        </w:numPr>
      </w:pPr>
      <w:r>
        <w:t xml:space="preserve">Nothing in the kernel or the final documents has been changed. Applying −0.10 for cement would need a kernel rebuild (</w:t>
      </w:r>
      <w:r>
        <w:rPr>
          <w:rStyle w:val="VerbatimChar"/>
        </w:rPr>
        <w:t xml:space="preserve">Manual inputs</w:t>
      </w:r>
      <w:r>
        <w:t xml:space="preserve"> </w:t>
      </w:r>
      <w:r>
        <w:t xml:space="preserve">rows 66–73), new carve-out numbers and updates to all documents.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2026-10-04T16:37:35Z</dcterms:created>
  <dcterms:modified xsi:type="dcterms:W3CDTF">2026-10-04T16:37:35Z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