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CPAT-AI-Mitigation-MVP</w:t>
      </w:r>
      <w:r>
        <w:t xml:space="preserve"> </w:t>
      </w:r>
      <w:r>
        <w:t xml:space="preserve">v1.03:</w:t>
      </w:r>
      <w:r>
        <w:t xml:space="preserve"> </w:t>
      </w:r>
      <w:r>
        <w:t xml:space="preserve">documentation</w:t>
      </w:r>
    </w:p>
    <w:p>
      <w:pPr>
        <w:pStyle w:val="Subtitle"/>
      </w:pPr>
      <w:r>
        <w:t xml:space="preserve">AI-generated,</w:t>
      </w:r>
      <w:r>
        <w:t xml:space="preserve"> </w:t>
      </w:r>
      <w:r>
        <w:t xml:space="preserve">copy-pasteable</w:t>
      </w:r>
      <w:r>
        <w:t xml:space="preserve"> </w:t>
      </w:r>
      <w:r>
        <w:t xml:space="preserve">replacement</w:t>
      </w:r>
      <w:r>
        <w:t xml:space="preserve"> </w:t>
      </w:r>
      <w:r>
        <w:t xml:space="preserve">of</w:t>
      </w:r>
      <w:r>
        <w:t xml:space="preserve"> </w:t>
      </w:r>
      <w:r>
        <w:t xml:space="preserve">the</w:t>
      </w:r>
      <w:r>
        <w:t xml:space="preserve"> </w:t>
      </w:r>
      <w:r>
        <w:t xml:space="preserve">CPAT</w:t>
      </w:r>
      <w:r>
        <w:t xml:space="preserve"> </w:t>
      </w:r>
      <w:r>
        <w:t xml:space="preserve">mitigation</w:t>
      </w:r>
      <w:r>
        <w:t xml:space="preserve"> </w:t>
      </w:r>
      <w:r>
        <w:t xml:space="preserve">module</w:t>
      </w:r>
      <w:r>
        <w:t xml:space="preserve"> </w:t>
      </w:r>
      <w:r>
        <w:t xml:space="preserve">(Egypt</w:t>
      </w:r>
      <w:r>
        <w:t xml:space="preserve"> </w:t>
      </w:r>
      <w:r>
        <w:t xml:space="preserve">data)</w:t>
      </w:r>
    </w:p>
    <w:p>
      <w:pPr>
        <w:pStyle w:val="Date"/>
      </w:pPr>
      <w:r>
        <w:t xml:space="preserve">2026-10-09</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about-this-document"/>
    <w:p>
      <w:pPr>
        <w:pStyle w:val="Heading1"/>
      </w:pPr>
      <w:r>
        <w:t xml:space="preserve">About this document</w:t>
      </w:r>
    </w:p>
    <w:p>
      <w:pPr>
        <w:pStyle w:val="FirstParagraph"/>
      </w:pPr>
      <w:r>
        <w:t xml:space="preserve">Workbook:</w:t>
      </w:r>
      <w:r>
        <w:t xml:space="preserve"> </w:t>
      </w:r>
      <w:r>
        <w:rPr>
          <w:rStyle w:val="VerbatimChar"/>
        </w:rPr>
        <w:t xml:space="preserve">CPAT-AI-Mitigation-MVP-v1.03.xlsm</w:t>
      </w:r>
      <w:r>
        <w:t xml:space="preserve"> </w:t>
      </w:r>
      <w:r>
        <w:t xml:space="preserve">(macro-enabled) (built by</w:t>
      </w:r>
      <w:r>
        <w:t xml:space="preserve"> </w:t>
      </w:r>
      <w:r>
        <w:rPr>
          <w:rStyle w:val="VerbatimChar"/>
        </w:rPr>
        <w:t xml:space="preserve">build_v1_03.py</w:t>
      </w:r>
      <w:r>
        <w:t xml:space="preserve">, checked by</w:t>
      </w:r>
      <w:r>
        <w:t xml:space="preserve"> </w:t>
      </w:r>
      <w:r>
        <w:rPr>
          <w:rStyle w:val="VerbatimChar"/>
        </w:rPr>
        <w:t xml:space="preserve">check_v1_03.py</w:t>
      </w:r>
      <w:r>
        <w:t xml:space="preserve">, report</w:t>
      </w:r>
      <w:r>
        <w:t xml:space="preserve"> </w:t>
      </w:r>
      <w:r>
        <w:rPr>
          <w:rStyle w:val="VerbatimChar"/>
        </w:rPr>
        <w:t xml:space="preserve">check_report_v1.03.md</w:t>
      </w:r>
      <w:r>
        <w:t xml:space="preserve">: PASS). This document collects the model overview and the method notes. Differences with legacy CPAT are listed in the workbook sheet</w:t>
      </w:r>
      <w:r>
        <w:t xml:space="preserve"> </w:t>
      </w:r>
      <w:r>
        <w:rPr>
          <w:rStyle w:val="VerbatimChar"/>
        </w:rPr>
        <w:t xml:space="preserve">LegacyDiff</w:t>
      </w:r>
      <w:r>
        <w:t xml:space="preserve">; the version log is on the</w:t>
      </w:r>
      <w:r>
        <w:t xml:space="preserve"> </w:t>
      </w:r>
      <w:r>
        <w:rPr>
          <w:rStyle w:val="VerbatimChar"/>
        </w:rPr>
        <w:t xml:space="preserve">Settings</w:t>
      </w:r>
      <w:r>
        <w:t xml:space="preserve"> </w:t>
      </w:r>
      <w:r>
        <w:t xml:space="preserve">sheet; caveats per task are in</w:t>
      </w:r>
      <w:r>
        <w:t xml:space="preserve"> </w:t>
      </w:r>
      <w:r>
        <w:rPr>
          <w:rStyle w:val="VerbatimChar"/>
        </w:rPr>
        <w:t xml:space="preserve">CAVEATS.md</w:t>
      </w:r>
      <w:r>
        <w:t xml:space="preserve">.</w:t>
      </w:r>
    </w:p>
    <w:bookmarkEnd w:id="20"/>
    <w:bookmarkStart w:id="25" w:name="model-overview-layout-and-files"/>
    <w:p>
      <w:pPr>
        <w:pStyle w:val="Heading1"/>
      </w:pPr>
      <w:r>
        <w:t xml:space="preserve">Model overview, layout and files</w:t>
      </w:r>
    </w:p>
    <w:p>
      <w:pPr>
        <w:pStyle w:val="FirstParagraph"/>
      </w:pPr>
      <w:r>
        <w:rPr>
          <w:iCs/>
          <w:i/>
        </w:rPr>
        <w:t xml:space="preserve">Source:</w:t>
      </w:r>
      <w:r>
        <w:rPr>
          <w:iCs/>
          <w:i/>
        </w:rPr>
        <w:t xml:space="preserve"> </w:t>
      </w:r>
      <w:r>
        <w:rPr>
          <w:rStyle w:val="VerbatimChar"/>
          <w:iCs/>
          <w:i/>
        </w:rPr>
        <w:t xml:space="preserve">README.md</w:t>
      </w:r>
      <w:r>
        <w:rPr>
          <w:iCs/>
          <w:i/>
        </w:rPr>
        <w:t xml:space="preserve">.</w:t>
      </w:r>
    </w:p>
    <w:p>
      <w:pPr>
        <w:pStyle w:val="BodyText"/>
      </w:pPr>
      <w:r>
        <w:t xml:space="preserve">Replacement for the CPAT mitigation module whose formulas are</w:t>
      </w:r>
      <w:r>
        <w:t xml:space="preserve"> </w:t>
      </w:r>
      <w:r>
        <w:rPr>
          <w:bCs/>
          <w:b/>
        </w:rPr>
        <w:t xml:space="preserve">fully copy-pasteable</w:t>
      </w:r>
      <w:r>
        <w:t xml:space="preserve">: one formula per block, valid across (years) and down (subsectors x fuels), and a whole scenario group can be copied to a new scenario. Goal: auditable equations that a model builder can extend by dragging.</w:t>
      </w:r>
    </w:p>
    <w:p>
      <w:pPr>
        <w:pStyle w:val="BodyText"/>
      </w:pPr>
      <w:r>
        <w:t xml:space="preserve">Current version:</w:t>
      </w:r>
      <w:r>
        <w:t xml:space="preserve"> </w:t>
      </w:r>
      <w:r>
        <w:rPr>
          <w:rStyle w:val="VerbatimChar"/>
        </w:rPr>
        <w:t xml:space="preserve">CPAT-AI-Mitigation-MVP-v1.03.xlsm</w:t>
      </w:r>
      <w:r>
        <w:t xml:space="preserve"> </w:t>
      </w:r>
      <w:r>
        <w:t xml:space="preserve">(macro-enabled; renamed from CPAT_Mitigation_CopyPaste at v1.00; multiple scenarios through scenario definitions, a VBA batch run, StoredResults and ScenarioCompare (v1.03,</w:t>
      </w:r>
      <w:r>
        <w:t xml:space="preserve"> </w:t>
      </w:r>
      <w:r>
        <w:rPr>
          <w:rStyle w:val="VerbatimChar"/>
        </w:rPr>
        <w:t xml:space="preserve">Scenarios_Method_v0_1.md</w:t>
      </w:r>
      <w:r>
        <w:t xml:space="preserve">); policies incl. a cap-based new ETS with benchmarks (v1.02,</w:t>
      </w:r>
      <w:r>
        <w:t xml:space="preserve"> </w:t>
      </w:r>
      <w:r>
        <w:rPr>
          <w:rStyle w:val="VerbatimChar"/>
        </w:rPr>
        <w:t xml:space="preserve">ETS_Method_v0_1.md</w:t>
      </w:r>
      <w:r>
        <w:t xml:space="preserve">) and feebates with sectoral shadow prices, domestic prices with existing taxes and subsidies, price -&gt; fuel use, revenues, CO2 emissions, 2022-2040). Earlier versions in</w:t>
      </w:r>
      <w:r>
        <w:t xml:space="preserve"> </w:t>
      </w:r>
      <w:r>
        <w:rPr>
          <w:rStyle w:val="VerbatimChar"/>
        </w:rPr>
        <w:t xml:space="preserve">Old/</w:t>
      </w:r>
      <w:r>
        <w:t xml:space="preserve">. Price method and the explicit real/nominal assumptions:</w:t>
      </w:r>
      <w:r>
        <w:t xml:space="preserve"> </w:t>
      </w:r>
      <w:r>
        <w:rPr>
          <w:rStyle w:val="VerbatimChar"/>
        </w:rPr>
        <w:t xml:space="preserve">PriceProjection_Method_v0.4.md</w:t>
      </w:r>
      <w:r>
        <w:t xml:space="preserve">. Differences with legacy CPAT: workbook sheet</w:t>
      </w:r>
      <w:r>
        <w:t xml:space="preserve"> </w:t>
      </w:r>
      <w:r>
        <w:rPr>
          <w:rStyle w:val="VerbatimChar"/>
        </w:rPr>
        <w:t xml:space="preserve">LegacyDiff</w:t>
      </w:r>
      <w:r>
        <w:t xml:space="preserve">. Data changed by assumption (other oil products, VAT rate) is bright yellow with red text in</w:t>
      </w:r>
      <w:r>
        <w:t xml:space="preserve"> </w:t>
      </w:r>
      <w:r>
        <w:rPr>
          <w:rStyle w:val="VerbatimChar"/>
        </w:rPr>
        <w:t xml:space="preserve">Inputs_prices</w:t>
      </w:r>
      <w:r>
        <w:t xml:space="preserve">.</w:t>
      </w:r>
    </w:p>
    <w:bookmarkStart w:id="21" w:name="design-agreed"/>
    <w:p>
      <w:pPr>
        <w:pStyle w:val="Heading3"/>
      </w:pPr>
      <w:r>
        <w:t xml:space="preserve">Design (agreed)</w:t>
      </w:r>
    </w:p>
    <w:p>
      <w:pPr>
        <w:pStyle w:val="FirstParagraph"/>
      </w:pPr>
      <w:r>
        <w:t xml:space="preserve">Layout follows the legacy CPAT Mitigation sheet: numbered sections</w:t>
      </w:r>
      <w:r>
        <w:t xml:space="preserve"> </w:t>
      </w:r>
      <w:r>
        <w:rPr>
          <w:bCs/>
          <w:b/>
        </w:rPr>
        <w:t xml:space="preserve">1. Policies</w:t>
      </w:r>
      <w:r>
        <w:t xml:space="preserve">,</w:t>
      </w:r>
      <w:r>
        <w:t xml:space="preserve"> </w:t>
      </w:r>
      <w:r>
        <w:rPr>
          <w:bCs/>
          <w:b/>
        </w:rPr>
        <w:t xml:space="preserve">2. Retail energy prices</w:t>
      </w:r>
      <w:r>
        <w:t xml:space="preserve">,</w:t>
      </w:r>
      <w:r>
        <w:t xml:space="preserve"> </w:t>
      </w:r>
      <w:r>
        <w:rPr>
          <w:bCs/>
          <w:b/>
        </w:rPr>
        <w:t xml:space="preserve">3. Power sector</w:t>
      </w:r>
      <w:r>
        <w:t xml:space="preserve"> </w:t>
      </w:r>
      <w:r>
        <w:t xml:space="preserve">(placeholder),</w:t>
      </w:r>
      <w:r>
        <w:t xml:space="preserve"> </w:t>
      </w:r>
      <w:r>
        <w:rPr>
          <w:bCs/>
          <w:b/>
        </w:rPr>
        <w:t xml:space="preserve">5. Transport</w:t>
      </w:r>
      <w:r>
        <w:t xml:space="preserve">,</w:t>
      </w:r>
      <w:r>
        <w:t xml:space="preserve"> </w:t>
      </w:r>
      <w:r>
        <w:rPr>
          <w:bCs/>
          <w:b/>
        </w:rPr>
        <w:t xml:space="preserve">6. Buildings</w:t>
      </w:r>
      <w:r>
        <w:t xml:space="preserve">,</w:t>
      </w:r>
      <w:r>
        <w:t xml:space="preserve"> </w:t>
      </w:r>
      <w:r>
        <w:rPr>
          <w:bCs/>
          <w:b/>
        </w:rPr>
        <w:t xml:space="preserve">7. Industrial</w:t>
      </w:r>
      <w:r>
        <w:t xml:space="preserve">,</w:t>
      </w:r>
      <w:r>
        <w:t xml:space="preserve"> </w:t>
      </w:r>
      <w:r>
        <w:rPr>
          <w:bCs/>
          <w:b/>
        </w:rPr>
        <w:t xml:space="preserve">8. Other energy use</w:t>
      </w:r>
      <w:r>
        <w:t xml:space="preserve">,</w:t>
      </w:r>
      <w:r>
        <w:t xml:space="preserve"> </w:t>
      </w:r>
      <w:r>
        <w:rPr>
          <w:bCs/>
          <w:b/>
        </w:rPr>
        <w:t xml:space="preserve">11. Results - energy consumption</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Axis</w:t>
            </w:r>
          </w:p>
        </w:tc>
        <w:tc>
          <w:tcPr/>
          <w:p>
            <w:pPr>
              <w:pStyle w:val="Compact"/>
              <w:jc w:val="left"/>
            </w:pPr>
            <w:r>
              <w:t xml:space="preserve">Nest</w:t>
            </w:r>
          </w:p>
        </w:tc>
      </w:tr>
      <w:tr>
        <w:tc>
          <w:tcPr/>
          <w:p>
            <w:pPr>
              <w:pStyle w:val="Compact"/>
              <w:jc w:val="left"/>
            </w:pPr>
            <w:r>
              <w:t xml:space="preserve">Scenario</w:t>
            </w:r>
          </w:p>
        </w:tc>
        <w:tc>
          <w:tcPr/>
          <w:p>
            <w:pPr>
              <w:pStyle w:val="Compact"/>
              <w:jc w:val="left"/>
            </w:pPr>
            <w:r>
              <w:t xml:space="preserve">columns</w:t>
            </w:r>
          </w:p>
        </w:tc>
        <w:tc>
          <w:tcPr/>
          <w:p>
            <w:pPr>
              <w:pStyle w:val="Compact"/>
              <w:jc w:val="left"/>
            </w:pPr>
            <w:r>
              <w:t xml:space="preserve">outer: one group per scenario (output-code column, base year 2022 - column L for scenario 1 as in legacy - and 2023-2040, then a blank spacer column)</w:t>
            </w:r>
          </w:p>
        </w:tc>
      </w:tr>
      <w:tr>
        <w:tc>
          <w:tcPr/>
          <w:p>
            <w:pPr>
              <w:pStyle w:val="Compact"/>
              <w:jc w:val="left"/>
            </w:pPr>
            <w:r>
              <w:t xml:space="preserve">Year</w:t>
            </w:r>
          </w:p>
        </w:tc>
        <w:tc>
          <w:tcPr/>
          <w:p>
            <w:pPr>
              <w:pStyle w:val="Compact"/>
              <w:jc w:val="left"/>
            </w:pPr>
            <w:r>
              <w:t xml:space="preserve">columns</w:t>
            </w:r>
          </w:p>
        </w:tc>
        <w:tc>
          <w:tcPr/>
          <w:p>
            <w:pPr>
              <w:pStyle w:val="Compact"/>
              <w:jc w:val="left"/>
            </w:pPr>
            <w:r>
              <w:t xml:space="preserve">inner</w:t>
            </w:r>
          </w:p>
        </w:tc>
      </w:tr>
      <w:tr>
        <w:tc>
          <w:tcPr/>
          <w:p>
            <w:pPr>
              <w:pStyle w:val="Compact"/>
              <w:jc w:val="left"/>
            </w:pPr>
            <w:r>
              <w:t xml:space="preserve">Sector section</w:t>
            </w:r>
          </w:p>
        </w:tc>
        <w:tc>
          <w:tcPr/>
          <w:p>
            <w:pPr>
              <w:pStyle w:val="Compact"/>
              <w:jc w:val="left"/>
            </w:pPr>
            <w:r>
              <w:t xml:space="preserve">rows</w:t>
            </w:r>
          </w:p>
        </w:tc>
        <w:tc>
          <w:tcPr/>
          <w:p>
            <w:pPr>
              <w:pStyle w:val="Compact"/>
              <w:jc w:val="left"/>
            </w:pPr>
            <w:r>
              <w:t xml:space="preserve">outer (sections 5-8), each with a total fuel-use line</w:t>
            </w:r>
          </w:p>
        </w:tc>
      </w:tr>
      <w:tr>
        <w:tc>
          <w:tcPr/>
          <w:p>
            <w:pPr>
              <w:pStyle w:val="Compact"/>
              <w:jc w:val="left"/>
            </w:pPr>
            <w:r>
              <w:t xml:space="preserve">Subsector</w:t>
            </w:r>
          </w:p>
        </w:tc>
        <w:tc>
          <w:tcPr/>
          <w:p>
            <w:pPr>
              <w:pStyle w:val="Compact"/>
              <w:jc w:val="left"/>
            </w:pPr>
            <w:r>
              <w:t xml:space="preserve">rows</w:t>
            </w:r>
          </w:p>
        </w:tc>
        <w:tc>
          <w:tcPr/>
          <w:p>
            <w:pPr>
              <w:pStyle w:val="Compact"/>
              <w:jc w:val="left"/>
            </w:pPr>
            <w:r>
              <w:t xml:space="preserve">heading line (its total fuel use), the 16 CPAT energy-use subsectors</w:t>
            </w:r>
          </w:p>
        </w:tc>
      </w:tr>
      <w:tr>
        <w:tc>
          <w:tcPr/>
          <w:p>
            <w:pPr>
              <w:pStyle w:val="Compact"/>
              <w:jc w:val="left"/>
            </w:pPr>
            <w:r>
              <w:t xml:space="preserve">Variable</w:t>
            </w:r>
          </w:p>
        </w:tc>
        <w:tc>
          <w:tcPr/>
          <w:p>
            <w:pPr>
              <w:pStyle w:val="Compact"/>
              <w:jc w:val="left"/>
            </w:pPr>
            <w:r>
              <w:t xml:space="preserve">rows</w:t>
            </w:r>
          </w:p>
        </w:tc>
        <w:tc>
          <w:tcPr/>
          <w:p>
            <w:pPr>
              <w:pStyle w:val="Compact"/>
              <w:jc w:val="left"/>
            </w:pPr>
            <w:r>
              <w:rPr>
                <w:rStyle w:val="VerbatimChar"/>
              </w:rPr>
              <w:t xml:space="preserve">ctxnew</w:t>
            </w:r>
            <w:r>
              <w:t xml:space="preserve"> </w:t>
            </w:r>
            <w:r>
              <w:t xml:space="preserve">new carbon tax,</w:t>
            </w:r>
            <w:r>
              <w:t xml:space="preserve"> </w:t>
            </w:r>
            <w:r>
              <w:rPr>
                <w:rStyle w:val="VerbatimChar"/>
              </w:rPr>
              <w:t xml:space="preserve">ets</w:t>
            </w:r>
            <w:r>
              <w:t xml:space="preserve"> </w:t>
            </w:r>
            <w:r>
              <w:t xml:space="preserve">new ETS (tax-equivalent, auctioned part),</w:t>
            </w:r>
            <w:r>
              <w:t xml:space="preserve"> </w:t>
            </w:r>
            <w:r>
              <w:rPr>
                <w:rStyle w:val="VerbatimChar"/>
              </w:rPr>
              <w:t xml:space="preserve">ntx</w:t>
            </w:r>
            <w:r>
              <w:t xml:space="preserve"> </w:t>
            </w:r>
            <w:r>
              <w:t xml:space="preserve">new excise (fuel price reform),</w:t>
            </w:r>
            <w:r>
              <w:t xml:space="preserve"> </w:t>
            </w:r>
            <w:r>
              <w:rPr>
                <w:rStyle w:val="VerbatimChar"/>
              </w:rPr>
              <w:t xml:space="preserve">nce</w:t>
            </w:r>
            <w:r>
              <w:t xml:space="preserve"> </w:t>
            </w:r>
            <w:r>
              <w:t xml:space="preserve">total new policy,</w:t>
            </w:r>
            <w:r>
              <w:t xml:space="preserve"> </w:t>
            </w:r>
            <w:r>
              <w:rPr>
                <w:rStyle w:val="VerbatimChar"/>
              </w:rPr>
              <w:t xml:space="preserve">atp</w:t>
            </w:r>
            <w:r>
              <w:t xml:space="preserve"> </w:t>
            </w:r>
            <w:r>
              <w:t xml:space="preserve">after-tax price,</w:t>
            </w:r>
            <w:r>
              <w:t xml:space="preserve"> </w:t>
            </w:r>
            <w:r>
              <w:rPr>
                <w:rStyle w:val="VerbatimChar"/>
              </w:rPr>
              <w:t xml:space="preserve">shp</w:t>
            </w:r>
            <w:r>
              <w:t xml:space="preserve"> </w:t>
            </w:r>
            <w:r>
              <w:t xml:space="preserve">shadow price on the efficiency margin,</w:t>
            </w:r>
            <w:r>
              <w:t xml:space="preserve"> </w:t>
            </w:r>
            <w:r>
              <w:rPr>
                <w:rStyle w:val="VerbatimChar"/>
              </w:rPr>
              <w:t xml:space="preserve">ener</w:t>
            </w:r>
            <w:r>
              <w:t xml:space="preserve"> </w:t>
            </w:r>
            <w:r>
              <w:t xml:space="preserve">fuel use</w:t>
            </w:r>
          </w:p>
        </w:tc>
      </w:tr>
      <w:tr>
        <w:tc>
          <w:tcPr/>
          <w:p>
            <w:pPr>
              <w:pStyle w:val="Compact"/>
              <w:jc w:val="left"/>
            </w:pPr>
            <w:r>
              <w:t xml:space="preserve">Fuel</w:t>
            </w:r>
          </w:p>
        </w:tc>
        <w:tc>
          <w:tcPr/>
          <w:p>
            <w:pPr>
              <w:pStyle w:val="Compact"/>
              <w:jc w:val="left"/>
            </w:pPr>
            <w:r>
              <w:t xml:space="preserve">rows</w:t>
            </w:r>
          </w:p>
        </w:tc>
        <w:tc>
          <w:tcPr/>
          <w:p>
            <w:pPr>
              <w:pStyle w:val="Compact"/>
              <w:jc w:val="left"/>
            </w:pPr>
            <w:r>
              <w:t xml:space="preserve">inner: coa nga gso die lpg ker oop bio</w:t>
            </w:r>
          </w:p>
        </w:tc>
      </w:tr>
    </w:tbl>
    <w:p>
      <w:pPr>
        <w:numPr>
          <w:ilvl w:val="0"/>
          <w:numId w:val="1001"/>
        </w:numPr>
        <w:pStyle w:val="Compact"/>
      </w:pPr>
      <w:r>
        <w:rPr>
          <w:bCs/>
          <w:b/>
        </w:rPr>
        <w:t xml:space="preserve">Section 1 (policies)</w:t>
      </w:r>
      <w:r>
        <w:t xml:space="preserve"> </w:t>
      </w:r>
      <w:r>
        <w:t xml:space="preserve">reads the scenario inputs from</w:t>
      </w:r>
      <w:r>
        <w:t xml:space="preserve"> </w:t>
      </w:r>
      <w:r>
        <w:rPr>
          <w:rStyle w:val="VerbatimChar"/>
        </w:rPr>
        <w:t xml:space="preserve">MTInputs</w:t>
      </w:r>
      <w:r>
        <w:t xml:space="preserve"> </w:t>
      </w:r>
      <w:r>
        <w:t xml:space="preserve">(one</w:t>
      </w:r>
      <w:r>
        <w:t xml:space="preserve"> </w:t>
      </w:r>
      <w:r>
        <w:rPr>
          <w:iCs/>
          <w:i/>
        </w:rPr>
        <w:t xml:space="preserve">Used for calculation</w:t>
      </w:r>
      <w:r>
        <w:t xml:space="preserve"> </w:t>
      </w:r>
      <w:r>
        <w:t xml:space="preserve">column per scenario from column J; rows A:H = legacy template) by MTInputs row (hidden column D) and scenario number (row 5): carbon tax (</w:t>
      </w:r>
      <w:r>
        <w:rPr>
          <w:rStyle w:val="VerbatimChar"/>
        </w:rPr>
        <w:t xml:space="preserve">CPIntro</w:t>
      </w:r>
      <w:r>
        <w:t xml:space="preserve">..</w:t>
      </w:r>
      <w:r>
        <w:rPr>
          <w:rStyle w:val="VerbatimChar"/>
        </w:rPr>
        <w:t xml:space="preserve">CPOutro</w:t>
      </w:r>
      <w:r>
        <w:t xml:space="preserve">,</w:t>
      </w:r>
      <w:r>
        <w:t xml:space="preserve"> </w:t>
      </w:r>
      <w:r>
        <w:rPr>
          <w:rStyle w:val="VerbatimChar"/>
        </w:rPr>
        <w:t xml:space="preserve">ExtendCarbonPriceBeyondOutro</w:t>
      </w:r>
      <w:r>
        <w:t xml:space="preserve">), carbon-tax coverage by fuel and sector (</w:t>
      </w:r>
      <w:r>
        <w:rPr>
          <w:rStyle w:val="VerbatimChar"/>
        </w:rPr>
        <w:t xml:space="preserve">MCov*</w:t>
      </w:r>
      <w:r>
        <w:t xml:space="preserve">), fuel price reform (rows 140-169), feebates (rows 53-64, coverage 66-82). It computes the carbon price (legacy rule), the fuel price reform paths (14 price fuels) and the feebate rate paths (power, transport, residential, industry). One default for all paths: 0 before the start year, linear to the target, continuing linearly afterwards (the carbon price keeps its MTInputs switch). Shadow prices: by sector ($/tCO2, legacy rows 2345-2349) = feebate path (later + non-auctioned ETS, regulations); share impacting efficiency by subsector (</w:t>
      </w:r>
      <w:r>
        <w:rPr>
          <w:rStyle w:val="VerbatimChar"/>
        </w:rPr>
        <w:t xml:space="preserve">ssc</w:t>
      </w:r>
      <w:r>
        <w:t xml:space="preserve">, legacy rows 2403-2419) = feebate coverage x adjustment (1.0 for feebates).</w:t>
      </w:r>
    </w:p>
    <w:p>
      <w:pPr>
        <w:numPr>
          <w:ilvl w:val="0"/>
          <w:numId w:val="1001"/>
        </w:numPr>
        <w:pStyle w:val="Compact"/>
      </w:pPr>
      <w:r>
        <w:rPr>
          <w:bCs/>
          <w:b/>
        </w:rPr>
        <w:t xml:space="preserve">Real terms (v0.9):</w:t>
      </w:r>
      <w:r>
        <w:t xml:space="preserve"> </w:t>
      </w:r>
      <w:r>
        <w:t xml:space="preserve">everything is in real USD of</w:t>
      </w:r>
      <w:r>
        <w:t xml:space="preserve"> </w:t>
      </w:r>
      <w:r>
        <w:rPr>
          <w:rStyle w:val="VerbatimChar"/>
        </w:rPr>
        <w:t xml:space="preserve">ResultsYear</w:t>
      </w:r>
      <w:r>
        <w:t xml:space="preserve"> </w:t>
      </w:r>
      <w:r>
        <w:t xml:space="preserve">(2026) per GJ. Row</w:t>
      </w:r>
      <w:r>
        <w:t xml:space="preserve"> </w:t>
      </w:r>
      <w:r>
        <w:rPr>
          <w:rStyle w:val="VerbatimChar"/>
        </w:rPr>
        <w:t xml:space="preserve">infl</w:t>
      </w:r>
      <w:r>
        <w:t xml:space="preserve"> </w:t>
      </w:r>
      <w:r>
        <w:t xml:space="preserve">(US CPI index) converts nominal domestic data and nominal policy inputs; row</w:t>
      </w:r>
      <w:r>
        <w:t xml:space="preserve"> </w:t>
      </w:r>
      <w:r>
        <w:rPr>
          <w:rStyle w:val="VerbatimChar"/>
        </w:rPr>
        <w:t xml:space="preserve">defl</w:t>
      </w:r>
      <w:r>
        <w:t xml:space="preserve"> </w:t>
      </w:r>
      <w:r>
        <w:t xml:space="preserve">(US GDP deflator index) converts international prices. The two differ by up to 1.2% before 2030, so both are kept. MTInputs policy values are real, except a carbon price marked</w:t>
      </w:r>
      <w:r>
        <w:t xml:space="preserve"> </w:t>
      </w:r>
      <w:r>
        <w:rPr>
          <w:rStyle w:val="VerbatimChar"/>
        </w:rPr>
        <w:t xml:space="preserve">NomorReal</w:t>
      </w:r>
      <w:r>
        <w:t xml:space="preserve"> </w:t>
      </w:r>
      <w:r>
        <w:t xml:space="preserve">= Nominal. Values after 2030 are not a legacy target.</w:t>
      </w:r>
    </w:p>
    <w:p>
      <w:pPr>
        <w:numPr>
          <w:ilvl w:val="0"/>
          <w:numId w:val="1001"/>
        </w:numPr>
        <w:pStyle w:val="Compact"/>
      </w:pPr>
      <w:r>
        <w:rPr>
          <w:bCs/>
          <w:b/>
        </w:rPr>
        <w:t xml:space="preserve">Section 2 (prices, by 12 price fuels):</w:t>
      </w:r>
      <w:r>
        <w:t xml:space="preserve"> </w:t>
      </w:r>
      <w:r>
        <w:rPr>
          <w:rStyle w:val="VerbatimChar"/>
        </w:rPr>
        <w:t xml:space="preserve">gp</w:t>
      </w:r>
      <w:r>
        <w:t xml:space="preserve"> </w:t>
      </w:r>
      <w:r>
        <w:t xml:space="preserve">international prices (MTInputs source and High/Low adjustment; country gas market);</w:t>
      </w:r>
      <w:r>
        <w:t xml:space="preserve"> </w:t>
      </w:r>
      <w:r>
        <w:rPr>
          <w:rStyle w:val="VerbatimChar"/>
        </w:rPr>
        <w:t xml:space="preserve">sp</w:t>
      </w:r>
      <w:r>
        <w:t xml:space="preserve"> </w:t>
      </w:r>
      <w:r>
        <w:t xml:space="preserve">= data up to 2024, then fixsp + floating part x gp(t)/gp(t-1);</w:t>
      </w:r>
      <w:r>
        <w:t xml:space="preserve"> </w:t>
      </w:r>
      <w:r>
        <w:rPr>
          <w:rStyle w:val="VerbatimChar"/>
        </w:rPr>
        <w:t xml:space="preserve">txo</w:t>
      </w:r>
      <w:r>
        <w:t xml:space="preserve"> </w:t>
      </w:r>
      <w:r>
        <w:t xml:space="preserve">= data, then the legacy pass-through rule;</w:t>
      </w:r>
      <w:r>
        <w:t xml:space="preserve"> </w:t>
      </w:r>
      <w:r>
        <w:rPr>
          <w:rStyle w:val="VerbatimChar"/>
        </w:rPr>
        <w:t xml:space="preserve">rpb</w:t>
      </w:r>
      <w:r>
        <w:t xml:space="preserve"> </w:t>
      </w:r>
      <w:r>
        <w:t xml:space="preserve">= (sp + txo) x (1 + VAT rate). VAT rate: dataset where filled, else VAT_WEO (Egypt 14%) for residential coal/gas and oil products, 0 for power, industry, biomass (v0.10 assumption). Data step: sheet</w:t>
      </w:r>
      <w:r>
        <w:t xml:space="preserve"> </w:t>
      </w:r>
      <w:r>
        <w:rPr>
          <w:rStyle w:val="VerbatimChar"/>
        </w:rPr>
        <w:t xml:space="preserve">Inputs_prices</w:t>
      </w:r>
      <w:r>
        <w:t xml:space="preserve">.</w:t>
      </w:r>
    </w:p>
    <w:p>
      <w:pPr>
        <w:numPr>
          <w:ilvl w:val="0"/>
          <w:numId w:val="1001"/>
        </w:numPr>
        <w:pStyle w:val="Compact"/>
      </w:pPr>
      <w:r>
        <w:rPr>
          <w:bCs/>
          <w:b/>
        </w:rPr>
        <w:t xml:space="preserve">Wedges:</w:t>
      </w:r>
      <w:r>
        <w:t xml:space="preserve"> </w:t>
      </w:r>
      <w:r>
        <w:rPr>
          <w:rStyle w:val="VerbatimChar"/>
        </w:rPr>
        <w:t xml:space="preserve">ctxnew</w:t>
      </w:r>
      <w:r>
        <w:t xml:space="preserve"> </w:t>
      </w:r>
      <w:r>
        <w:t xml:space="preserve">= carbon price x EF x fuel coverage x sector coverage x (1 - ETS coverage);</w:t>
      </w:r>
      <w:r>
        <w:t xml:space="preserve"> </w:t>
      </w:r>
      <w:r>
        <w:rPr>
          <w:rStyle w:val="VerbatimChar"/>
        </w:rPr>
        <w:t xml:space="preserve">ets</w:t>
      </w:r>
      <w:r>
        <w:t xml:space="preserve"> </w:t>
      </w:r>
      <w:r>
        <w:t xml:space="preserve">= ETS tax-equivalent price x EF x effective ETS coverage x (1 - OBR share);</w:t>
      </w:r>
      <w:r>
        <w:t xml:space="preserve"> </w:t>
      </w:r>
      <w:r>
        <w:rPr>
          <w:rStyle w:val="VerbatimChar"/>
        </w:rPr>
        <w:t xml:space="preserve">ntx</w:t>
      </w:r>
      <w:r>
        <w:t xml:space="preserve"> </w:t>
      </w:r>
      <w:r>
        <w:t xml:space="preserve">= fuel price reform path / GJ per price unit;</w:t>
      </w:r>
      <w:r>
        <w:t xml:space="preserve"> </w:t>
      </w:r>
      <w:r>
        <w:rPr>
          <w:rStyle w:val="VerbatimChar"/>
        </w:rPr>
        <w:t xml:space="preserve">nce</w:t>
      </w:r>
      <w:r>
        <w:t xml:space="preserve"> </w:t>
      </w:r>
      <w:r>
        <w:t xml:space="preserve">=</w:t>
      </w:r>
      <w:r>
        <w:t xml:space="preserve"> </w:t>
      </w:r>
      <w:r>
        <w:rPr>
          <w:rStyle w:val="VerbatimChar"/>
        </w:rPr>
        <w:t xml:space="preserve">ctxnew</w:t>
      </w:r>
      <w:r>
        <w:t xml:space="preserve"> </w:t>
      </w:r>
      <w:r>
        <w:t xml:space="preserve">+</w:t>
      </w:r>
      <w:r>
        <w:t xml:space="preserve"> </w:t>
      </w:r>
      <w:r>
        <w:rPr>
          <w:rStyle w:val="VerbatimChar"/>
        </w:rPr>
        <w:t xml:space="preserve">ets</w:t>
      </w:r>
      <w:r>
        <w:t xml:space="preserve"> </w:t>
      </w:r>
      <w:r>
        <w:t xml:space="preserve">+</w:t>
      </w:r>
      <w:r>
        <w:t xml:space="preserve"> </w:t>
      </w:r>
      <w:r>
        <w:rPr>
          <w:rStyle w:val="VerbatimChar"/>
        </w:rPr>
        <w:t xml:space="preserve">ntx</w:t>
      </w:r>
      <w:r>
        <w:t xml:space="preserve">;</w:t>
      </w:r>
      <w:r>
        <w:t xml:space="preserve"> </w:t>
      </w:r>
      <w:r>
        <w:rPr>
          <w:rStyle w:val="VerbatimChar"/>
        </w:rPr>
        <w:t xml:space="preserve">atp</w:t>
      </w:r>
      <w:r>
        <w:t xml:space="preserve"> </w:t>
      </w:r>
      <w:r>
        <w:t xml:space="preserve">= max(</w:t>
      </w:r>
      <w:r>
        <w:rPr>
          <w:rStyle w:val="VerbatimChar"/>
        </w:rPr>
        <w:t xml:space="preserve">rpb</w:t>
      </w:r>
      <w:r>
        <w:t xml:space="preserve"> </w:t>
      </w:r>
      <w:r>
        <w:t xml:space="preserve">of the price fuel +</w:t>
      </w:r>
      <w:r>
        <w:t xml:space="preserve"> </w:t>
      </w:r>
      <w:r>
        <w:rPr>
          <w:rStyle w:val="VerbatimChar"/>
        </w:rPr>
        <w:t xml:space="preserve">nce</w:t>
      </w:r>
      <w:r>
        <w:t xml:space="preserve"> </w:t>
      </w:r>
      <w:r>
        <w:t xml:space="preserve">x (1 + VAT rate), 0.01);</w:t>
      </w:r>
      <w:r>
        <w:t xml:space="preserve"> </w:t>
      </w:r>
      <w:r>
        <w:rPr>
          <w:rStyle w:val="VerbatimChar"/>
        </w:rPr>
        <w:t xml:space="preserve">shp</w:t>
      </w:r>
      <w:r>
        <w:t xml:space="preserve"> </w:t>
      </w:r>
      <w:r>
        <w:t xml:space="preserve">= (sector shadow price x</w:t>
      </w:r>
      <w:r>
        <w:t xml:space="preserve"> </w:t>
      </w:r>
      <w:r>
        <w:rPr>
          <w:rStyle w:val="VerbatimChar"/>
        </w:rPr>
        <w:t xml:space="preserve">ssc</w:t>
      </w:r>
      <w:r>
        <w:t xml:space="preserve"> </w:t>
      </w:r>
      <w:r>
        <w:t xml:space="preserve">+ ETS tax-equivalent price x ETS coverage x OBR share) x EF.</w:t>
      </w:r>
    </w:p>
    <w:p>
      <w:pPr>
        <w:numPr>
          <w:ilvl w:val="0"/>
          <w:numId w:val="1001"/>
        </w:numPr>
        <w:pStyle w:val="Compact"/>
      </w:pPr>
      <w:r>
        <w:rPr>
          <w:bCs/>
          <w:b/>
        </w:rPr>
        <w:t xml:space="preserve">ETS (v1.02,</w:t>
      </w:r>
      <w:r>
        <w:rPr>
          <w:bCs/>
          <w:b/>
        </w:rPr>
        <w:t xml:space="preserve"> </w:t>
      </w:r>
      <w:r>
        <w:rPr>
          <w:rStyle w:val="VerbatimChar"/>
          <w:bCs/>
          <w:b/>
        </w:rPr>
        <w:t xml:space="preserve">ETS_Method_v0_1.md</w:t>
      </w:r>
      <w:r>
        <w:rPr>
          <w:bCs/>
          <w:b/>
        </w:rPr>
        <w:t xml:space="preserve">):</w:t>
      </w:r>
      <w:r>
        <w:t xml:space="preserve"> </w:t>
      </w:r>
      <w:r>
        <w:t xml:space="preserve">MTInputs rows 84-115 per scenario; replaces the carbon tax in covered sectors. Cap = baseline covered emissions (data rows</w:t>
      </w:r>
      <w:r>
        <w:t xml:space="preserve"> </w:t>
      </w:r>
      <w:r>
        <w:rPr>
          <w:rStyle w:val="VerbatimChar"/>
        </w:rPr>
        <w:t xml:space="preserve">bco2</w:t>
      </w:r>
      <w:r>
        <w:t xml:space="preserve"> </w:t>
      </w:r>
      <w:r>
        <w:t xml:space="preserve">= scenario 1’s CO2 by ETS sector, refreshed by the build) x (1 + change path). Price = fast estimate LN(cap/baseline) / (effective semi-elasticity x volatility adjustment), or the override row</w:t>
      </w:r>
      <w:r>
        <w:t xml:space="preserve"> </w:t>
      </w:r>
      <w:r>
        <w:rPr>
          <w:rStyle w:val="VerbatimChar"/>
        </w:rPr>
        <w:t xml:space="preserve">ets.ovr</w:t>
      </w:r>
      <w:r>
        <w:t xml:space="preserve"> </w:t>
      </w:r>
      <w:r>
        <w:t xml:space="preserve">(MTInputs</w:t>
      </w:r>
      <w:r>
        <w:t xml:space="preserve"> </w:t>
      </w:r>
      <w:r>
        <w:rPr>
          <w:rStyle w:val="VerbatimChar"/>
        </w:rPr>
        <w:t xml:space="preserve">D_ETSPriceOverride</w:t>
      </w:r>
      <w:r>
        <w:t xml:space="preserve"> </w:t>
      </w:r>
      <w:r>
        <w:t xml:space="preserve">= Yes; filled by</w:t>
      </w:r>
      <w:r>
        <w:t xml:space="preserve"> </w:t>
      </w:r>
      <w:r>
        <w:rPr>
          <w:rStyle w:val="VerbatimChar"/>
        </w:rPr>
        <w:t xml:space="preserve">ets_goalseek_v0_1.py</w:t>
      </w:r>
      <w:r>
        <w:t xml:space="preserve"> </w:t>
      </w:r>
      <w:r>
        <w:t xml:space="preserve">or by pasting</w:t>
      </w:r>
      <w:r>
        <w:t xml:space="preserve"> </w:t>
      </w:r>
      <w:r>
        <w:rPr>
          <w:rStyle w:val="VerbatimChar"/>
        </w:rPr>
        <w:t xml:space="preserve">ets.next</w:t>
      </w:r>
      <w:r>
        <w:t xml:space="preserve">). Benchmarks by sector group give the OBR share; the price splits into a tax-equivalent wedge in</w:t>
      </w:r>
      <w:r>
        <w:t xml:space="preserve"> </w:t>
      </w:r>
      <w:r>
        <w:rPr>
          <w:rStyle w:val="VerbatimChar"/>
        </w:rPr>
        <w:t xml:space="preserve">atp</w:t>
      </w:r>
      <w:r>
        <w:t xml:space="preserve"> </w:t>
      </w:r>
      <w:r>
        <w:t xml:space="preserve">(auctioned part) and a shadow price on the efficiency margin (OBR part). Volatility adjustment from MTInputs 95-97 (1/1.1 at Medium). Section 13 compares covered emissions with the cap. Sectoral shadow prices = feebates + OBR part of the ETS + regulations (placeholder 0).</w:t>
      </w:r>
    </w:p>
    <w:p>
      <w:pPr>
        <w:numPr>
          <w:ilvl w:val="0"/>
          <w:numId w:val="1001"/>
        </w:numPr>
        <w:pStyle w:val="Compact"/>
      </w:pPr>
      <w:r>
        <w:rPr>
          <w:bCs/>
          <w:b/>
        </w:rPr>
        <w:t xml:space="preserve">Existing taxes and subsidies (v0.11, section 2):</w:t>
      </w:r>
      <w:r>
        <w:t xml:space="preserve"> </w:t>
      </w:r>
      <w:r>
        <w:rPr>
          <w:rStyle w:val="VerbatimChar"/>
        </w:rPr>
        <w:t xml:space="preserve">vat</w:t>
      </w:r>
      <w:r>
        <w:t xml:space="preserve">,</w:t>
      </w:r>
      <w:r>
        <w:t xml:space="preserve"> </w:t>
      </w:r>
      <w:r>
        <w:rPr>
          <w:rStyle w:val="VerbatimChar"/>
        </w:rPr>
        <w:t xml:space="preserve">etx</w:t>
      </w:r>
      <w:r>
        <w:t xml:space="preserve"> </w:t>
      </w:r>
      <w:r>
        <w:t xml:space="preserve">= max(txo, 0),</w:t>
      </w:r>
      <w:r>
        <w:t xml:space="preserve"> </w:t>
      </w:r>
      <w:r>
        <w:rPr>
          <w:rStyle w:val="VerbatimChar"/>
        </w:rPr>
        <w:t xml:space="preserve">esub</w:t>
      </w:r>
      <w:r>
        <w:t xml:space="preserve"> </w:t>
      </w:r>
      <w:r>
        <w:t xml:space="preserve">= max(-txo, 0),</w:t>
      </w:r>
      <w:r>
        <w:t xml:space="preserve"> </w:t>
      </w:r>
      <w:r>
        <w:rPr>
          <w:rStyle w:val="VerbatimChar"/>
        </w:rPr>
        <w:t xml:space="preserve">esubpu</w:t>
      </w:r>
      <w:r>
        <w:t xml:space="preserve"> </w:t>
      </w:r>
      <w:r>
        <w:t xml:space="preserve">= subsidy per MTInputs price unit (input for a later per-fuel policy).</w:t>
      </w:r>
    </w:p>
    <w:p>
      <w:pPr>
        <w:numPr>
          <w:ilvl w:val="0"/>
          <w:numId w:val="1001"/>
        </w:numPr>
        <w:pStyle w:val="Compact"/>
      </w:pPr>
      <w:r>
        <w:rPr>
          <w:bCs/>
          <w:b/>
        </w:rPr>
        <w:t xml:space="preserve">Multiple scenarios (v1.03,</w:t>
      </w:r>
      <w:r>
        <w:rPr>
          <w:bCs/>
          <w:b/>
        </w:rPr>
        <w:t xml:space="preserve"> </w:t>
      </w:r>
      <w:r>
        <w:rPr>
          <w:rStyle w:val="VerbatimChar"/>
          <w:bCs/>
          <w:b/>
        </w:rPr>
        <w:t xml:space="preserve">Scenarios_Method_v0_1.md</w:t>
      </w:r>
      <w:r>
        <w:rPr>
          <w:bCs/>
          <w:b/>
        </w:rPr>
        <w:t xml:space="preserve">):</w:t>
      </w:r>
      <w:r>
        <w:t xml:space="preserve"> </w:t>
      </w:r>
      <w:r>
        <w:t xml:space="preserve">MTInputs J = baseline, K = live policy scenario (Mitigation group 2), L onwards = scenario definitions (row 4 Run? = Yes/No; shipped: $20 carbon price, Package A carbon tax + feebates, Package B ETS + carbon tax elsewhere). Macro</w:t>
      </w:r>
      <w:r>
        <w:t xml:space="preserve"> </w:t>
      </w:r>
      <w:r>
        <w:rPr>
          <w:rStyle w:val="VerbatimChar"/>
        </w:rPr>
        <w:t xml:space="preserve">RunAllScenarios</w:t>
      </w:r>
      <w:r>
        <w:t xml:space="preserve"> </w:t>
      </w:r>
      <w:r>
        <w:t xml:space="preserve">(module CPATScenarios, Alt+F8) stores the baseline once, then copies each definition into K, recalculates, runs the ETS goal seek when the definition applies a new ETS, and stores the MTOutputs block as values in</w:t>
      </w:r>
      <w:r>
        <w:t xml:space="preserve"> </w:t>
      </w:r>
      <w:r>
        <w:rPr>
          <w:rStyle w:val="VerbatimChar"/>
        </w:rPr>
        <w:t xml:space="preserve">StoredResults</w:t>
      </w:r>
      <w:r>
        <w:t xml:space="preserve">; K is restored.</w:t>
      </w:r>
      <w:r>
        <w:t xml:space="preserve"> </w:t>
      </w:r>
      <w:r>
        <w:rPr>
          <w:rStyle w:val="VerbatimChar"/>
        </w:rPr>
        <w:t xml:space="preserve">ScenarioCompare</w:t>
      </w:r>
      <w:r>
        <w:t xml:space="preserve"> </w:t>
      </w:r>
      <w:r>
        <w:t xml:space="preserve">shows levels, differences and % differences vs the baseline for one year (C4) and up to 8 stored IDs. Other macros: StoreBaseline, StoreLiveScenario, SolveETSLive, ClearStoredScenarios.</w:t>
      </w:r>
    </w:p>
    <w:p>
      <w:pPr>
        <w:numPr>
          <w:ilvl w:val="0"/>
          <w:numId w:val="1001"/>
        </w:numPr>
        <w:pStyle w:val="Compact"/>
      </w:pPr>
      <w:r>
        <w:rPr>
          <w:bCs/>
          <w:b/>
        </w:rPr>
        <w:t xml:space="preserve">MTOutputs and Charts (v1.01):</w:t>
      </w:r>
      <w:r>
        <w:t xml:space="preserve"> </w:t>
      </w:r>
      <w:r>
        <w:rPr>
          <w:rStyle w:val="VerbatimChar"/>
        </w:rPr>
        <w:t xml:space="preserve">MTOutputs</w:t>
      </w:r>
      <w:r>
        <w:t xml:space="preserve"> </w:t>
      </w:r>
      <w:r>
        <w:t xml:space="preserve">collects 25 key results (fuel use, CO2, covered CO2 and ETS cap, revenues, carbon and ETS price, key retail prices) for every scenario by output code: one row block per scenario, the scenario number in column E of the block header. Copy the last block below to add a scenario.</w:t>
      </w:r>
      <w:r>
        <w:t xml:space="preserve"> </w:t>
      </w:r>
      <w:r>
        <w:rPr>
          <w:rStyle w:val="VerbatimChar"/>
        </w:rPr>
        <w:t xml:space="preserve">Charts</w:t>
      </w:r>
      <w:r>
        <w:t xml:space="preserve"> </w:t>
      </w:r>
      <w:r>
        <w:t xml:space="preserve">has 4 line charts (CO2, fuel use, fiscal effect, carbon price), one series per scenario.</w:t>
      </w:r>
    </w:p>
    <w:p>
      <w:pPr>
        <w:numPr>
          <w:ilvl w:val="0"/>
          <w:numId w:val="1001"/>
        </w:numPr>
        <w:pStyle w:val="Compact"/>
      </w:pPr>
      <w:r>
        <w:rPr>
          <w:bCs/>
          <w:b/>
        </w:rPr>
        <w:t xml:space="preserve">Revenues (v0.12):</w:t>
      </w:r>
      <w:r>
        <w:t xml:space="preserve"> </w:t>
      </w:r>
      <w:r>
        <w:t xml:space="preserve">three separate calculations per subsector and fuel (USD million real):</w:t>
      </w:r>
      <w:r>
        <w:t xml:space="preserve"> </w:t>
      </w:r>
      <w:r>
        <w:rPr>
          <w:rStyle w:val="VerbatimChar"/>
        </w:rPr>
        <w:t xml:space="preserve">rtx</w:t>
      </w:r>
      <w:r>
        <w:t xml:space="preserve"> </w:t>
      </w:r>
      <w:r>
        <w:t xml:space="preserve">existing tax revenue = fuel use x PJ/ktoe x (</w:t>
      </w:r>
      <w:r>
        <w:rPr>
          <w:rStyle w:val="VerbatimChar"/>
        </w:rPr>
        <w:t xml:space="preserve">etx</w:t>
      </w:r>
      <w:r>
        <w:t xml:space="preserve"> </w:t>
      </w:r>
      <w:r>
        <w:t xml:space="preserve">+</w:t>
      </w:r>
      <w:r>
        <w:t xml:space="preserve"> </w:t>
      </w:r>
      <w:r>
        <w:rPr>
          <w:rStyle w:val="VerbatimChar"/>
        </w:rPr>
        <w:t xml:space="preserve">vat</w:t>
      </w:r>
      <w:r>
        <w:t xml:space="preserve">);</w:t>
      </w:r>
      <w:r>
        <w:t xml:space="preserve"> </w:t>
      </w:r>
      <w:r>
        <w:rPr>
          <w:rStyle w:val="VerbatimChar"/>
        </w:rPr>
        <w:t xml:space="preserve">rsub</w:t>
      </w:r>
      <w:r>
        <w:t xml:space="preserve"> </w:t>
      </w:r>
      <w:r>
        <w:t xml:space="preserve">existing subsidy cost = fuel use x PJ/ktoe x</w:t>
      </w:r>
      <w:r>
        <w:t xml:space="preserve"> </w:t>
      </w:r>
      <w:r>
        <w:rPr>
          <w:rStyle w:val="VerbatimChar"/>
        </w:rPr>
        <w:t xml:space="preserve">esub</w:t>
      </w:r>
      <w:r>
        <w:t xml:space="preserve">;</w:t>
      </w:r>
      <w:r>
        <w:t xml:space="preserve"> </w:t>
      </w:r>
      <w:r>
        <w:rPr>
          <w:rStyle w:val="VerbatimChar"/>
        </w:rPr>
        <w:t xml:space="preserve">rnew</w:t>
      </w:r>
      <w:r>
        <w:t xml:space="preserve"> </w:t>
      </w:r>
      <w:r>
        <w:t xml:space="preserve">new-policy revenue = fuel use x PJ/ktoe x (</w:t>
      </w:r>
      <w:r>
        <w:rPr>
          <w:rStyle w:val="VerbatimChar"/>
        </w:rPr>
        <w:t xml:space="preserve">ctxnew</w:t>
      </w:r>
      <w:r>
        <w:t xml:space="preserve"> </w:t>
      </w:r>
      <w:r>
        <w:t xml:space="preserve">+</w:t>
      </w:r>
      <w:r>
        <w:t xml:space="preserve"> </w:t>
      </w:r>
      <w:r>
        <w:rPr>
          <w:rStyle w:val="VerbatimChar"/>
        </w:rPr>
        <w:t xml:space="preserve">ntx</w:t>
      </w:r>
      <w:r>
        <w:t xml:space="preserve"> </w:t>
      </w:r>
      <w:r>
        <w:t xml:space="preserve">+</w:t>
      </w:r>
      <w:r>
        <w:t xml:space="preserve"> </w:t>
      </w:r>
      <w:r>
        <w:rPr>
          <w:rStyle w:val="VerbatimChar"/>
        </w:rPr>
        <w:t xml:space="preserve">ets</w:t>
      </w:r>
      <w:r>
        <w:t xml:space="preserve"> </w:t>
      </w:r>
      <w:r>
        <w:t xml:space="preserve">x revenue factor +</w:t>
      </w:r>
      <w:r>
        <w:t xml:space="preserve"> </w:t>
      </w:r>
      <w:r>
        <w:rPr>
          <w:rStyle w:val="VerbatimChar"/>
        </w:rPr>
        <w:t xml:space="preserve">nce</w:t>
      </w:r>
      <w:r>
        <w:t xml:space="preserve"> </w:t>
      </w:r>
      <w:r>
        <w:t xml:space="preserve">x VAT rate). Section 12: totals by sector, net existing (</w:t>
      </w:r>
      <w:r>
        <w:rPr>
          <w:rStyle w:val="VerbatimChar"/>
        </w:rPr>
        <w:t xml:space="preserve">rnet</w:t>
      </w:r>
      <w:r>
        <w:t xml:space="preserve">), total (</w:t>
      </w:r>
      <w:r>
        <w:rPr>
          <w:rStyle w:val="VerbatimChar"/>
        </w:rPr>
        <w:t xml:space="preserve">rtot</w:t>
      </w:r>
      <w:r>
        <w:t xml:space="preserve">), change vs scenario 1 (</w:t>
      </w:r>
      <w:r>
        <w:rPr>
          <w:rStyle w:val="VerbatimChar"/>
        </w:rPr>
        <w:t xml:space="preserve">rtot.chg</w:t>
      </w:r>
      <w:r>
        <w:t xml:space="preserve">). Feebates revenue-neutral; no power or electricity yet.</w:t>
      </w:r>
    </w:p>
    <w:p>
      <w:pPr>
        <w:numPr>
          <w:ilvl w:val="0"/>
          <w:numId w:val="1001"/>
        </w:numPr>
        <w:pStyle w:val="Compact"/>
      </w:pPr>
      <w:r>
        <w:rPr>
          <w:bCs/>
          <w:b/>
        </w:rPr>
        <w:t xml:space="preserve">CO2 (v0.13):</w:t>
      </w:r>
      <w:r>
        <w:t xml:space="preserve"> </w:t>
      </w:r>
      <w:r>
        <w:rPr>
          <w:rStyle w:val="VerbatimChar"/>
        </w:rPr>
        <w:t xml:space="preserve">co2</w:t>
      </w:r>
      <w:r>
        <w:t xml:space="preserve"> </w:t>
      </w:r>
      <w:r>
        <w:t xml:space="preserve">per subsector and fuel = fuel use x PJ/ktoe x EF (tCO2/GJ) in MtCO2; section 13: total, by sector, by fuel, change vs scenario 1. Fuel combustion only (no power, process emissions, CH4, N2O, local pollutants yet).</w:t>
      </w:r>
    </w:p>
    <w:p>
      <w:pPr>
        <w:numPr>
          <w:ilvl w:val="0"/>
          <w:numId w:val="1001"/>
        </w:numPr>
        <w:pStyle w:val="Compact"/>
      </w:pPr>
      <w:r>
        <w:rPr>
          <w:bCs/>
          <w:b/>
        </w:rPr>
        <w:t xml:space="preserve">Data step separate from formulas.</w:t>
      </w:r>
      <w:r>
        <w:t xml:space="preserve"> </w:t>
      </w:r>
      <w:r>
        <w:t xml:space="preserve">Sheet</w:t>
      </w:r>
      <w:r>
        <w:t xml:space="preserve"> </w:t>
      </w:r>
      <w:r>
        <w:rPr>
          <w:rStyle w:val="VerbatimChar"/>
        </w:rPr>
        <w:t xml:space="preserve">Inputs</w:t>
      </w:r>
      <w:r>
        <w:t xml:space="preserve"> </w:t>
      </w:r>
      <w:r>
        <w:t xml:space="preserve">(one row per fuel|subsector) holds every lookup;</w:t>
      </w:r>
      <w:r>
        <w:t xml:space="preserve"> </w:t>
      </w:r>
      <w:r>
        <w:rPr>
          <w:rStyle w:val="VerbatimChar"/>
        </w:rPr>
        <w:t xml:space="preserve">Mitigation</w:t>
      </w:r>
      <w:r>
        <w:t xml:space="preserve"> </w:t>
      </w:r>
      <w:r>
        <w:t xml:space="preserve">reads it in the hidden parameter columns D:G (labels in</w:t>
      </w:r>
      <w:r>
        <w:t xml:space="preserve"> </w:t>
      </w:r>
      <w:r>
        <w:rPr>
          <w:rStyle w:val="VerbatimChar"/>
        </w:rPr>
        <w:t xml:space="preserve">Variables</w:t>
      </w:r>
      <w:r>
        <w:t xml:space="preserve"> </w:t>
      </w:r>
      <w:r>
        <w:t xml:space="preserve">G:J) and the base-year column. Calculation cells hold no searching lookups;</w:t>
      </w:r>
      <w:r>
        <w:t xml:space="preserve"> </w:t>
      </w:r>
      <w:r>
        <w:rPr>
          <w:rStyle w:val="VerbatimChar"/>
        </w:rPr>
        <w:t xml:space="preserve">ctxnew</w:t>
      </w:r>
      <w:r>
        <w:t xml:space="preserve">,</w:t>
      </w:r>
      <w:r>
        <w:t xml:space="preserve"> </w:t>
      </w:r>
      <w:r>
        <w:rPr>
          <w:rStyle w:val="VerbatimChar"/>
        </w:rPr>
        <w:t xml:space="preserve">ntx</w:t>
      </w:r>
      <w:r>
        <w:t xml:space="preserve"> </w:t>
      </w:r>
      <w:r>
        <w:t xml:space="preserve">and</w:t>
      </w:r>
      <w:r>
        <w:t xml:space="preserve"> </w:t>
      </w:r>
      <w:r>
        <w:rPr>
          <w:rStyle w:val="VerbatimChar"/>
        </w:rPr>
        <w:t xml:space="preserve">shp</w:t>
      </w:r>
      <w:r>
        <w:t xml:space="preserve"> </w:t>
      </w:r>
      <w:r>
        <w:t xml:space="preserve">pick a Section-1 row by position with</w:t>
      </w:r>
      <w:r>
        <w:t xml:space="preserve"> </w:t>
      </w:r>
      <w:r>
        <w:rPr>
          <w:rStyle w:val="VerbatimChar"/>
        </w:rPr>
        <w:t xml:space="preserve">INDEX(range, position)</w:t>
      </w:r>
      <w:r>
        <w:t xml:space="preserve">.</w:t>
      </w:r>
    </w:p>
    <w:p>
      <w:pPr>
        <w:numPr>
          <w:ilvl w:val="0"/>
          <w:numId w:val="1001"/>
        </w:numPr>
        <w:pStyle w:val="Compact"/>
      </w:pPr>
      <w:r>
        <w:rPr>
          <w:bCs/>
          <w:b/>
        </w:rPr>
        <w:t xml:space="preserve">Copy-pasteable:</w:t>
      </w:r>
      <w:r>
        <w:t xml:space="preserve"> </w:t>
      </w:r>
      <w:r>
        <w:t xml:space="preserve">every variable has one formula (relative R1C1) per column block across all subsectors, fuels and scenarios. Supply cost and taxes have separate history (2022-2024, data) and projection blocks without IF. The right column (2040) of every calculated row calls a named LAMBDA (30 in all, Name Manager), which holds the IF between history and projection where needed, so it can be copied back over a whole row.</w:t>
      </w:r>
    </w:p>
    <w:p>
      <w:pPr>
        <w:numPr>
          <w:ilvl w:val="0"/>
          <w:numId w:val="1001"/>
        </w:numPr>
        <w:pStyle w:val="Compact"/>
      </w:pPr>
      <w:r>
        <w:rPr>
          <w:bCs/>
          <w:b/>
        </w:rPr>
        <w:t xml:space="preserve">Codes and labels.</w:t>
      </w:r>
      <w:r>
        <w:t xml:space="preserve"> </w:t>
      </w:r>
      <w:r>
        <w:t xml:space="preserve">Column A holds the variable code; description, unit and source come from</w:t>
      </w:r>
      <w:r>
        <w:t xml:space="preserve"> </w:t>
      </w:r>
      <w:r>
        <w:rPr>
          <w:rStyle w:val="VerbatimChar"/>
        </w:rPr>
        <w:t xml:space="preserve">Variables</w:t>
      </w:r>
      <w:r>
        <w:t xml:space="preserve">; each scenario group starts with a code column building</w:t>
      </w:r>
      <w:r>
        <w:t xml:space="preserve"> </w:t>
      </w:r>
      <w:r>
        <w:rPr>
          <w:rStyle w:val="VerbatimChar"/>
        </w:rPr>
        <w:t xml:space="preserve">country.mit.&lt;variable&gt;.&lt;subsector&gt;.&lt;fuel&gt;.&lt;suffix&gt;.&lt;scenario&gt;</w:t>
      </w:r>
      <w:r>
        <w:t xml:space="preserve"> </w:t>
      </w:r>
      <w:r>
        <w:t xml:space="preserve">(e.g. </w:t>
      </w:r>
      <w:r>
        <w:rPr>
          <w:rStyle w:val="VerbatimChar"/>
        </w:rPr>
        <w:t xml:space="preserve">egy.mit.ener.rod.gso.e.1</w:t>
      </w:r>
      <w:r>
        <w:t xml:space="preserve">).</w:t>
      </w:r>
    </w:p>
    <w:p>
      <w:pPr>
        <w:numPr>
          <w:ilvl w:val="0"/>
          <w:numId w:val="1001"/>
        </w:numPr>
        <w:pStyle w:val="Compact"/>
      </w:pPr>
      <w:r>
        <w:rPr>
          <w:bCs/>
          <w:b/>
        </w:rPr>
        <w:t xml:space="preserve">Roll-up (v0.15).</w:t>
      </w:r>
      <w:r>
        <w:t xml:space="preserve"> </w:t>
      </w:r>
      <w:r>
        <w:t xml:space="preserve">Mitigation is the first tab and opens at 75% zoom, fully rolled up (bands, sector totals, carbon price, retail prices, revenue and CO2 totals). Row group buttons sit below each group (summaryBelow). Columns are grouped at one level: B:G, I:K and 2030-2039 of each scenario. Each scenario group ends with a blank spacer column. Colours: darker beige = base year; light beige = blocks copy-pasteable within themselves but not draggable into white or base-year cells (LAMBDA column, 2023-2024 price history). Green section bands have white text.</w:t>
      </w:r>
    </w:p>
    <w:p>
      <w:pPr>
        <w:numPr>
          <w:ilvl w:val="0"/>
          <w:numId w:val="1001"/>
        </w:numPr>
        <w:pStyle w:val="Compact"/>
      </w:pPr>
      <w:r>
        <w:rPr>
          <w:bCs/>
          <w:b/>
        </w:rPr>
        <w:t xml:space="preserve">Parameters are global</w:t>
      </w:r>
      <w:r>
        <w:t xml:space="preserve">; scenarios differ only in their MTInputs columns. Country lookups via</w:t>
      </w:r>
      <w:r>
        <w:t xml:space="preserve"> </w:t>
      </w:r>
      <w:r>
        <w:rPr>
          <w:rStyle w:val="VerbatimChar"/>
        </w:rPr>
        <w:t xml:space="preserve">Settings!C4</w:t>
      </w:r>
      <w:r>
        <w:t xml:space="preserve"> </w:t>
      </w:r>
      <w:r>
        <w:t xml:space="preserve">(elasticities and prices for all CPAT countries; energy use, GDP and EFs Egypt only).</w:t>
      </w:r>
    </w:p>
    <w:bookmarkEnd w:id="21"/>
    <w:bookmarkStart w:id="22" w:name="files"/>
    <w:p>
      <w:pPr>
        <w:pStyle w:val="Heading3"/>
      </w:pPr>
      <w:r>
        <w:t xml:space="preserve">Files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Role</w:t>
            </w:r>
          </w:p>
        </w:tc>
      </w:tr>
      <w:tr>
        <w:tc>
          <w:tcPr/>
          <w:p>
            <w:pPr>
              <w:pStyle w:val="Compact"/>
              <w:jc w:val="left"/>
            </w:pPr>
            <w:r>
              <w:rPr>
                <w:rStyle w:val="VerbatimChar"/>
              </w:rPr>
              <w:t xml:space="preserve">CPAT-AI-Mitigation-MVP-v1.03.xlsm</w:t>
            </w:r>
          </w:p>
        </w:tc>
        <w:tc>
          <w:tcPr/>
          <w:p>
            <w:pPr>
              <w:pStyle w:val="Compact"/>
              <w:jc w:val="left"/>
            </w:pPr>
            <w:r>
              <w:t xml:space="preserve">Workbook (macro-enabled; formulas recalculate on open; StoredResults holds values, filled at build by a Python emulation of RunAllScenarios)</w:t>
            </w:r>
          </w:p>
        </w:tc>
      </w:tr>
      <w:tr>
        <w:tc>
          <w:tcPr/>
          <w:p>
            <w:pPr>
              <w:pStyle w:val="Compact"/>
              <w:jc w:val="left"/>
            </w:pPr>
            <w:r>
              <w:rPr>
                <w:rStyle w:val="VerbatimChar"/>
              </w:rPr>
              <w:t xml:space="preserve">build_v1_03.py</w:t>
            </w:r>
          </w:p>
        </w:tc>
        <w:tc>
          <w:tcPr/>
          <w:p>
            <w:pPr>
              <w:pStyle w:val="Compact"/>
              <w:jc w:val="left"/>
            </w:pPr>
            <w:r>
              <w:t xml:space="preserve">Builder (reads</w:t>
            </w:r>
            <w:r>
              <w:t xml:space="preserve"> </w:t>
            </w:r>
            <w:r>
              <w:rPr>
                <w:rStyle w:val="VerbatimChar"/>
              </w:rPr>
              <w:t xml:space="preserve">templates/MTInputs_template.xlsx</w:t>
            </w:r>
            <w:r>
              <w:t xml:space="preserve">) (openpyxl; no Excel COM needed); fills the baseline CO2 data rows from a LibreOffice recalculation of scenario 1; emulates the batch run for StoredResults; embeds the VBA module</w:t>
            </w:r>
          </w:p>
        </w:tc>
      </w:tr>
      <w:tr>
        <w:tc>
          <w:tcPr/>
          <w:p>
            <w:pPr>
              <w:pStyle w:val="Compact"/>
              <w:jc w:val="left"/>
            </w:pPr>
            <w:r>
              <w:rPr>
                <w:rStyle w:val="VerbatimChar"/>
              </w:rPr>
              <w:t xml:space="preserve">CPATScenarios_v0_1.bas</w:t>
            </w:r>
          </w:p>
        </w:tc>
        <w:tc>
          <w:tcPr/>
          <w:p>
            <w:pPr>
              <w:pStyle w:val="Compact"/>
              <w:jc w:val="left"/>
            </w:pPr>
            <w:r>
              <w:t xml:space="preserve">VBA module (batch run, ETS goal seek, store / clear results); embedded in the .xlsm, also for import by hand</w:t>
            </w:r>
          </w:p>
        </w:tc>
      </w:tr>
      <w:tr>
        <w:tc>
          <w:tcPr/>
          <w:p>
            <w:pPr>
              <w:pStyle w:val="Compact"/>
              <w:jc w:val="left"/>
            </w:pPr>
            <w:r>
              <w:rPr>
                <w:rStyle w:val="VerbatimChar"/>
              </w:rPr>
              <w:t xml:space="preserve">vba_project_v0_1.py</w:t>
            </w:r>
          </w:p>
        </w:tc>
        <w:tc>
          <w:tcPr/>
          <w:p>
            <w:pPr>
              <w:pStyle w:val="Compact"/>
              <w:jc w:val="left"/>
            </w:pPr>
            <w:r>
              <w:t xml:space="preserve">Writes</w:t>
            </w:r>
            <w:r>
              <w:t xml:space="preserve"> </w:t>
            </w:r>
            <w:r>
              <w:rPr>
                <w:rStyle w:val="VerbatimChar"/>
              </w:rPr>
              <w:t xml:space="preserve">xl/vbaProject.bin</w:t>
            </w:r>
            <w:r>
              <w:t xml:space="preserve"> </w:t>
            </w:r>
            <w:r>
              <w:t xml:space="preserve">from VBA source without Excel (MS-OVBA compression, dir and PROJECT streams, compound file) and turns the .xlsx into an .xlsm</w:t>
            </w:r>
          </w:p>
        </w:tc>
      </w:tr>
      <w:tr>
        <w:tc>
          <w:tcPr/>
          <w:p>
            <w:pPr>
              <w:pStyle w:val="Compact"/>
              <w:jc w:val="left"/>
            </w:pPr>
            <w:r>
              <w:rPr>
                <w:rStyle w:val="VerbatimChar"/>
              </w:rPr>
              <w:t xml:space="preserve">lo_run_macro_v0_1.py</w:t>
            </w:r>
          </w:p>
        </w:tc>
        <w:tc>
          <w:tcPr/>
          <w:p>
            <w:pPr>
              <w:pStyle w:val="Compact"/>
              <w:jc w:val="left"/>
            </w:pPr>
            <w:r>
              <w:t xml:space="preserve">Runs a macro of an .xlsm in headless LibreOffice (used by the check)</w:t>
            </w:r>
          </w:p>
        </w:tc>
      </w:tr>
      <w:tr>
        <w:tc>
          <w:tcPr/>
          <w:p>
            <w:pPr>
              <w:pStyle w:val="Compact"/>
              <w:jc w:val="left"/>
            </w:pPr>
            <w:r>
              <w:rPr>
                <w:rStyle w:val="VerbatimChar"/>
              </w:rPr>
              <w:t xml:space="preserve">Scenarios_Method_v0_1.md</w:t>
            </w:r>
          </w:p>
        </w:tc>
        <w:tc>
          <w:tcPr/>
          <w:p>
            <w:pPr>
              <w:pStyle w:val="Compact"/>
              <w:jc w:val="left"/>
            </w:pPr>
            <w:r>
              <w:t xml:space="preserve">Scenario definitions, macros, StoredResults and ScenarioCompare</w:t>
            </w:r>
          </w:p>
        </w:tc>
      </w:tr>
      <w:tr>
        <w:tc>
          <w:tcPr/>
          <w:p>
            <w:pPr>
              <w:pStyle w:val="Compact"/>
              <w:jc w:val="left"/>
            </w:pPr>
            <w:r>
              <w:rPr>
                <w:rStyle w:val="VerbatimChar"/>
              </w:rPr>
              <w:t xml:space="preserve">ets_goalseek_v0_2.py</w:t>
            </w:r>
          </w:p>
        </w:tc>
        <w:tc>
          <w:tcPr/>
          <w:p>
            <w:pPr>
              <w:pStyle w:val="Compact"/>
              <w:jc w:val="left"/>
            </w:pPr>
            <w:r>
              <w:t xml:space="preserve">ETS goal seek in Python (same algorithm as the macro’s SolveETS; replaces legacy VBA OverrideETSFast): iterates the override row until covered emissions meet the cap; writes</w:t>
            </w:r>
            <w:r>
              <w:t xml:space="preserve"> </w:t>
            </w:r>
            <w:r>
              <w:rPr>
                <w:rStyle w:val="VerbatimChar"/>
              </w:rPr>
              <w:t xml:space="preserve">ets_override_s&lt;scenario&gt;.csv</w:t>
            </w:r>
          </w:p>
        </w:tc>
      </w:tr>
      <w:tr>
        <w:tc>
          <w:tcPr/>
          <w:p>
            <w:pPr>
              <w:pStyle w:val="Compact"/>
              <w:jc w:val="left"/>
            </w:pPr>
            <w:r>
              <w:rPr>
                <w:rStyle w:val="VerbatimChar"/>
              </w:rPr>
              <w:t xml:space="preserve">CPAT-AI-Mitigation-MVP_Documentation_v1.03.docx</w:t>
            </w:r>
            <w:r>
              <w:t xml:space="preserve">,</w:t>
            </w:r>
            <w:r>
              <w:t xml:space="preserve"> </w:t>
            </w:r>
            <w:r>
              <w:rPr>
                <w:rStyle w:val="VerbatimChar"/>
              </w:rPr>
              <w:t xml:space="preserve">make_docs_v1_03.py</w:t>
            </w:r>
          </w:p>
        </w:tc>
        <w:tc>
          <w:tcPr/>
          <w:p>
            <w:pPr>
              <w:pStyle w:val="Compact"/>
              <w:jc w:val="left"/>
            </w:pPr>
            <w:r>
              <w:t xml:space="preserve">Word documentation (overview, price method, ETS method, multiple scenarios), assembled from the Markdown notes with pandoc</w:t>
            </w:r>
          </w:p>
        </w:tc>
      </w:tr>
      <w:tr>
        <w:tc>
          <w:tcPr/>
          <w:p>
            <w:pPr>
              <w:pStyle w:val="Compact"/>
              <w:jc w:val="left"/>
            </w:pPr>
            <w:r>
              <w:rPr>
                <w:rStyle w:val="VerbatimChar"/>
              </w:rPr>
              <w:t xml:space="preserve">ETS_Method_v0_1.md</w:t>
            </w:r>
          </w:p>
        </w:tc>
        <w:tc>
          <w:tcPr/>
          <w:p>
            <w:pPr>
              <w:pStyle w:val="Compact"/>
              <w:jc w:val="left"/>
            </w:pPr>
            <w:r>
              <w:t xml:space="preserve">New ETS method as implemented (cap, fast estimate, benchmarks, split, volatility, goal seek)</w:t>
            </w:r>
          </w:p>
        </w:tc>
      </w:tr>
      <w:tr>
        <w:tc>
          <w:tcPr/>
          <w:p>
            <w:pPr>
              <w:pStyle w:val="Compact"/>
              <w:jc w:val="left"/>
            </w:pPr>
            <w:r>
              <w:rPr>
                <w:rStyle w:val="VerbatimChar"/>
              </w:rPr>
              <w:t xml:space="preserve">extract_data_v0_2.py</w:t>
            </w:r>
          </w:p>
        </w:tc>
        <w:tc>
          <w:tcPr/>
          <w:p>
            <w:pPr>
              <w:pStyle w:val="Compact"/>
              <w:jc w:val="left"/>
            </w:pPr>
            <w:r>
              <w:t xml:space="preserve">Writes</w:t>
            </w:r>
            <w:r>
              <w:t xml:space="preserve"> </w:t>
            </w:r>
            <w:r>
              <w:rPr>
                <w:rStyle w:val="VerbatimChar"/>
              </w:rPr>
              <w:t xml:space="preserve">data/*.csv</w:t>
            </w:r>
            <w:r>
              <w:t xml:space="preserve"> </w:t>
            </w:r>
            <w:r>
              <w:t xml:space="preserve">from the legacy workbook, the price-module data and kernel v1.6 (needs</w:t>
            </w:r>
            <w:r>
              <w:t xml:space="preserve"> </w:t>
            </w:r>
            <w:r>
              <w:rPr>
                <w:rStyle w:val="VerbatimChar"/>
              </w:rPr>
              <w:t xml:space="preserve">pyxlsb</w:t>
            </w:r>
            <w:r>
              <w:t xml:space="preserve">); v0.2 adds international prices by source, US CPI and GDP deflator, regional price assumptions</w:t>
            </w:r>
          </w:p>
        </w:tc>
      </w:tr>
      <w:tr>
        <w:tc>
          <w:tcPr/>
          <w:p>
            <w:pPr>
              <w:pStyle w:val="Compact"/>
              <w:jc w:val="left"/>
            </w:pPr>
            <w:r>
              <w:rPr>
                <w:rStyle w:val="VerbatimChar"/>
              </w:rPr>
              <w:t xml:space="preserve">update_prices_egypt_v0_1.py</w:t>
            </w:r>
          </w:p>
        </w:tc>
        <w:tc>
          <w:tcPr/>
          <w:p>
            <w:pPr>
              <w:pStyle w:val="Compact"/>
              <w:jc w:val="left"/>
            </w:pPr>
            <w:r>
              <w:t xml:space="preserve">Applies the corrected Egypt price block (</w:t>
            </w:r>
            <w:r>
              <w:rPr>
                <w:rStyle w:val="VerbatimChar"/>
              </w:rPr>
              <w:t xml:space="preserve">data/source/Egypt_Price_Data_2026-10-09.xlsx</w:t>
            </w:r>
            <w:r>
              <w:t xml:space="preserve">, user) to</w:t>
            </w:r>
            <w:r>
              <w:t xml:space="preserve"> </w:t>
            </w:r>
            <w:r>
              <w:rPr>
                <w:rStyle w:val="VerbatimChar"/>
              </w:rPr>
              <w:t xml:space="preserve">data/prices_dom.csv</w:t>
            </w:r>
            <w:r>
              <w:t xml:space="preserve"> </w:t>
            </w:r>
            <w:r>
              <w:t xml:space="preserve">(Egypt rows only; 2019-2020 added) and lists every changed cell in</w:t>
            </w:r>
            <w:r>
              <w:t xml:space="preserve"> </w:t>
            </w:r>
            <w:r>
              <w:rPr>
                <w:rStyle w:val="VerbatimChar"/>
              </w:rPr>
              <w:t xml:space="preserve">data/prices_dom_changes.csv</w:t>
            </w:r>
            <w:r>
              <w:t xml:space="preserve"> </w:t>
            </w:r>
            <w:r>
              <w:t xml:space="preserve">(marked bright yellow in the workbook)</w:t>
            </w:r>
          </w:p>
        </w:tc>
      </w:tr>
      <w:tr>
        <w:tc>
          <w:tcPr/>
          <w:p>
            <w:pPr>
              <w:pStyle w:val="Compact"/>
              <w:jc w:val="left"/>
            </w:pPr>
            <w:r>
              <w:rPr>
                <w:rStyle w:val="VerbatimChar"/>
              </w:rPr>
              <w:t xml:space="preserve">legacy_compare_v0_1.py</w:t>
            </w:r>
            <w:r>
              <w:t xml:space="preserve">,</w:t>
            </w:r>
            <w:r>
              <w:t xml:space="preserve"> </w:t>
            </w:r>
            <w:r>
              <w:rPr>
                <w:rStyle w:val="VerbatimChar"/>
              </w:rPr>
              <w:t xml:space="preserve">legacy_comparison_v0_1.md</w:t>
            </w:r>
            <w:r>
              <w:t xml:space="preserve">,</w:t>
            </w:r>
            <w:r>
              <w:t xml:space="preserve"> </w:t>
            </w:r>
            <w:r>
              <w:rPr>
                <w:rStyle w:val="VerbatimChar"/>
              </w:rPr>
              <w:t xml:space="preserve">data/legacy_cached_baseline.csv</w:t>
            </w:r>
          </w:p>
        </w:tc>
        <w:tc>
          <w:tcPr/>
          <w:p>
            <w:pPr>
              <w:pStyle w:val="Compact"/>
              <w:jc w:val="left"/>
            </w:pPr>
            <w:r>
              <w:t xml:space="preserve">Comparison of scenario 1 with the cached baseline of the legacy workbook (fuel use, after-tax prices, CO2 by subsector); variant with the last historical price year 2022</w:t>
            </w:r>
          </w:p>
        </w:tc>
      </w:tr>
      <w:tr>
        <w:tc>
          <w:tcPr/>
          <w:p>
            <w:pPr>
              <w:pStyle w:val="Compact"/>
              <w:jc w:val="left"/>
            </w:pPr>
            <w:r>
              <w:rPr>
                <w:rStyle w:val="VerbatimChar"/>
              </w:rPr>
              <w:t xml:space="preserve">ETS_Cap_Design_Options_v0_1.md</w:t>
            </w:r>
          </w:p>
        </w:tc>
        <w:tc>
          <w:tcPr/>
          <w:p>
            <w:pPr>
              <w:pStyle w:val="Compact"/>
              <w:jc w:val="left"/>
            </w:pPr>
            <w:r>
              <w:t xml:space="preserve">Options for a cap-based new-ETS price (legacy method, circularity, recommendation)</w:t>
            </w:r>
          </w:p>
        </w:tc>
      </w:tr>
      <w:tr>
        <w:tc>
          <w:tcPr/>
          <w:p>
            <w:pPr>
              <w:pStyle w:val="Compact"/>
              <w:jc w:val="left"/>
            </w:pPr>
            <w:r>
              <w:rPr>
                <w:rStyle w:val="VerbatimChar"/>
              </w:rPr>
              <w:t xml:space="preserve">ETS_Legacy_Algorithm_v0_1.md</w:t>
            </w:r>
          </w:p>
        </w:tc>
        <w:tc>
          <w:tcPr/>
          <w:p>
            <w:pPr>
              <w:pStyle w:val="Compact"/>
              <w:jc w:val="left"/>
            </w:pPr>
            <w:r>
              <w:t xml:space="preserve">Legacy ETS: fast semi-elasticity estimate, VBA goal seek, auctioned vs OBR split; proposed benchmark-based design</w:t>
            </w:r>
          </w:p>
        </w:tc>
      </w:tr>
      <w:tr>
        <w:tc>
          <w:tcPr/>
          <w:p>
            <w:pPr>
              <w:pStyle w:val="Compact"/>
              <w:jc w:val="left"/>
            </w:pPr>
            <w:r>
              <w:rPr>
                <w:rStyle w:val="VerbatimChar"/>
              </w:rPr>
              <w:t xml:space="preserve">presentation/CPAT-AI-Mitigation-MVP_Overview_v1.0.pptx</w:t>
            </w:r>
          </w:p>
        </w:tc>
        <w:tc>
          <w:tcPr/>
          <w:p>
            <w:pPr>
              <w:pStyle w:val="Compact"/>
              <w:jc w:val="left"/>
            </w:pPr>
            <w:r>
              <w:t xml:space="preserve">7-slide pitch + user guide (purpose, scope, problems and fixes, scenarios, left section, two formula styles, next steps); built by</w:t>
            </w:r>
            <w:r>
              <w:t xml:space="preserve"> </w:t>
            </w:r>
            <w:r>
              <w:rPr>
                <w:rStyle w:val="VerbatimChar"/>
              </w:rPr>
              <w:t xml:space="preserve">presentation/build_deck_v1_0.js</w:t>
            </w:r>
            <w:r>
              <w:t xml:space="preserve"> </w:t>
            </w:r>
            <w:r>
              <w:t xml:space="preserve">(pptxgenjs) from screenshots that</w:t>
            </w:r>
            <w:r>
              <w:t xml:space="preserve"> </w:t>
            </w:r>
            <w:r>
              <w:rPr>
                <w:rStyle w:val="VerbatimChar"/>
              </w:rPr>
              <w:t xml:space="preserve">presentation/make_screenshots_v1_0.py</w:t>
            </w:r>
            <w:r>
              <w:t xml:space="preserve"> </w:t>
            </w:r>
            <w:r>
              <w:t xml:space="preserve">renders from the workbook (</w:t>
            </w:r>
            <w:r>
              <w:rPr>
                <w:rStyle w:val="VerbatimChar"/>
              </w:rPr>
              <w:t xml:space="preserve">presentation/img/</w:t>
            </w:r>
            <w:r>
              <w:t xml:space="preserve">)</w:t>
            </w:r>
          </w:p>
        </w:tc>
      </w:tr>
      <w:tr>
        <w:tc>
          <w:tcPr/>
          <w:p>
            <w:pPr>
              <w:pStyle w:val="Compact"/>
              <w:jc w:val="left"/>
            </w:pPr>
            <w:r>
              <w:rPr>
                <w:rStyle w:val="VerbatimChar"/>
              </w:rPr>
              <w:t xml:space="preserve">PriceProjection_Method_v0.4.md</w:t>
            </w:r>
          </w:p>
        </w:tc>
        <w:tc>
          <w:tcPr/>
          <w:p>
            <w:pPr>
              <w:pStyle w:val="Compact"/>
              <w:jc w:val="left"/>
            </w:pPr>
            <w:r>
              <w:t xml:space="preserve">Price projection method as implemented, with the holistic real/nominal assumptions (A1-A11) and existing taxes and subsidies</w:t>
            </w:r>
          </w:p>
        </w:tc>
      </w:tr>
      <w:tr>
        <w:tc>
          <w:tcPr/>
          <w:p>
            <w:pPr>
              <w:pStyle w:val="Compact"/>
              <w:jc w:val="left"/>
            </w:pPr>
            <w:r>
              <w:rPr>
                <w:rStyle w:val="VerbatimChar"/>
              </w:rPr>
              <w:t xml:space="preserve">check_v1_03.py</w:t>
            </w:r>
          </w:p>
        </w:tc>
        <w:tc>
          <w:tcPr/>
          <w:p>
            <w:pPr>
              <w:pStyle w:val="Compact"/>
              <w:jc w:val="left"/>
            </w:pPr>
            <w:r>
              <w:t xml:space="preserve">LibreOffice checks: errors only in the LAMBDA column, one R1C1 formula per block and per label/code column, LAMBDA encoding, LAMBDA expansion and drag-forward vs an independent Python recomputation, scenario-copy test with auto-numbering, expected CPAT codes, row outline, band format and summary lines, MTInputs = template, carbon price vs legacy trajectory, fuel price reform and feebate test scenarios (feebates lower fuel use only where covered), price chain (gp, sp, txo, rpb) vs an independent Python recomputation from the CSVs incl. price source IMF-WB*/High, nominal carbon price and price controls None/Manual, revenues and CO2 (per subsector and fuel, section 12 and 13 totals) vs Python, regression vs v1.02 on all shared codes, MTOutputs equal to Mitigation by code (also with blocks 3-10 copied), chart series, column/row grouping, spacer column, light-beige blocks, rolled-up start, first tab and zoom, changed Egypt price cells marked, bright marking of changed data, column blocks (history / projection / LAMBDA), LAMBDA in the right column of every calculated row, LAMBDA copied back over whole rows, ETS = carbon tax test (override blank, no volatility, full auctioning), cap-based ETS vs Python (cap, estimate, OBR split), volatility adjustment = legacy 1/1.1, baseline CO2 data = scenario 1, goal seek meets the cap, LegacyDiff sheet; v1.03: scenario definitions, VBA module = .bas and document modules = sheet code names, StoredResults vs the recalculated workbook and the independent Python recomputation (incl. the ETS package at its stored prices), ScenarioCompare vs StoredResults, and the embedded macro run in LibreOffice reproducing StoredResults with column K restored</w:t>
            </w:r>
          </w:p>
        </w:tc>
      </w:tr>
      <w:tr>
        <w:tc>
          <w:tcPr/>
          <w:p>
            <w:pPr>
              <w:pStyle w:val="Compact"/>
              <w:jc w:val="left"/>
            </w:pPr>
            <w:r>
              <w:rPr>
                <w:rStyle w:val="VerbatimChar"/>
              </w:rPr>
              <w:t xml:space="preserve">check_report_v1.03.md</w:t>
            </w:r>
          </w:p>
        </w:tc>
        <w:tc>
          <w:tcPr/>
          <w:p>
            <w:pPr>
              <w:pStyle w:val="Compact"/>
              <w:jc w:val="left"/>
            </w:pPr>
            <w:r>
              <w:t xml:space="preserve">Output of the last check run</w:t>
            </w:r>
          </w:p>
        </w:tc>
      </w:tr>
      <w:tr>
        <w:tc>
          <w:tcPr/>
          <w:p>
            <w:pPr>
              <w:pStyle w:val="Compact"/>
              <w:jc w:val="left"/>
            </w:pPr>
            <w:r>
              <w:rPr>
                <w:rStyle w:val="VerbatimChar"/>
              </w:rPr>
              <w:t xml:space="preserve">data/</w:t>
            </w:r>
          </w:p>
        </w:tc>
        <w:tc>
          <w:tcPr/>
          <w:p>
            <w:pPr>
              <w:pStyle w:val="Compact"/>
              <w:jc w:val="left"/>
            </w:pPr>
            <w:r>
              <w:t xml:space="preserve">Extracted source data (non-proprietary)</w:t>
            </w:r>
          </w:p>
        </w:tc>
      </w:tr>
      <w:tr>
        <w:tc>
          <w:tcPr/>
          <w:p>
            <w:pPr>
              <w:pStyle w:val="Compact"/>
              <w:jc w:val="left"/>
            </w:pPr>
            <w:r>
              <w:rPr>
                <w:rStyle w:val="VerbatimChar"/>
              </w:rPr>
              <w:t xml:space="preserve">Old/</w:t>
            </w:r>
          </w:p>
        </w:tc>
        <w:tc>
          <w:tcPr/>
          <w:p>
            <w:pPr>
              <w:pStyle w:val="Compact"/>
              <w:jc w:val="left"/>
            </w:pPr>
            <w:r>
              <w:t xml:space="preserve">v0.1-v0.16 workbooks (CPAT_Mitigation_CopyPaste_v0.x) and v1.00-v1.02, builders, check scripts and reports; method notes v0.1-v0.3; extract_data_v0_1</w:t>
            </w:r>
          </w:p>
        </w:tc>
      </w:tr>
    </w:tbl>
    <w:p>
      <w:pPr>
        <w:pStyle w:val="BodyText"/>
      </w:pPr>
      <w:r>
        <w:t xml:space="preserve">Rebuild:</w:t>
      </w:r>
      <w:r>
        <w:t xml:space="preserve"> </w:t>
      </w:r>
      <w:r>
        <w:rPr>
          <w:rStyle w:val="VerbatimChar"/>
        </w:rPr>
        <w:t xml:space="preserve">python extract_data_v0_2.py</w:t>
      </w:r>
      <w:r>
        <w:t xml:space="preserve"> </w:t>
      </w:r>
      <w:r>
        <w:t xml:space="preserve">(only if sources change),</w:t>
      </w:r>
      <w:r>
        <w:t xml:space="preserve"> </w:t>
      </w:r>
      <w:r>
        <w:rPr>
          <w:rStyle w:val="VerbatimChar"/>
        </w:rPr>
        <w:t xml:space="preserve">python update_prices_egypt_v0_1.py</w:t>
      </w:r>
      <w:r>
        <w:t xml:space="preserve"> </w:t>
      </w:r>
      <w:r>
        <w:t xml:space="preserve">(only if the Egypt block changes),</w:t>
      </w:r>
      <w:r>
        <w:t xml:space="preserve"> </w:t>
      </w:r>
      <w:r>
        <w:rPr>
          <w:rStyle w:val="VerbatimChar"/>
        </w:rPr>
        <w:t xml:space="preserve">python build_v1_03.py</w:t>
      </w:r>
      <w:r>
        <w:t xml:space="preserve">,</w:t>
      </w:r>
      <w:r>
        <w:t xml:space="preserve"> </w:t>
      </w:r>
      <w:r>
        <w:rPr>
          <w:rStyle w:val="VerbatimChar"/>
        </w:rPr>
        <w:t xml:space="preserve">python check_v1_03.py</w:t>
      </w:r>
      <w:r>
        <w:t xml:space="preserve">,</w:t>
      </w:r>
      <w:r>
        <w:t xml:space="preserve"> </w:t>
      </w:r>
      <w:r>
        <w:rPr>
          <w:rStyle w:val="VerbatimChar"/>
        </w:rPr>
        <w:t xml:space="preserve">python make_docs_v1_03.py</w:t>
      </w:r>
      <w:r>
        <w:t xml:space="preserve">.</w:t>
      </w:r>
    </w:p>
    <w:bookmarkEnd w:id="22"/>
    <w:bookmarkStart w:id="23" w:name="add-a-scenario"/>
    <w:p>
      <w:pPr>
        <w:pStyle w:val="Heading3"/>
      </w:pPr>
      <w:r>
        <w:t xml:space="preserve">Add a scenario</w:t>
      </w:r>
    </w:p>
    <w:p>
      <w:pPr>
        <w:pStyle w:val="FirstParagraph"/>
      </w:pPr>
      <w:r>
        <w:rPr>
          <w:bCs/>
          <w:b/>
        </w:rPr>
        <w:t xml:space="preserve">Batch (v1.03, recommended):</w:t>
      </w:r>
      <w:r>
        <w:t xml:space="preserve"> </w:t>
      </w:r>
      <w:r>
        <w:t xml:space="preserve">copy the last scenario definition on</w:t>
      </w:r>
      <w:r>
        <w:t xml:space="preserve"> </w:t>
      </w:r>
      <w:r>
        <w:rPr>
          <w:rStyle w:val="VerbatimChar"/>
        </w:rPr>
        <w:t xml:space="preserve">MTInputs</w:t>
      </w:r>
      <w:r>
        <w:t xml:space="preserve"> </w:t>
      </w:r>
      <w:r>
        <w:t xml:space="preserve">(column N) one column to the right, edit its inputs and name (row 6), set row 4 Run? = Yes, then run the macro</w:t>
      </w:r>
      <w:r>
        <w:t xml:space="preserve"> </w:t>
      </w:r>
      <w:r>
        <w:rPr>
          <w:rStyle w:val="VerbatimChar"/>
        </w:rPr>
        <w:t xml:space="preserve">RunAllScenarios</w:t>
      </w:r>
      <w:r>
        <w:t xml:space="preserve"> </w:t>
      </w:r>
      <w:r>
        <w:t xml:space="preserve">(enable macros; Alt+F8). Results are stored as values in</w:t>
      </w:r>
      <w:r>
        <w:t xml:space="preserve"> </w:t>
      </w:r>
      <w:r>
        <w:rPr>
          <w:rStyle w:val="VerbatimChar"/>
        </w:rPr>
        <w:t xml:space="preserve">StoredResults</w:t>
      </w:r>
      <w:r>
        <w:t xml:space="preserve"> </w:t>
      </w:r>
      <w:r>
        <w:t xml:space="preserve">and compared in</w:t>
      </w:r>
      <w:r>
        <w:t xml:space="preserve"> </w:t>
      </w:r>
      <w:r>
        <w:rPr>
          <w:rStyle w:val="VerbatimChar"/>
        </w:rPr>
        <w:t xml:space="preserve">ScenarioCompare</w:t>
      </w:r>
      <w:r>
        <w:t xml:space="preserve">.</w:t>
      </w:r>
    </w:p>
    <w:p>
      <w:pPr>
        <w:pStyle w:val="BodyText"/>
      </w:pPr>
      <w:r>
        <w:rPr>
          <w:bCs/>
          <w:b/>
        </w:rPr>
        <w:t xml:space="preserve">Side by side:</w:t>
      </w:r>
      <w:r>
        <w:t xml:space="preserve"> </w:t>
      </w:r>
      <w:r>
        <w:t xml:space="preserve">a definition column is also a regular scenario column. Copy a whole group on</w:t>
      </w:r>
      <w:r>
        <w:t xml:space="preserve"> </w:t>
      </w:r>
      <w:r>
        <w:rPr>
          <w:rStyle w:val="VerbatimChar"/>
        </w:rPr>
        <w:t xml:space="preserve">Mitigation</w:t>
      </w:r>
      <w:r>
        <w:t xml:space="preserve"> </w:t>
      </w:r>
      <w:r>
        <w:t xml:space="preserve">(scenario 2 =</w:t>
      </w:r>
      <w:r>
        <w:t xml:space="preserve"> </w:t>
      </w:r>
      <w:r>
        <w:rPr>
          <w:rStyle w:val="VerbatimChar"/>
        </w:rPr>
        <w:t xml:space="preserve">AF:AZ</w:t>
      </w:r>
      <w:r>
        <w:t xml:space="preserve">: code column, years 2022-2040 and the blank spacer column) and paste at</w:t>
      </w:r>
      <w:r>
        <w:t xml:space="preserve"> </w:t>
      </w:r>
      <w:r>
        <w:rPr>
          <w:rStyle w:val="VerbatimChar"/>
        </w:rPr>
        <w:t xml:space="preserve">BA</w:t>
      </w:r>
      <w:r>
        <w:t xml:space="preserve">; it calculates the next scenario number (3 = the first definition, column L). Scenario numbers, names, codes and the carbon price update by themselves.</w:t>
      </w:r>
    </w:p>
    <w:bookmarkEnd w:id="23"/>
    <w:bookmarkStart w:id="24" w:name="roadmap-buckets"/>
    <w:p>
      <w:pPr>
        <w:pStyle w:val="Heading3"/>
      </w:pPr>
      <w:r>
        <w:t xml:space="preserve">Roadmap (buckets)</w:t>
      </w:r>
    </w:p>
    <w:p>
      <w:pPr>
        <w:numPr>
          <w:ilvl w:val="0"/>
          <w:numId w:val="1002"/>
        </w:numPr>
        <w:pStyle w:val="Compact"/>
      </w:pPr>
      <w:r>
        <w:t xml:space="preserve">Goal and spec (done, 2026-10-08).</w:t>
      </w:r>
    </w:p>
    <w:p>
      <w:pPr>
        <w:numPr>
          <w:ilvl w:val="0"/>
          <w:numId w:val="1002"/>
        </w:numPr>
        <w:pStyle w:val="Compact"/>
      </w:pPr>
      <w:r>
        <w:t xml:space="preserve">Skeleton with working equations, Egypt data: v0.1, revised to v0.2-v0.5 after review -</w:t>
      </w:r>
      <w:r>
        <w:t xml:space="preserve"> </w:t>
      </w:r>
      <w:r>
        <w:rPr>
          <w:bCs/>
          <w:b/>
        </w:rPr>
        <w:t xml:space="preserve">awaiting review in Excel</w:t>
      </w:r>
      <w:r>
        <w:t xml:space="preserve">.</w:t>
      </w:r>
    </w:p>
    <w:p>
      <w:pPr>
        <w:numPr>
          <w:ilvl w:val="0"/>
          <w:numId w:val="1002"/>
        </w:numPr>
        <w:pStyle w:val="Compact"/>
      </w:pPr>
      <w:r>
        <w:t xml:space="preserve">Copy-paste stress test: add a fuel, a subsector and a scenario by dragging; fix what breaks.</w:t>
      </w:r>
    </w:p>
    <w:p>
      <w:pPr>
        <w:numPr>
          <w:ilvl w:val="0"/>
          <w:numId w:val="1002"/>
        </w:numPr>
        <w:pStyle w:val="Compact"/>
      </w:pPr>
      <w:r>
        <w:t xml:space="preserve">Policies (bucket 6): 6a MTInputs and the carbon price (v0.6, done); 6b policy wedges and legacy section layout (v0.7, done); shadow price on the efficiency margin (v0.8, done); domestic price projection in real terms (v0.9, done); other oil products and VAT assumption (v0.10, done); ETS, sectoral shadow prices, existing taxes and subsidies, 2040 horizon (v0.11, done). Revenues (v0.12, done); CO2 from fuel combustion (v0.13, done); corrected Egypt price block (v0.14, done); layout: rolled up, Mitigation first at 75% (v0.15); one-level column groups incl. 2030-2039, spacer column between scenarios, light beige for LAMBDA and history blocks (v0.16); renamed CPAT-AI-Mitigation-MVP, v1.00, with a 7-slide overview deck (presentation/); MTOutputs and Charts sheets (v1.01); cap-based ETS with benchmarks, volatility adjustment and goal seek (v1.02); multiple scenarios with stored results, VBA batch run and scenario comparison (v1.03). Next: other GHGs and local pollutants, power sector. Next: ETS, regulations as shadow prices, subsidy phase-out.</w:t>
      </w:r>
    </w:p>
    <w:p>
      <w:pPr>
        <w:numPr>
          <w:ilvl w:val="0"/>
          <w:numId w:val="1002"/>
        </w:numPr>
        <w:pStyle w:val="Compact"/>
      </w:pPr>
      <w:r>
        <w:t xml:space="preserve">Numerical check against legacy CPAT for Egypt.</w:t>
      </w:r>
    </w:p>
    <w:p>
      <w:pPr>
        <w:numPr>
          <w:ilvl w:val="0"/>
          <w:numId w:val="1002"/>
        </w:numPr>
        <w:pStyle w:val="Compact"/>
      </w:pPr>
      <w:r>
        <w:t xml:space="preserve">Later: emissions, power, revenue/macro links, Python port.</w:t>
      </w:r>
    </w:p>
    <w:bookmarkEnd w:id="24"/>
    <w:bookmarkEnd w:id="25"/>
    <w:bookmarkStart w:id="35" w:name="domestic-energy-prices"/>
    <w:p>
      <w:pPr>
        <w:pStyle w:val="Heading1"/>
      </w:pPr>
      <w:r>
        <w:t xml:space="preserve">Domestic energy prices</w:t>
      </w:r>
    </w:p>
    <w:p>
      <w:pPr>
        <w:pStyle w:val="FirstParagraph"/>
      </w:pPr>
      <w:r>
        <w:rPr>
          <w:iCs/>
          <w:i/>
        </w:rPr>
        <w:t xml:space="preserve">Source:</w:t>
      </w:r>
      <w:r>
        <w:rPr>
          <w:iCs/>
          <w:i/>
        </w:rPr>
        <w:t xml:space="preserve"> </w:t>
      </w:r>
      <w:r>
        <w:rPr>
          <w:rStyle w:val="VerbatimChar"/>
          <w:iCs/>
          <w:i/>
        </w:rPr>
        <w:t xml:space="preserve">PriceProjection_Method_v0.4.md</w:t>
      </w:r>
      <w:r>
        <w:rPr>
          <w:iCs/>
          <w:i/>
        </w:rPr>
        <w:t xml:space="preserve">.</w:t>
      </w:r>
    </w:p>
    <w:p>
      <w:pPr>
        <w:pStyle w:val="BodyText"/>
      </w:pPr>
      <w:r>
        <w:t xml:space="preserve">Method note for section 2 of</w:t>
      </w:r>
      <w:r>
        <w:t xml:space="preserve"> </w:t>
      </w:r>
      <w:r>
        <w:rPr>
          <w:rStyle w:val="VerbatimChar"/>
        </w:rPr>
        <w:t xml:space="preserve">CPAT_Mitigation_CopyPaste_v0.11.xlsx</w:t>
      </w:r>
      <w:r>
        <w:t xml:space="preserve">. It describes how legacy CPAT projects energy prices, cut down to the basics, and how the workbook implements it. It leaves out subsidy phase-outs, price liberalisation, existing carbon prices and ETS, and electricity prices (the power module covers those). v0.1 (method only), v0.2 (v0.9, pure legacy rules) and v0.3 (v0.10) are in</w:t>
      </w:r>
      <w:r>
        <w:t xml:space="preserve"> </w:t>
      </w:r>
      <w:r>
        <w:rPr>
          <w:rStyle w:val="VerbatimChar"/>
        </w:rPr>
        <w:t xml:space="preserve">Old/</w:t>
      </w:r>
      <w:r>
        <w:t xml:space="preserve">. All differences with legacy are listed in the workbook sheet</w:t>
      </w:r>
      <w:r>
        <w:t xml:space="preserve"> </w:t>
      </w:r>
      <w:r>
        <w:rPr>
          <w:rStyle w:val="VerbatimChar"/>
        </w:rPr>
        <w:t xml:space="preserve">LegacyDiff</w:t>
      </w:r>
      <w:r>
        <w:t xml:space="preserve">. v0.10 changes two data rules by user decision (A10, A11); the changed cells are bright yellow with red text in</w:t>
      </w:r>
      <w:r>
        <w:t xml:space="preserve"> </w:t>
      </w:r>
      <w:r>
        <w:rPr>
          <w:rStyle w:val="VerbatimChar"/>
        </w:rPr>
        <w:t xml:space="preserve">Inputs_prices</w:t>
      </w:r>
      <w:r>
        <w:t xml:space="preserve">.</w:t>
      </w:r>
    </w:p>
    <w:p>
      <w:pPr>
        <w:pStyle w:val="BodyText"/>
      </w:pPr>
      <w:r>
        <w:t xml:space="preserve">Sources: CPAT documentation, Mitigation chapter 3.2 (github.com/cpmodel/cpat_public); legacy workbook</w:t>
      </w:r>
      <w:r>
        <w:t xml:space="preserve"> </w:t>
      </w:r>
      <w:r>
        <w:rPr>
          <w:rStyle w:val="VerbatimChar"/>
        </w:rPr>
        <w:t xml:space="preserve">CPAT 1.0pre_456_NoPropData.xlsb</w:t>
      </w:r>
      <w:r>
        <w:t xml:space="preserve">, sheet</w:t>
      </w:r>
      <w:r>
        <w:t xml:space="preserve"> </w:t>
      </w:r>
      <w:r>
        <w:rPr>
          <w:rStyle w:val="VerbatimChar"/>
        </w:rPr>
        <w:t xml:space="preserve">Mitigation</w:t>
      </w:r>
      <w:r>
        <w:t xml:space="preserve"> </w:t>
      </w:r>
      <w:r>
        <w:t xml:space="preserve">(rows 452/455 US deflator and CPI, 456/467/725 inflation indices, 633-695 international prices by source) and sheet</w:t>
      </w:r>
      <w:r>
        <w:t xml:space="preserve"> </w:t>
      </w:r>
      <w:r>
        <w:rPr>
          <w:rStyle w:val="VerbatimChar"/>
        </w:rPr>
        <w:t xml:space="preserve">Prices_int</w:t>
      </w:r>
      <w:r>
        <w:t xml:space="preserve"> </w:t>
      </w:r>
      <w:r>
        <w:t xml:space="preserve">(regional assumptions);</w:t>
      </w:r>
      <w:r>
        <w:t xml:space="preserve"> </w:t>
      </w:r>
      <w:r>
        <w:rPr>
          <w:rStyle w:val="VerbatimChar"/>
        </w:rPr>
        <w:t xml:space="preserve">cpat_coded/cpat_model/components/prices/</w:t>
      </w:r>
      <w:r>
        <w:t xml:space="preserve"> </w:t>
      </w:r>
      <w:r>
        <w:t xml:space="preserve">(</w:t>
      </w:r>
      <w:r>
        <w:rPr>
          <w:rStyle w:val="VerbatimChar"/>
        </w:rPr>
        <w:t xml:space="preserve">prices.py</w:t>
      </w:r>
      <w:r>
        <w:t xml:space="preserve">,</w:t>
      </w:r>
      <w:r>
        <w:t xml:space="preserve"> </w:t>
      </w:r>
      <w:r>
        <w:rPr>
          <w:rStyle w:val="VerbatimChar"/>
        </w:rPr>
        <w:t xml:space="preserve">domestic_prices.py</w:t>
      </w:r>
      <w:r>
        <w:t xml:space="preserve">,</w:t>
      </w:r>
      <w:r>
        <w:t xml:space="preserve"> </w:t>
      </w:r>
      <w:r>
        <w:rPr>
          <w:rStyle w:val="VerbatimChar"/>
        </w:rPr>
        <w:t xml:space="preserve">international_prices.py</w:t>
      </w:r>
      <w:r>
        <w:t xml:space="preserve">), which ports the legacy formulas line by line.</w:t>
      </w:r>
    </w:p>
    <w:bookmarkStart w:id="26" w:name="X4d94dfe61d313432298768d6434237e63269e5d"/>
    <w:p>
      <w:pPr>
        <w:pStyle w:val="Heading3"/>
      </w:pPr>
      <w:r>
        <w:t xml:space="preserve">0. Holistic assumptions: what the numbers mean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p>
        </w:tc>
        <w:tc>
          <w:tcPr/>
          <w:p>
            <w:pPr>
              <w:pStyle w:val="Compact"/>
              <w:jc w:val="left"/>
            </w:pPr>
            <w:r>
              <w:t xml:space="preserve">Assumption</w:t>
            </w:r>
          </w:p>
        </w:tc>
      </w:tr>
      <w:tr>
        <w:tc>
          <w:tcPr/>
          <w:p>
            <w:pPr>
              <w:pStyle w:val="Compact"/>
              <w:jc w:val="left"/>
            </w:pPr>
            <w:r>
              <w:t xml:space="preserve">A1</w:t>
            </w:r>
          </w:p>
        </w:tc>
        <w:tc>
          <w:tcPr/>
          <w:p>
            <w:pPr>
              <w:pStyle w:val="Compact"/>
              <w:jc w:val="left"/>
            </w:pPr>
            <w:r>
              <w:rPr>
                <w:bCs/>
                <w:b/>
              </w:rPr>
              <w:t xml:space="preserve">Every price, tax and policy value in the model is in real US dollars of the results year</w:t>
            </w:r>
            <w:r>
              <w:t xml:space="preserve"> </w:t>
            </w:r>
            <w:r>
              <w:t xml:space="preserve">(MTInputs</w:t>
            </w:r>
            <w:r>
              <w:t xml:space="preserve"> </w:t>
            </w:r>
            <w:r>
              <w:rPr>
                <w:rStyle w:val="VerbatimChar"/>
              </w:rPr>
              <w:t xml:space="preserve">ResultsYear</w:t>
            </w:r>
            <w:r>
              <w:t xml:space="preserve">, 2026, read from scenario 1; Settings C8), per GJ. A constant real price is a constant number. There is no inflation after the conversion, and fuel use responds only to real price changes.</w:t>
            </w:r>
          </w:p>
        </w:tc>
      </w:tr>
      <w:tr>
        <w:tc>
          <w:tcPr/>
          <w:p>
            <w:pPr>
              <w:pStyle w:val="Compact"/>
              <w:jc w:val="left"/>
            </w:pPr>
            <w:r>
              <w:t xml:space="preserve">A2</w:t>
            </w:r>
          </w:p>
        </w:tc>
        <w:tc>
          <w:tcPr/>
          <w:p>
            <w:pPr>
              <w:pStyle w:val="Compact"/>
              <w:jc w:val="left"/>
            </w:pPr>
            <w:r>
              <w:rPr>
                <w:bCs/>
                <w:b/>
              </w:rPr>
              <w:t xml:space="preserve">Two indices, both = 1 in the results year.</w:t>
            </w:r>
            <w:r>
              <w:t xml:space="preserve"> </w:t>
            </w:r>
            <w:r>
              <w:rPr>
                <w:rStyle w:val="VerbatimChar"/>
              </w:rPr>
              <w:t xml:space="preserve">infl</w:t>
            </w:r>
            <w:r>
              <w:t xml:space="preserve"> </w:t>
            </w:r>
            <w:r>
              <w:t xml:space="preserve">(row 8) = US CPI(ResultsYear) / US CPI(year) converts nominal</w:t>
            </w:r>
            <w:r>
              <w:t xml:space="preserve"> </w:t>
            </w:r>
            <w:r>
              <w:rPr>
                <w:iCs/>
                <w:i/>
              </w:rPr>
              <w:t xml:space="preserve">domestic</w:t>
            </w:r>
            <w:r>
              <w:t xml:space="preserve"> </w:t>
            </w:r>
            <w:r>
              <w:t xml:space="preserve">values.</w:t>
            </w:r>
            <w:r>
              <w:t xml:space="preserve"> </w:t>
            </w:r>
            <w:r>
              <w:rPr>
                <w:rStyle w:val="VerbatimChar"/>
              </w:rPr>
              <w:t xml:space="preserve">defl</w:t>
            </w:r>
            <w:r>
              <w:t xml:space="preserve"> </w:t>
            </w:r>
            <w:r>
              <w:t xml:space="preserve">(row 9) = US GDP deflator(ResultsYear) / deflator(year) converts nominal</w:t>
            </w:r>
            <w:r>
              <w:t xml:space="preserve"> </w:t>
            </w:r>
            <w:r>
              <w:rPr>
                <w:iCs/>
                <w:i/>
              </w:rPr>
              <w:t xml:space="preserve">international</w:t>
            </w:r>
            <w:r>
              <w:t xml:space="preserve"> </w:t>
            </w:r>
            <w:r>
              <w:t xml:space="preserve">prices. This is the legacy split: CPI rows 456/725, deflator row 467 (row 630 is its reciprocal). Up to 2030 they differ by up to 1.2% (2022: 1.137 vs 1.124; 2030: 0.918 vs 0.929), so one index would not reproduce legacy. Both are kept.</w:t>
            </w:r>
          </w:p>
        </w:tc>
      </w:tr>
      <w:tr>
        <w:tc>
          <w:tcPr/>
          <w:p>
            <w:pPr>
              <w:pStyle w:val="Compact"/>
              <w:jc w:val="left"/>
            </w:pPr>
            <w:r>
              <w:t xml:space="preserve">A3</w:t>
            </w:r>
          </w:p>
        </w:tc>
        <w:tc>
          <w:tcPr/>
          <w:p>
            <w:pPr>
              <w:pStyle w:val="Compact"/>
              <w:jc w:val="left"/>
            </w:pPr>
            <w:r>
              <w:rPr>
                <w:bCs/>
                <w:b/>
              </w:rPr>
              <w:t xml:space="preserve">Domestic price data are nominal USD of their own year</w:t>
            </w:r>
            <w:r>
              <w:t xml:space="preserve"> </w:t>
            </w:r>
            <w:r>
              <w:t xml:space="preserve">(IMF price dataset,</w:t>
            </w:r>
            <w:r>
              <w:t xml:space="preserve"> </w:t>
            </w:r>
            <w:r>
              <w:rPr>
                <w:rStyle w:val="VerbatimChar"/>
              </w:rPr>
              <w:t xml:space="preserve">Prices_dom</w:t>
            </w:r>
            <w:r>
              <w:t xml:space="preserve">: supply cost, excise and other taxes, retail price). Each is converted with</w:t>
            </w:r>
            <w:r>
              <w:t xml:space="preserve"> </w:t>
            </w:r>
            <w:r>
              <w:rPr>
                <w:rStyle w:val="VerbatimChar"/>
              </w:rPr>
              <w:t xml:space="preserve">infl</w:t>
            </w:r>
            <w:r>
              <w:t xml:space="preserve"> </w:t>
            </w:r>
            <w:r>
              <w:t xml:space="preserve">of that year and divided by GJ per price unit. Units: $/liter for gasoline, diesel, LPG and kerosene; $/bbl for other oil products; $/GJ for coal, gas and biomass.</w:t>
            </w:r>
          </w:p>
        </w:tc>
      </w:tr>
      <w:tr>
        <w:tc>
          <w:tcPr/>
          <w:p>
            <w:pPr>
              <w:pStyle w:val="Compact"/>
              <w:jc w:val="left"/>
            </w:pPr>
            <w:r>
              <w:t xml:space="preserve">A4</w:t>
            </w:r>
          </w:p>
        </w:tc>
        <w:tc>
          <w:tcPr/>
          <w:p>
            <w:pPr>
              <w:pStyle w:val="Compact"/>
              <w:jc w:val="left"/>
            </w:pPr>
            <w:r>
              <w:rPr>
                <w:bCs/>
                <w:b/>
              </w:rPr>
              <w:t xml:space="preserve">Forecasting coefficients are base-year (2022) nominal values</w:t>
            </w:r>
            <w:r>
              <w:t xml:space="preserve">: the margin over international prices and the domestic production cost. They are converted with</w:t>
            </w:r>
            <w:r>
              <w:t xml:space="preserve"> </w:t>
            </w:r>
            <w:r>
              <w:rPr>
                <w:rStyle w:val="VerbatimChar"/>
              </w:rPr>
              <w:t xml:space="preserve">infl(2022)</w:t>
            </w:r>
            <w:r>
              <w:t xml:space="preserve"> </w:t>
            </w:r>
            <w:r>
              <w:t xml:space="preserve">and then held constant in real terms. (</w:t>
            </w:r>
            <w:r>
              <w:rPr>
                <w:rStyle w:val="VerbatimChar"/>
              </w:rPr>
              <w:t xml:space="preserve">cpat_coded</w:t>
            </w:r>
            <w:r>
              <w:t xml:space="preserve"> </w:t>
            </w:r>
            <w:r>
              <w:t xml:space="preserve">applies no conversion here; to check against legacy in bucket 5.)</w:t>
            </w:r>
          </w:p>
        </w:tc>
      </w:tr>
      <w:tr>
        <w:tc>
          <w:tcPr/>
          <w:p>
            <w:pPr>
              <w:pStyle w:val="Compact"/>
              <w:jc w:val="left"/>
            </w:pPr>
            <w:r>
              <w:t xml:space="preserve">A5</w:t>
            </w:r>
          </w:p>
        </w:tc>
        <w:tc>
          <w:tcPr/>
          <w:p>
            <w:pPr>
              <w:pStyle w:val="Compact"/>
              <w:jc w:val="left"/>
            </w:pPr>
            <w:r>
              <w:rPr>
                <w:bCs/>
                <w:b/>
              </w:rPr>
              <w:t xml:space="preserve">International prices are nominal by source</w:t>
            </w:r>
            <w:r>
              <w:t xml:space="preserve"> </w:t>
            </w:r>
            <w:r>
              <w:t xml:space="preserve">(IMF, WB, IEA, EIA, averages, Manual). They are converted with</w:t>
            </w:r>
            <w:r>
              <w:t xml:space="preserve"> </w:t>
            </w:r>
            <w:r>
              <w:rPr>
                <w:rStyle w:val="VerbatimChar"/>
              </w:rPr>
              <w:t xml:space="preserve">defl</w:t>
            </w:r>
            <w:r>
              <w:t xml:space="preserve">. Only their year-on-year ratio moves the supply cost, so their units and level drop out. Beyond a source’s horizon the data hold them constant in real terms.</w:t>
            </w:r>
          </w:p>
        </w:tc>
      </w:tr>
      <w:tr>
        <w:tc>
          <w:tcPr/>
          <w:p>
            <w:pPr>
              <w:pStyle w:val="Compact"/>
              <w:jc w:val="left"/>
            </w:pPr>
            <w:r>
              <w:t xml:space="preserve">A6</w:t>
            </w:r>
          </w:p>
        </w:tc>
        <w:tc>
          <w:tcPr/>
          <w:p>
            <w:pPr>
              <w:pStyle w:val="Compact"/>
              <w:jc w:val="left"/>
            </w:pPr>
            <w:r>
              <w:rPr>
                <w:bCs/>
                <w:b/>
              </w:rPr>
              <w:t xml:space="preserve">MTInputs policy inputs are real (ResultsYear USD)</w:t>
            </w:r>
            <w:r>
              <w:t xml:space="preserve">: the carbon price, feebate rates and fuel price reform increases (in price units, e.g. $/liter real). Only the carbon price has a nominal option:</w:t>
            </w:r>
            <w:r>
              <w:t xml:space="preserve"> </w:t>
            </w:r>
            <w:r>
              <w:rPr>
                <w:rStyle w:val="VerbatimChar"/>
              </w:rPr>
              <w:t xml:space="preserve">NomorReal</w:t>
            </w:r>
            <w:r>
              <w:t xml:space="preserve"> </w:t>
            </w:r>
            <w:r>
              <w:t xml:space="preserve">= Nominal turns the path into nominal values, which are then multiplied by</w:t>
            </w:r>
            <w:r>
              <w:t xml:space="preserve"> </w:t>
            </w:r>
            <w:r>
              <w:rPr>
                <w:rStyle w:val="VerbatimChar"/>
              </w:rPr>
              <w:t xml:space="preserve">infl</w:t>
            </w:r>
            <w:r>
              <w:t xml:space="preserve"> </w:t>
            </w:r>
            <w:r>
              <w:t xml:space="preserve">(legacy row 2249).</w:t>
            </w:r>
          </w:p>
        </w:tc>
      </w:tr>
      <w:tr>
        <w:tc>
          <w:tcPr/>
          <w:p>
            <w:pPr>
              <w:pStyle w:val="Compact"/>
              <w:jc w:val="left"/>
            </w:pPr>
            <w:r>
              <w:t xml:space="preserve">A7</w:t>
            </w:r>
          </w:p>
        </w:tc>
        <w:tc>
          <w:tcPr/>
          <w:p>
            <w:pPr>
              <w:pStyle w:val="Compact"/>
              <w:jc w:val="left"/>
            </w:pPr>
            <w:r>
              <w:rPr>
                <w:bCs/>
                <w:b/>
              </w:rPr>
              <w:t xml:space="preserve">History vs projection.</w:t>
            </w:r>
            <w:r>
              <w:t xml:space="preserve"> </w:t>
            </w:r>
            <w:r>
              <w:t xml:space="preserve">Prices up to the last historical price year (Settings C10, 2024) come from data. Later years are projected. Fuel use is data in the base year (2022) and modelled from 2023, using the data prices for 2023-2024.</w:t>
            </w:r>
          </w:p>
        </w:tc>
      </w:tr>
      <w:tr>
        <w:tc>
          <w:tcPr/>
          <w:p>
            <w:pPr>
              <w:pStyle w:val="Compact"/>
              <w:jc w:val="left"/>
            </w:pPr>
            <w:r>
              <w:t xml:space="preserve">A8</w:t>
            </w:r>
          </w:p>
        </w:tc>
        <w:tc>
          <w:tcPr/>
          <w:p>
            <w:pPr>
              <w:pStyle w:val="Compact"/>
              <w:jc w:val="left"/>
            </w:pPr>
            <w:r>
              <w:rPr>
                <w:bCs/>
                <w:b/>
              </w:rPr>
              <w:t xml:space="preserve">Global vs per scenario.</w:t>
            </w:r>
            <w:r>
              <w:t xml:space="preserve"> </w:t>
            </w:r>
            <w:r>
              <w:t xml:space="preserve">Global (Settings, MTInputs scenario 1): results year, government price controls (pass-through), last historical year, the country’s gas market. Per scenario (its MTInputs column): international price source and High/Low adjustment, carbon price and its nominal/real switch, fuel price reform, feebates, coverage.</w:t>
            </w:r>
          </w:p>
        </w:tc>
      </w:tr>
      <w:tr>
        <w:tc>
          <w:tcPr/>
          <w:p>
            <w:pPr>
              <w:pStyle w:val="Compact"/>
              <w:jc w:val="left"/>
            </w:pPr>
            <w:r>
              <w:t xml:space="preserve">A9</w:t>
            </w:r>
          </w:p>
        </w:tc>
        <w:tc>
          <w:tcPr/>
          <w:p>
            <w:pPr>
              <w:pStyle w:val="Compact"/>
              <w:jc w:val="left"/>
            </w:pPr>
            <w:r>
              <w:rPr>
                <w:bCs/>
                <w:b/>
              </w:rPr>
              <w:t xml:space="preserve">Horizon.</w:t>
            </w:r>
            <w:r>
              <w:t xml:space="preserve"> </w:t>
            </w:r>
            <w:r>
              <w:t xml:space="preserve">Values after 2030 are not compared with legacy. The legacy CPI is held flat after 2031 (WEO horizon), the deflator is not, and some legacy rules (A10) misbehave over long horizons. The 2031-2040 columns compute (horizon 2040 since v0.11), but they are not a target.</w:t>
            </w:r>
          </w:p>
        </w:tc>
      </w:tr>
      <w:tr>
        <w:tc>
          <w:tcPr/>
          <w:p>
            <w:pPr>
              <w:pStyle w:val="Compact"/>
              <w:jc w:val="left"/>
            </w:pPr>
            <w:r>
              <w:t xml:space="preserve">A10</w:t>
            </w:r>
          </w:p>
        </w:tc>
        <w:tc>
          <w:tcPr/>
          <w:p>
            <w:pPr>
              <w:pStyle w:val="Compact"/>
              <w:jc w:val="left"/>
            </w:pPr>
            <w:r>
              <w:rPr>
                <w:bCs/>
                <w:b/>
              </w:rPr>
              <w:t xml:space="preserve">Legacy rules are copied as they are, with one exception.</w:t>
            </w:r>
            <w:r>
              <w:t xml:space="preserve"> </w:t>
            </w:r>
            <w:r>
              <w:t xml:space="preserve">Kept: with pass-through 0.5 or 0.8,</w:t>
            </w:r>
            <w:r>
              <w:t xml:space="preserve"> </w:t>
            </w:r>
            <w:r>
              <w:rPr>
                <w:rStyle w:val="VerbatimChar"/>
              </w:rPr>
              <w:t xml:space="preserve">txo</w:t>
            </w:r>
            <w:r>
              <w:t xml:space="preserve"> </w:t>
            </w:r>
            <w:r>
              <w:t xml:space="preserve">jumps in the first projected year (</w:t>
            </w:r>
            <w:r>
              <w:rPr>
                <w:rStyle w:val="VerbatimChar"/>
              </w:rPr>
              <w:t xml:space="preserve">cs_t</w:t>
            </w:r>
            <w:r>
              <w:t xml:space="preserve"> </w:t>
            </w:r>
            <w:r>
              <w:t xml:space="preserve">multiplies</w:t>
            </w:r>
            <w:r>
              <w:t xml:space="preserve"> </w:t>
            </w:r>
            <w:r>
              <w:rPr>
                <w:rStyle w:val="VerbatimChar"/>
              </w:rPr>
              <w:t xml:space="preserve">cs_L</w:t>
            </w:r>
            <w:r>
              <w:t xml:space="preserve"> </w:t>
            </w:r>
            <w:r>
              <w:t xml:space="preserve">by (1 - pcc) a second time).</w:t>
            </w:r>
            <w:r>
              <w:t xml:space="preserve"> </w:t>
            </w:r>
            <w:r>
              <w:rPr>
                <w:bCs/>
                <w:b/>
              </w:rPr>
              <w:t xml:space="preserve">Changed (v0.10, user decision): other oil products are treated like the other oil products</w:t>
            </w:r>
            <w:r>
              <w:t xml:space="preserve">, taking pass-through and margin from the dataset (Egypt: 0 and 7.95 $/bbl) instead of the legacy hardcodes 1 and 0. Under the legacy rule their retail price fell with the oil price to the 0.01 floor (v0.9: 3.79 $/GJ in 2024, 0.23 in 2030), and their fuel use rose 10x by 2030.</w:t>
            </w:r>
          </w:p>
        </w:tc>
      </w:tr>
      <w:tr>
        <w:tc>
          <w:tcPr/>
          <w:p>
            <w:pPr>
              <w:pStyle w:val="Compact"/>
              <w:jc w:val="left"/>
            </w:pPr>
            <w:r>
              <w:t xml:space="preserve">A11</w:t>
            </w:r>
          </w:p>
        </w:tc>
        <w:tc>
          <w:tcPr/>
          <w:p>
            <w:pPr>
              <w:pStyle w:val="Compact"/>
              <w:jc w:val="left"/>
            </w:pPr>
            <w:r>
              <w:rPr>
                <w:bCs/>
                <w:b/>
              </w:rPr>
              <w:t xml:space="preserve">VAT rate assumption (v0.10).</w:t>
            </w:r>
            <w:r>
              <w:t xml:space="preserve"> </w:t>
            </w:r>
            <w:r>
              <w:t xml:space="preserve">Use the dataset’s VAT rate (</w:t>
            </w:r>
            <w:r>
              <w:rPr>
                <w:rStyle w:val="VerbatimChar"/>
              </w:rPr>
              <w:t xml:space="preserve">mit.vatrate</w:t>
            </w:r>
            <w:r>
              <w:t xml:space="preserve">) where it is filled. Otherwise use the country’s general VAT rate (</w:t>
            </w:r>
            <w:r>
              <w:rPr>
                <w:rStyle w:val="VerbatimChar"/>
              </w:rPr>
              <w:t xml:space="preserve">VAT_WEO</w:t>
            </w:r>
            <w:r>
              <w:t xml:space="preserve">, Egypt 14%) for residential coal and gas and the all-sector oil products (gasoline, diesel, LPG, kerosene, other oil products), and 0 for power, industry (VAT is credited to firms) and biomass (largely informal). For Egypt the dataset’s own retail prices imply exactly this: rp = (sp + txo) x 1.14 for residential gas and the oil products, and rp = sp + txo for power and industry. Effects: historical oil-product retail prices now equal the dataset</w:t>
            </w:r>
            <w:r>
              <w:t xml:space="preserve"> </w:t>
            </w:r>
            <w:r>
              <w:rPr>
                <w:rStyle w:val="VerbatimChar"/>
              </w:rPr>
              <w:t xml:space="preserve">rp</w:t>
            </w:r>
            <w:r>
              <w:t xml:space="preserve"> </w:t>
            </w:r>
            <w:r>
              <w:t xml:space="preserve">(v0.9 was 14% lower), and new policies pay 14% VAT in those sectors.</w:t>
            </w:r>
          </w:p>
        </w:tc>
      </w:tr>
    </w:tbl>
    <w:bookmarkEnd w:id="26"/>
    <w:bookmarkStart w:id="27" w:name="dimensions-and-units"/>
    <w:p>
      <w:pPr>
        <w:pStyle w:val="Heading3"/>
      </w:pPr>
      <w:r>
        <w:t xml:space="preserve">1. Dimensions and units</w:t>
      </w:r>
    </w:p>
    <w:p>
      <w:pPr>
        <w:numPr>
          <w:ilvl w:val="0"/>
          <w:numId w:val="1003"/>
        </w:numPr>
        <w:pStyle w:val="Compact"/>
      </w:pPr>
      <w:r>
        <w:t xml:space="preserve">Prices are kept by</w:t>
      </w:r>
      <w:r>
        <w:t xml:space="preserve"> </w:t>
      </w:r>
      <w:r>
        <w:rPr>
          <w:bCs/>
          <w:b/>
        </w:rPr>
        <w:t xml:space="preserve">fuel x price sector</w:t>
      </w:r>
      <w:r>
        <w:t xml:space="preserve">, as in the IMF dataset. This gives 12 price fuels: coal and natural gas for power, residential and industry; gasoline, diesel, LPG, kerosene, other oil products and biomass for all sectors. Electricity is left to the power module. Subsectors take the price of their price sector (road and residential use the residential coal and gas prices).</w:t>
      </w:r>
    </w:p>
    <w:p>
      <w:pPr>
        <w:numPr>
          <w:ilvl w:val="0"/>
          <w:numId w:val="1003"/>
        </w:numPr>
        <w:pStyle w:val="Compact"/>
      </w:pPr>
      <w:r>
        <w:t xml:space="preserve">All in real $/GJ of the results year (A1-A3).</w:t>
      </w:r>
    </w:p>
    <w:bookmarkEnd w:id="27"/>
    <w:bookmarkStart w:id="28" w:name="international-prices-gp-4-rows"/>
    <w:p>
      <w:pPr>
        <w:pStyle w:val="Heading3"/>
      </w:pPr>
      <w:r>
        <w:t xml:space="preserve">2. International prices</w:t>
      </w:r>
      <w:r>
        <w:t xml:space="preserve"> </w:t>
      </w:r>
      <w:r>
        <w:rPr>
          <w:rStyle w:val="VerbatimChar"/>
        </w:rPr>
        <w:t xml:space="preserve">gp</w:t>
      </w:r>
      <w:r>
        <w:t xml:space="preserve"> </w:t>
      </w:r>
      <w:r>
        <w:t xml:space="preserve">(4 rows)</w:t>
      </w:r>
    </w:p>
    <w:p>
      <w:pPr>
        <w:pStyle w:val="FirstParagraph"/>
      </w:pPr>
      <w:r>
        <w:rPr>
          <w:rStyle w:val="VerbatimChar"/>
        </w:rPr>
        <w:t xml:space="preserve">gp_t = Prices_int[source|commodity]_t x defl_t x factor_t</w:t>
      </w:r>
    </w:p>
    <w:p>
      <w:pPr>
        <w:numPr>
          <w:ilvl w:val="0"/>
          <w:numId w:val="1004"/>
        </w:numPr>
        <w:pStyle w:val="Compact"/>
      </w:pPr>
      <w:r>
        <w:t xml:space="preserve">Source: MTInputs</w:t>
      </w:r>
      <w:r>
        <w:t xml:space="preserve"> </w:t>
      </w:r>
      <w:r>
        <w:rPr>
          <w:rStyle w:val="VerbatimChar"/>
        </w:rPr>
        <w:t xml:space="preserve">IntEnerPricForeSource</w:t>
      </w:r>
      <w:r>
        <w:t xml:space="preserve"> </w:t>
      </w:r>
      <w:r>
        <w:t xml:space="preserve">(row 220), with the asterisk dropped (</w:t>
      </w:r>
      <w:r>
        <w:rPr>
          <w:rStyle w:val="VerbatimChar"/>
        </w:rPr>
        <w:t xml:space="preserve">IMF-WB*</w:t>
      </w:r>
      <w:r>
        <w:t xml:space="preserve"> </w:t>
      </w:r>
      <w:r>
        <w:t xml:space="preserve">= average of IMF and WB).</w:t>
      </w:r>
    </w:p>
    <w:p>
      <w:pPr>
        <w:numPr>
          <w:ilvl w:val="0"/>
          <w:numId w:val="1004"/>
        </w:numPr>
        <w:pStyle w:val="Compact"/>
      </w:pPr>
      <w:r>
        <w:t xml:space="preserve">Commodity: crude oil (gasoline, diesel, LPG, kerosene, other oil products); coal; gas of the country’s market (</w:t>
      </w:r>
      <w:r>
        <w:rPr>
          <w:rStyle w:val="VerbatimChar"/>
        </w:rPr>
        <w:t xml:space="preserve">PriceAssump</w:t>
      </w:r>
      <w:r>
        <w:t xml:space="preserve">; Egypt</w:t>
      </w:r>
      <w:r>
        <w:t xml:space="preserve"> </w:t>
      </w:r>
      <w:r>
        <w:rPr>
          <w:iCs/>
          <w:i/>
        </w:rPr>
        <w:t xml:space="preserve">Global</w:t>
      </w:r>
      <w:r>
        <w:t xml:space="preserve"> </w:t>
      </w:r>
      <w:r>
        <w:t xml:space="preserve">= average of LNG, North America and Europe); a flat row of 1s (biomass).</w:t>
      </w:r>
    </w:p>
    <w:p>
      <w:pPr>
        <w:numPr>
          <w:ilvl w:val="0"/>
          <w:numId w:val="1004"/>
        </w:numPr>
        <w:pStyle w:val="Compact"/>
      </w:pPr>
      <w:r>
        <w:rPr>
          <w:rStyle w:val="VerbatimChar"/>
        </w:rPr>
        <w:t xml:space="preserve">factor</w:t>
      </w:r>
      <w:r>
        <w:t xml:space="preserve">: MTInputs</w:t>
      </w:r>
      <w:r>
        <w:t xml:space="preserve"> </w:t>
      </w:r>
      <w:r>
        <w:rPr>
          <w:rStyle w:val="VerbatimChar"/>
        </w:rPr>
        <w:t xml:space="preserve">IntEnerPricForecastAdjustment</w:t>
      </w:r>
      <w:r>
        <w:t xml:space="preserve"> </w:t>
      </w:r>
      <w:r>
        <w:t xml:space="preserve">(row 258).</w:t>
      </w:r>
      <w:r>
        <w:t xml:space="preserve"> </w:t>
      </w:r>
      <w:r>
        <w:rPr>
          <w:iCs/>
          <w:i/>
        </w:rPr>
        <w:t xml:space="preserve">Base</w:t>
      </w:r>
      <w:r>
        <w:t xml:space="preserve"> </w:t>
      </w:r>
      <w:r>
        <w:t xml:space="preserve">= 1;</w:t>
      </w:r>
      <w:r>
        <w:t xml:space="preserve"> </w:t>
      </w:r>
      <w:r>
        <w:rPr>
          <w:iCs/>
          <w:i/>
        </w:rPr>
        <w:t xml:space="preserve">High</w:t>
      </w:r>
      <w:r>
        <w:t xml:space="preserve"> </w:t>
      </w:r>
      <w:r>
        <w:t xml:space="preserve">/</w:t>
      </w:r>
      <w:r>
        <w:t xml:space="preserve"> </w:t>
      </w:r>
      <w:r>
        <w:rPr>
          <w:iCs/>
          <w:i/>
        </w:rPr>
        <w:t xml:space="preserve">Low</w:t>
      </w:r>
      <w:r>
        <w:t xml:space="preserve"> </w:t>
      </w:r>
      <w:r>
        <w:t xml:space="preserve">= 1.5 / 0.5 for oil and 1.25 / 0.75 for gas and coal, after the last historical year.</w:t>
      </w:r>
    </w:p>
    <w:bookmarkEnd w:id="28"/>
    <w:bookmarkStart w:id="29" w:name="supply-cost-sp"/>
    <w:p>
      <w:pPr>
        <w:pStyle w:val="Heading3"/>
      </w:pPr>
      <w:r>
        <w:t xml:space="preserve">3. Supply cost</w:t>
      </w:r>
      <w:r>
        <w:t xml:space="preserve"> </w:t>
      </w:r>
      <w:r>
        <w:rPr>
          <w:rStyle w:val="VerbatimChar"/>
        </w:rPr>
        <w:t xml:space="preserve">sp</w:t>
      </w:r>
    </w:p>
    <w:p>
      <w:pPr>
        <w:pStyle w:val="FirstParagraph"/>
      </w:pPr>
      <w:r>
        <w:rPr>
          <w:rStyle w:val="VerbatimChar"/>
        </w:rPr>
        <w:t xml:space="preserve">sp_t = fixsp + (sp_{t-1} - fixsp) x gp_t / gp_{t-1}</w:t>
      </w:r>
      <w:r>
        <w:t xml:space="preserve"> </w:t>
      </w:r>
      <w:r>
        <w:t xml:space="preserve">for t &gt; L; data for t &lt;= L.</w:t>
      </w:r>
    </w:p>
    <w:p>
      <w:pPr>
        <w:pStyle w:val="BodyText"/>
      </w:pPr>
      <w:r>
        <w:rPr>
          <w:rStyle w:val="VerbatimChar"/>
        </w:rPr>
        <w:t xml:space="preserve">fixsp = (margin + bucketed pass-through x production cost [coal, gas]) x infl(2022) / GJ per unit</w:t>
      </w:r>
      <w:r>
        <w:t xml:space="preserve">; the margin of biomass is 0 (legacy hardcode; other oil products from data since v0.10). This is legacy</w:t>
      </w:r>
      <w:r>
        <w:t xml:space="preserve"> </w:t>
      </w:r>
      <w:r>
        <w:rPr>
          <w:rStyle w:val="VerbatimChar"/>
        </w:rPr>
        <w:t xml:space="preserve">sp = fixsp + fltsp</w:t>
      </w:r>
      <w:r>
        <w:t xml:space="preserve"> </w:t>
      </w:r>
      <w:r>
        <w:t xml:space="preserve">with</w:t>
      </w:r>
      <w:r>
        <w:t xml:space="preserve"> </w:t>
      </w:r>
      <w:r>
        <w:rPr>
          <w:rStyle w:val="VerbatimChar"/>
        </w:rPr>
        <w:t xml:space="preserve">fltsp_t = fltsp_{t-1} x gp_t / gp_{t-1}</w:t>
      </w:r>
      <w:r>
        <w:t xml:space="preserve">. Producer subsidies (</w:t>
      </w:r>
      <w:r>
        <w:rPr>
          <w:rStyle w:val="VerbatimChar"/>
        </w:rPr>
        <w:t xml:space="preserve">ps</w:t>
      </w:r>
      <w:r>
        <w:t xml:space="preserve">) are left out (0 for Egypt).</w:t>
      </w:r>
    </w:p>
    <w:bookmarkEnd w:id="29"/>
    <w:bookmarkStart w:id="30" w:name="excise-and-other-taxes-txo-pass-through"/>
    <w:p>
      <w:pPr>
        <w:pStyle w:val="Heading3"/>
      </w:pPr>
      <w:r>
        <w:t xml:space="preserve">4. Excise and other taxes</w:t>
      </w:r>
      <w:r>
        <w:t xml:space="preserve"> </w:t>
      </w:r>
      <w:r>
        <w:rPr>
          <w:rStyle w:val="VerbatimChar"/>
        </w:rPr>
        <w:t xml:space="preserve">txo</w:t>
      </w:r>
      <w:r>
        <w:t xml:space="preserve"> </w:t>
      </w:r>
      <w:r>
        <w:t xml:space="preserve">(pass-through)</w:t>
      </w:r>
    </w:p>
    <w:p>
      <w:pPr>
        <w:numPr>
          <w:ilvl w:val="0"/>
          <w:numId w:val="1005"/>
        </w:numPr>
        <w:pStyle w:val="Compact"/>
      </w:pPr>
      <w:r>
        <w:t xml:space="preserve">Pass-through</w:t>
      </w:r>
      <w:r>
        <w:t xml:space="preserve"> </w:t>
      </w:r>
      <w:r>
        <w:rPr>
          <w:rStyle w:val="VerbatimChar"/>
        </w:rPr>
        <w:t xml:space="preserve">pcc</w:t>
      </w:r>
      <w:r>
        <w:t xml:space="preserve">: raw =</w:t>
      </w:r>
      <w:r>
        <w:t xml:space="preserve"> </w:t>
      </w:r>
      <w:r>
        <w:rPr>
          <w:rStyle w:val="VerbatimChar"/>
        </w:rPr>
        <w:t xml:space="preserve">mit.ps</w:t>
      </w:r>
      <w:r>
        <w:t xml:space="preserve"> </w:t>
      </w:r>
      <w:r>
        <w:t xml:space="preserve">of the base year (blank = 0; biomass = 1; other oil products from data since v0.10). Bucketed: &lt;= 0.25 -&gt; 0, &lt;= 0.5 -&gt; 0.5, else 1. Chosen per Settings C9 (</w:t>
      </w:r>
      <w:r>
        <w:rPr>
          <w:rStyle w:val="VerbatimChar"/>
        </w:rPr>
        <w:t xml:space="preserve">GovPriceControls</w:t>
      </w:r>
      <w:r>
        <w:t xml:space="preserve">):</w:t>
      </w:r>
      <w:r>
        <w:t xml:space="preserve"> </w:t>
      </w:r>
      <w:r>
        <w:rPr>
          <w:iCs/>
          <w:i/>
        </w:rPr>
        <w:t xml:space="preserve">Bucketed</w:t>
      </w:r>
      <w:r>
        <w:t xml:space="preserve"> </w:t>
      </w:r>
      <w:r>
        <w:t xml:space="preserve">(default),</w:t>
      </w:r>
      <w:r>
        <w:t xml:space="preserve"> </w:t>
      </w:r>
      <w:r>
        <w:rPr>
          <w:iCs/>
          <w:i/>
        </w:rPr>
        <w:t xml:space="preserve">Manual</w:t>
      </w:r>
      <w:r>
        <w:t xml:space="preserve"> </w:t>
      </w:r>
      <w:r>
        <w:t xml:space="preserve">= 0.8,</w:t>
      </w:r>
      <w:r>
        <w:t xml:space="preserve"> </w:t>
      </w:r>
      <w:r>
        <w:rPr>
          <w:iCs/>
          <w:i/>
        </w:rPr>
        <w:t xml:space="preserve">None</w:t>
      </w:r>
      <w:r>
        <w:t xml:space="preserve"> </w:t>
      </w:r>
      <w:r>
        <w:t xml:space="preserve">= 1. Egypt bucketed: coal 1, gas 0, oil products incl. other oil products 0, biomass 1.</w:t>
      </w:r>
    </w:p>
    <w:p>
      <w:pPr>
        <w:numPr>
          <w:ilvl w:val="0"/>
          <w:numId w:val="1005"/>
        </w:numPr>
        <w:pStyle w:val="Compact"/>
      </w:pPr>
      <w:r>
        <w:t xml:space="preserve">Historical</w:t>
      </w:r>
      <w:r>
        <w:t xml:space="preserve"> </w:t>
      </w:r>
      <w:r>
        <w:rPr>
          <w:rStyle w:val="VerbatimChar"/>
        </w:rPr>
        <w:t xml:space="preserve">txo</w:t>
      </w:r>
      <w:r>
        <w:t xml:space="preserve"> </w:t>
      </w:r>
      <w:r>
        <w:t xml:space="preserve">(as legacy):</w:t>
      </w:r>
    </w:p>
    <w:p>
      <w:pPr>
        <w:numPr>
          <w:ilvl w:val="1"/>
          <w:numId w:val="1006"/>
        </w:numPr>
        <w:pStyle w:val="Compact"/>
      </w:pPr>
      <w:r>
        <w:t xml:space="preserve">coal, gas and biomass:</w:t>
      </w:r>
      <w:r>
        <w:t xml:space="preserve"> </w:t>
      </w:r>
      <w:r>
        <w:rPr>
          <w:rStyle w:val="VerbatimChar"/>
        </w:rPr>
        <w:t xml:space="preserve">rp / (1 + vr) - sp</w:t>
      </w:r>
      <w:r>
        <w:t xml:space="preserve">;</w:t>
      </w:r>
    </w:p>
    <w:p>
      <w:pPr>
        <w:numPr>
          <w:ilvl w:val="1"/>
          <w:numId w:val="1006"/>
        </w:numPr>
        <w:pStyle w:val="Compact"/>
      </w:pPr>
      <w:r>
        <w:t xml:space="preserve">oil products: the dataset’s</w:t>
      </w:r>
      <w:r>
        <w:t xml:space="preserve"> </w:t>
      </w:r>
      <w:r>
        <w:rPr>
          <w:rStyle w:val="VerbatimChar"/>
        </w:rPr>
        <w:t xml:space="preserve">txo</w:t>
      </w:r>
      <w:r>
        <w:t xml:space="preserve"> </w:t>
      </w:r>
      <w:r>
        <w:t xml:space="preserve">(legacy builds their retail price as</w:t>
      </w:r>
      <w:r>
        <w:t xml:space="preserve"> </w:t>
      </w:r>
      <w:r>
        <w:rPr>
          <w:rStyle w:val="VerbatimChar"/>
        </w:rPr>
        <w:t xml:space="preserve">sp + txo</w:t>
      </w:r>
      <w:r>
        <w:t xml:space="preserve">, times</w:t>
      </w:r>
      <w:r>
        <w:t xml:space="preserve"> </w:t>
      </w:r>
      <w:r>
        <w:rPr>
          <w:rStyle w:val="VerbatimChar"/>
        </w:rPr>
        <w:t xml:space="preserve">(1 + vr)</w:t>
      </w:r>
      <w:r>
        <w:t xml:space="preserve">).</w:t>
      </w:r>
    </w:p>
    <w:p>
      <w:pPr>
        <w:numPr>
          <w:ilvl w:val="0"/>
          <w:numId w:val="1005"/>
        </w:numPr>
        <w:pStyle w:val="Compact"/>
      </w:pPr>
      <w:r>
        <w:t xml:space="preserve">Projected, with L = last historical year:</w:t>
      </w:r>
    </w:p>
    <w:p>
      <w:pPr>
        <w:numPr>
          <w:ilvl w:val="1"/>
          <w:numId w:val="1007"/>
        </w:numPr>
        <w:pStyle w:val="Compact"/>
      </w:pPr>
      <w:r>
        <w:rPr>
          <w:rStyle w:val="VerbatimChar"/>
        </w:rPr>
        <w:t xml:space="preserve">txo_t = txo_L x pcc + cs_t</w:t>
      </w:r>
      <w:r>
        <w:t xml:space="preserve">;</w:t>
      </w:r>
    </w:p>
    <w:p>
      <w:pPr>
        <w:numPr>
          <w:ilvl w:val="1"/>
          <w:numId w:val="1007"/>
        </w:numPr>
        <w:pStyle w:val="Compact"/>
      </w:pPr>
      <w:r>
        <w:rPr>
          <w:rStyle w:val="VerbatimChar"/>
        </w:rPr>
        <w:t xml:space="preserve">cs_t = (sp_L - sp_t + txo_L(1 - pcc)) x (1 - pcc)</w:t>
      </w:r>
      <w:r>
        <w:t xml:space="preserve">;</w:t>
      </w:r>
    </w:p>
    <w:p>
      <w:pPr>
        <w:numPr>
          <w:ilvl w:val="1"/>
          <w:numId w:val="1007"/>
        </w:numPr>
        <w:pStyle w:val="Compact"/>
      </w:pPr>
      <w:r>
        <w:t xml:space="preserve">if</w:t>
      </w:r>
      <w:r>
        <w:t xml:space="preserve"> </w:t>
      </w:r>
      <w:r>
        <w:rPr>
          <w:rStyle w:val="VerbatimChar"/>
        </w:rPr>
        <w:t xml:space="preserve">txo_L(1 - pcc) &gt;= 0</w:t>
      </w:r>
      <w:r>
        <w:t xml:space="preserve">, then</w:t>
      </w:r>
      <w:r>
        <w:t xml:space="preserve"> </w:t>
      </w:r>
      <w:r>
        <w:rPr>
          <w:rStyle w:val="VerbatimChar"/>
        </w:rPr>
        <w:t xml:space="preserve">cs_t = max(txo_L(1 - pcc), cs_t)</w:t>
      </w:r>
      <w:r>
        <w:t xml:space="preserve">.</w:t>
      </w:r>
    </w:p>
    <w:p>
      <w:pPr>
        <w:numPr>
          <w:ilvl w:val="0"/>
          <w:numId w:val="1005"/>
        </w:numPr>
        <w:pStyle w:val="Compact"/>
      </w:pPr>
      <w:r>
        <w:t xml:space="preserve">pcc = 1: supply-cost changes are passed on in full. pcc = 0: the retail price before new policies stays at its value in L, and the floating subsidy absorbs the change.</w:t>
      </w:r>
    </w:p>
    <w:bookmarkEnd w:id="30"/>
    <w:bookmarkStart w:id="31" w:name="X22b6b083602209ec724a3af71c05f0bdac641ee"/>
    <w:p>
      <w:pPr>
        <w:pStyle w:val="Heading3"/>
      </w:pPr>
      <w:r>
        <w:t xml:space="preserve">5. Retail price before new policies</w:t>
      </w:r>
      <w:r>
        <w:t xml:space="preserve"> </w:t>
      </w:r>
      <w:r>
        <w:rPr>
          <w:rStyle w:val="VerbatimChar"/>
        </w:rPr>
        <w:t xml:space="preserve">rpb</w:t>
      </w:r>
      <w:r>
        <w:t xml:space="preserve"> </w:t>
      </w:r>
      <w:r>
        <w:t xml:space="preserve">and the after-tax price</w:t>
      </w:r>
      <w:r>
        <w:t xml:space="preserve"> </w:t>
      </w:r>
      <w:r>
        <w:rPr>
          <w:rStyle w:val="VerbatimChar"/>
        </w:rPr>
        <w:t xml:space="preserve">atp</w:t>
      </w:r>
    </w:p>
    <w:p>
      <w:pPr>
        <w:pStyle w:val="FirstParagraph"/>
      </w:pPr>
      <w:r>
        <w:rPr>
          <w:rStyle w:val="VerbatimChar"/>
        </w:rPr>
        <w:t xml:space="preserve">rpb = (sp + txo) x (1 + vr)</w:t>
      </w:r>
      <w:r>
        <w:t xml:space="preserve">, where</w:t>
      </w:r>
      <w:r>
        <w:t xml:space="preserve"> </w:t>
      </w:r>
      <w:r>
        <w:rPr>
          <w:rStyle w:val="VerbatimChar"/>
        </w:rPr>
        <w:t xml:space="preserve">vr</w:t>
      </w:r>
      <w:r>
        <w:t xml:space="preserve"> </w:t>
      </w:r>
      <w:r>
        <w:t xml:space="preserve">is the VAT rate of L (A11).</w:t>
      </w:r>
    </w:p>
    <w:p>
      <w:pPr>
        <w:pStyle w:val="BodyText"/>
      </w:pPr>
      <w:r>
        <w:t xml:space="preserve">By subsector:</w:t>
      </w:r>
      <w:r>
        <w:t xml:space="preserve"> </w:t>
      </w:r>
      <w:r>
        <w:rPr>
          <w:rStyle w:val="VerbatimChar"/>
        </w:rPr>
        <w:t xml:space="preserve">atp = max(rpb[price fuel] + nce x (1 + vr), 0.01)</w:t>
      </w:r>
      <w:r>
        <w:t xml:space="preserve">. New policies (</w:t>
      </w:r>
      <w:r>
        <w:rPr>
          <w:rStyle w:val="VerbatimChar"/>
        </w:rPr>
        <w:t xml:space="preserve">nce</w:t>
      </w:r>
      <w:r>
        <w:t xml:space="preserve"> </w:t>
      </w:r>
      <w:r>
        <w:t xml:space="preserve">= new carbon tax + new excise) are passed through in full and pay VAT (legacy</w:t>
      </w:r>
      <w:r>
        <w:t xml:space="preserve"> </w:t>
      </w:r>
      <w:r>
        <w:rPr>
          <w:rStyle w:val="VerbatimChar"/>
        </w:rPr>
        <w:t xml:space="preserve">vat = (sp + txo) x vr</w:t>
      </w:r>
      <w:r>
        <w:t xml:space="preserve"> </w:t>
      </w:r>
      <w:r>
        <w:t xml:space="preserve">with</w:t>
      </w:r>
      <w:r>
        <w:t xml:space="preserve"> </w:t>
      </w:r>
      <w:r>
        <w:rPr>
          <w:rStyle w:val="VerbatimChar"/>
        </w:rPr>
        <w:t xml:space="preserve">nce</w:t>
      </w:r>
      <w:r>
        <w:t xml:space="preserve"> </w:t>
      </w:r>
      <w:r>
        <w:t xml:space="preserve">inside</w:t>
      </w:r>
      <w:r>
        <w:t xml:space="preserve"> </w:t>
      </w:r>
      <w:r>
        <w:rPr>
          <w:rStyle w:val="VerbatimChar"/>
        </w:rPr>
        <w:t xml:space="preserve">txo</w:t>
      </w:r>
      <w:r>
        <w:t xml:space="preserve">). The 0.01 floor is legacy’s.</w:t>
      </w:r>
    </w:p>
    <w:bookmarkEnd w:id="31"/>
    <w:bookmarkStart w:id="32" w:name="existing-taxes-and-subsidies-v0.11"/>
    <w:p>
      <w:pPr>
        <w:pStyle w:val="Heading3"/>
      </w:pPr>
      <w:r>
        <w:t xml:space="preserve">6. Existing taxes and subsidies (v0.11)</w:t>
      </w:r>
    </w:p>
    <w:p>
      <w:pPr>
        <w:pStyle w:val="FirstParagraph"/>
      </w:pPr>
      <w:r>
        <w:t xml:space="preserve">Per price fuel and year, real $/GJ:</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Row</w:t>
            </w:r>
          </w:p>
        </w:tc>
        <w:tc>
          <w:tcPr/>
          <w:p>
            <w:pPr>
              <w:pStyle w:val="Compact"/>
              <w:jc w:val="left"/>
            </w:pPr>
            <w:r>
              <w:t xml:space="preserve">Formula</w:t>
            </w:r>
          </w:p>
        </w:tc>
        <w:tc>
          <w:tcPr/>
          <w:p>
            <w:pPr>
              <w:pStyle w:val="Compact"/>
              <w:jc w:val="left"/>
            </w:pPr>
            <w:r>
              <w:t xml:space="preserve">Use</w:t>
            </w:r>
          </w:p>
        </w:tc>
      </w:tr>
      <w:tr>
        <w:tc>
          <w:tcPr/>
          <w:p>
            <w:pPr>
              <w:pStyle w:val="Compact"/>
              <w:jc w:val="left"/>
            </w:pPr>
            <w:r>
              <w:rPr>
                <w:rStyle w:val="VerbatimChar"/>
              </w:rPr>
              <w:t xml:space="preserve">vat</w:t>
            </w:r>
          </w:p>
        </w:tc>
        <w:tc>
          <w:tcPr/>
          <w:p>
            <w:pPr>
              <w:pStyle w:val="Compact"/>
              <w:jc w:val="left"/>
            </w:pPr>
            <w:r>
              <w:t xml:space="preserve">(sp + txo) x vr</w:t>
            </w:r>
          </w:p>
        </w:tc>
        <w:tc>
          <w:tcPr/>
          <w:p>
            <w:pPr>
              <w:pStyle w:val="Compact"/>
              <w:jc w:val="left"/>
            </w:pPr>
            <w:r>
              <w:t xml:space="preserve">VAT payment before new policies (revenue)</w:t>
            </w:r>
          </w:p>
        </w:tc>
      </w:tr>
      <w:tr>
        <w:tc>
          <w:tcPr/>
          <w:p>
            <w:pPr>
              <w:pStyle w:val="Compact"/>
              <w:jc w:val="left"/>
            </w:pPr>
            <w:r>
              <w:rPr>
                <w:rStyle w:val="VerbatimChar"/>
              </w:rPr>
              <w:t xml:space="preserve">etx</w:t>
            </w:r>
          </w:p>
        </w:tc>
        <w:tc>
          <w:tcPr/>
          <w:p>
            <w:pPr>
              <w:pStyle w:val="Compact"/>
              <w:jc w:val="left"/>
            </w:pPr>
            <w:r>
              <w:t xml:space="preserve">max(txo, 0)</w:t>
            </w:r>
          </w:p>
        </w:tc>
        <w:tc>
          <w:tcPr/>
          <w:p>
            <w:pPr>
              <w:pStyle w:val="Compact"/>
              <w:jc w:val="left"/>
            </w:pPr>
            <w:r>
              <w:t xml:space="preserve">existing excise and other taxes (revenue)</w:t>
            </w:r>
          </w:p>
        </w:tc>
      </w:tr>
      <w:tr>
        <w:tc>
          <w:tcPr/>
          <w:p>
            <w:pPr>
              <w:pStyle w:val="Compact"/>
              <w:jc w:val="left"/>
            </w:pPr>
            <w:r>
              <w:rPr>
                <w:rStyle w:val="VerbatimChar"/>
              </w:rPr>
              <w:t xml:space="preserve">esub</w:t>
            </w:r>
          </w:p>
        </w:tc>
        <w:tc>
          <w:tcPr/>
          <w:p>
            <w:pPr>
              <w:pStyle w:val="Compact"/>
              <w:jc w:val="left"/>
            </w:pPr>
            <w:r>
              <w:t xml:space="preserve">max(-txo, 0)</w:t>
            </w:r>
          </w:p>
        </w:tc>
        <w:tc>
          <w:tcPr/>
          <w:p>
            <w:pPr>
              <w:pStyle w:val="Compact"/>
              <w:jc w:val="left"/>
            </w:pPr>
            <w:r>
              <w:t xml:space="preserve">existing consumer subsidy, positive number (fiscal cost)</w:t>
            </w:r>
          </w:p>
        </w:tc>
      </w:tr>
      <w:tr>
        <w:tc>
          <w:tcPr/>
          <w:p>
            <w:pPr>
              <w:pStyle w:val="Compact"/>
              <w:jc w:val="left"/>
            </w:pPr>
            <w:r>
              <w:rPr>
                <w:rStyle w:val="VerbatimChar"/>
              </w:rPr>
              <w:t xml:space="preserve">esubpu</w:t>
            </w:r>
          </w:p>
        </w:tc>
        <w:tc>
          <w:tcPr/>
          <w:p>
            <w:pPr>
              <w:pStyle w:val="Compact"/>
              <w:jc w:val="left"/>
            </w:pPr>
            <w:r>
              <w:t xml:space="preserve">esub x GJ per price unit</w:t>
            </w:r>
          </w:p>
        </w:tc>
        <w:tc>
          <w:tcPr/>
          <w:p>
            <w:pPr>
              <w:pStyle w:val="Compact"/>
              <w:jc w:val="left"/>
            </w:pPr>
            <w:r>
              <w:t xml:space="preserve">the subsidy in MTInputs price units ($/liter, $/bbl, $/GJ): input for a later per-fuel policy (subsidy reform via the fuel price reform rows 142-169, which use the same units)</w:t>
            </w:r>
          </w:p>
        </w:tc>
      </w:tr>
    </w:tbl>
    <w:p>
      <w:pPr>
        <w:pStyle w:val="BodyText"/>
      </w:pPr>
      <w:r>
        <w:t xml:space="preserve">Legacy splits txo into a fixed tax (</w:t>
      </w:r>
      <w:r>
        <w:rPr>
          <w:rStyle w:val="VerbatimChar"/>
        </w:rPr>
        <w:t xml:space="preserve">fadtx</w:t>
      </w:r>
      <w:r>
        <w:t xml:space="preserve">), a fixed subsidy (</w:t>
      </w:r>
      <w:r>
        <w:rPr>
          <w:rStyle w:val="VerbatimChar"/>
        </w:rPr>
        <w:t xml:space="preserve">fixs</w:t>
      </w:r>
      <w:r>
        <w:t xml:space="preserve">) and a floating part (</w:t>
      </w:r>
      <w:r>
        <w:rPr>
          <w:rStyle w:val="VerbatimChar"/>
        </w:rPr>
        <w:t xml:space="preserve">cs</w:t>
      </w:r>
      <w:r>
        <w:t xml:space="preserve">); the sign split here gives the same totals. Revenue (section 12, next step) = fuel use x (etx + vat - esub) for existing taxes, plus new carbon tax, new excise, ETS x auctioned share and VAT on new policies.</w:t>
      </w:r>
    </w:p>
    <w:bookmarkEnd w:id="32"/>
    <w:bookmarkStart w:id="33" w:name="X217e1192cde3a3cab351214e5e668b32318f46d"/>
    <w:p>
      <w:pPr>
        <w:pStyle w:val="Heading3"/>
      </w:pPr>
      <w:r>
        <w:t xml:space="preserve">7. Layout in the workbook (section 2, per scenario group)</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Rows</w:t>
            </w:r>
          </w:p>
        </w:tc>
        <w:tc>
          <w:tcPr/>
          <w:p>
            <w:pPr>
              <w:pStyle w:val="Compact"/>
              <w:jc w:val="left"/>
            </w:pPr>
            <w:r>
              <w:t xml:space="preserve">Content</w:t>
            </w:r>
          </w:p>
        </w:tc>
        <w:tc>
          <w:tcPr/>
          <w:p>
            <w:pPr>
              <w:pStyle w:val="Compact"/>
              <w:jc w:val="left"/>
            </w:pPr>
            <w:r>
              <w:t xml:space="preserve">Hidden params (D:G)</w:t>
            </w:r>
          </w:p>
        </w:tc>
      </w:tr>
      <w:tr>
        <w:tc>
          <w:tcPr/>
          <w:p>
            <w:pPr>
              <w:pStyle w:val="Compact"/>
              <w:jc w:val="left"/>
            </w:pPr>
            <w:r>
              <w:t xml:space="preserve">2</w:t>
            </w:r>
          </w:p>
        </w:tc>
        <w:tc>
          <w:tcPr/>
          <w:p>
            <w:pPr>
              <w:pStyle w:val="Compact"/>
              <w:jc w:val="left"/>
            </w:pPr>
            <w:r>
              <w:rPr>
                <w:rStyle w:val="VerbatimChar"/>
              </w:rPr>
              <w:t xml:space="preserve">IntEnerPricForeSource</w:t>
            </w:r>
            <w:r>
              <w:t xml:space="preserve">,</w:t>
            </w:r>
            <w:r>
              <w:t xml:space="preserve"> </w:t>
            </w:r>
            <w:r>
              <w:rPr>
                <w:rStyle w:val="VerbatimChar"/>
              </w:rPr>
              <w:t xml:space="preserve">IntEnerPricForecastAdjustment</w:t>
            </w:r>
            <w:r>
              <w:t xml:space="preserve"> </w:t>
            </w:r>
            <w:r>
              <w:t xml:space="preserve">(MTInputs)</w:t>
            </w:r>
          </w:p>
        </w:tc>
        <w:tc>
          <w:tcPr/>
          <w:p>
            <w:pPr>
              <w:pStyle w:val="Compact"/>
              <w:jc w:val="left"/>
            </w:pPr>
            <w:r>
              <w:t xml:space="preserve">MTInputs row</w:t>
            </w:r>
          </w:p>
        </w:tc>
      </w:tr>
      <w:tr>
        <w:tc>
          <w:tcPr/>
          <w:p>
            <w:pPr>
              <w:pStyle w:val="Compact"/>
              <w:jc w:val="left"/>
            </w:pPr>
            <w:r>
              <w:t xml:space="preserve">4</w:t>
            </w:r>
          </w:p>
        </w:tc>
        <w:tc>
          <w:tcPr/>
          <w:p>
            <w:pPr>
              <w:pStyle w:val="Compact"/>
              <w:jc w:val="left"/>
            </w:pPr>
            <w:r>
              <w:rPr>
                <w:rStyle w:val="VerbatimChar"/>
              </w:rPr>
              <w:t xml:space="preserve">gp</w:t>
            </w:r>
            <w:r>
              <w:t xml:space="preserve"> </w:t>
            </w:r>
            <w:r>
              <w:t xml:space="preserve">oil, coal, gas, flat</w:t>
            </w:r>
          </w:p>
        </w:tc>
        <w:tc>
          <w:tcPr/>
          <w:p>
            <w:pPr>
              <w:pStyle w:val="Compact"/>
              <w:jc w:val="left"/>
            </w:pPr>
            <w:r>
              <w:t xml:space="preserve">commodity key, High factor, Low factor</w:t>
            </w:r>
          </w:p>
        </w:tc>
      </w:tr>
      <w:tr>
        <w:tc>
          <w:tcPr/>
          <w:p>
            <w:pPr>
              <w:pStyle w:val="Compact"/>
              <w:jc w:val="left"/>
            </w:pPr>
            <w:r>
              <w:t xml:space="preserve">12 + 1</w:t>
            </w:r>
          </w:p>
        </w:tc>
        <w:tc>
          <w:tcPr/>
          <w:p>
            <w:pPr>
              <w:pStyle w:val="Compact"/>
              <w:jc w:val="left"/>
            </w:pPr>
            <w:r>
              <w:rPr>
                <w:rStyle w:val="VerbatimChar"/>
              </w:rPr>
              <w:t xml:space="preserve">sp</w:t>
            </w:r>
            <w:r>
              <w:t xml:space="preserve"> </w:t>
            </w:r>
            <w:r>
              <w:t xml:space="preserve">by price fuel</w:t>
            </w:r>
          </w:p>
        </w:tc>
        <w:tc>
          <w:tcPr/>
          <w:p>
            <w:pPr>
              <w:pStyle w:val="Compact"/>
              <w:jc w:val="left"/>
            </w:pPr>
            <w:r>
              <w:t xml:space="preserve">fixsp, gp position, price position</w:t>
            </w:r>
          </w:p>
        </w:tc>
      </w:tr>
      <w:tr>
        <w:tc>
          <w:tcPr/>
          <w:p>
            <w:pPr>
              <w:pStyle w:val="Compact"/>
              <w:jc w:val="left"/>
            </w:pPr>
            <w:r>
              <w:t xml:space="preserve">12 + 1</w:t>
            </w:r>
          </w:p>
        </w:tc>
        <w:tc>
          <w:tcPr/>
          <w:p>
            <w:pPr>
              <w:pStyle w:val="Compact"/>
              <w:jc w:val="left"/>
            </w:pPr>
            <w:r>
              <w:rPr>
                <w:rStyle w:val="VerbatimChar"/>
              </w:rPr>
              <w:t xml:space="preserve">txo</w:t>
            </w:r>
          </w:p>
        </w:tc>
        <w:tc>
          <w:tcPr/>
          <w:p>
            <w:pPr>
              <w:pStyle w:val="Compact"/>
              <w:jc w:val="left"/>
            </w:pPr>
            <w:r>
              <w:t xml:space="preserve">txo_L, sp_L, pcc, price position</w:t>
            </w:r>
          </w:p>
        </w:tc>
      </w:tr>
      <w:tr>
        <w:tc>
          <w:tcPr/>
          <w:p>
            <w:pPr>
              <w:pStyle w:val="Compact"/>
              <w:jc w:val="left"/>
            </w:pPr>
            <w:r>
              <w:t xml:space="preserve">12 + 1</w:t>
            </w:r>
          </w:p>
        </w:tc>
        <w:tc>
          <w:tcPr/>
          <w:p>
            <w:pPr>
              <w:pStyle w:val="Compact"/>
              <w:jc w:val="left"/>
            </w:pPr>
            <w:r>
              <w:rPr>
                <w:rStyle w:val="VerbatimChar"/>
              </w:rPr>
              <w:t xml:space="preserve">rpb</w:t>
            </w:r>
            <w:r>
              <w:t xml:space="preserve"> </w:t>
            </w:r>
            <w:r>
              <w:t xml:space="preserve">(visible when rolled up)</w:t>
            </w:r>
          </w:p>
        </w:tc>
        <w:tc>
          <w:tcPr/>
          <w:p>
            <w:pPr>
              <w:pStyle w:val="Compact"/>
              <w:jc w:val="left"/>
            </w:pPr>
            <w:r>
              <w:t xml:space="preserve">VAT rate</w:t>
            </w:r>
          </w:p>
        </w:tc>
      </w:tr>
      <w:tr>
        <w:tc>
          <w:tcPr/>
          <w:p>
            <w:pPr>
              <w:pStyle w:val="Compact"/>
              <w:jc w:val="left"/>
            </w:pPr>
            <w:r>
              <w:t xml:space="preserve">12 + 1 each</w:t>
            </w:r>
          </w:p>
        </w:tc>
        <w:tc>
          <w:tcPr/>
          <w:p>
            <w:pPr>
              <w:pStyle w:val="Compact"/>
              <w:jc w:val="left"/>
            </w:pPr>
            <w:r>
              <w:rPr>
                <w:rStyle w:val="VerbatimChar"/>
              </w:rPr>
              <w:t xml:space="preserve">vat</w:t>
            </w:r>
            <w:r>
              <w:t xml:space="preserve">,</w:t>
            </w:r>
            <w:r>
              <w:t xml:space="preserve"> </w:t>
            </w:r>
            <w:r>
              <w:rPr>
                <w:rStyle w:val="VerbatimChar"/>
              </w:rPr>
              <w:t xml:space="preserve">etx</w:t>
            </w:r>
            <w:r>
              <w:t xml:space="preserve">,</w:t>
            </w:r>
            <w:r>
              <w:t xml:space="preserve"> </w:t>
            </w:r>
            <w:r>
              <w:rPr>
                <w:rStyle w:val="VerbatimChar"/>
              </w:rPr>
              <w:t xml:space="preserve">esub</w:t>
            </w:r>
            <w:r>
              <w:t xml:space="preserve">,</w:t>
            </w:r>
            <w:r>
              <w:t xml:space="preserve"> </w:t>
            </w:r>
            <w:r>
              <w:rPr>
                <w:rStyle w:val="VerbatimChar"/>
              </w:rPr>
              <w:t xml:space="preserve">esubpu</w:t>
            </w:r>
          </w:p>
        </w:tc>
        <w:tc>
          <w:tcPr/>
          <w:p>
            <w:pPr>
              <w:pStyle w:val="Compact"/>
              <w:jc w:val="left"/>
            </w:pPr>
            <w:r>
              <w:t xml:space="preserve">VAT rate; -; -; GJ per price unit</w:t>
            </w:r>
          </w:p>
        </w:tc>
      </w:tr>
    </w:tbl>
    <w:p>
      <w:pPr>
        <w:pStyle w:val="BodyText"/>
      </w:pPr>
      <w:r>
        <w:t xml:space="preserve">Per subsector the variables are</w:t>
      </w:r>
      <w:r>
        <w:t xml:space="preserve"> </w:t>
      </w:r>
      <w:r>
        <w:rPr>
          <w:rStyle w:val="VerbatimChar"/>
        </w:rPr>
        <w:t xml:space="preserve">ctxnew, ets, ntx, nce, atp, shp, ener</w:t>
      </w:r>
      <w:r>
        <w:t xml:space="preserve">. Column blocks (v0.11):</w:t>
      </w:r>
      <w:r>
        <w:t xml:space="preserve"> </w:t>
      </w:r>
      <w:r>
        <w:rPr>
          <w:rStyle w:val="VerbatimChar"/>
        </w:rPr>
        <w:t xml:space="preserve">sp</w:t>
      </w:r>
      <w:r>
        <w:t xml:space="preserve"> </w:t>
      </w:r>
      <w:r>
        <w:t xml:space="preserve">and</w:t>
      </w:r>
      <w:r>
        <w:t xml:space="preserve"> </w:t>
      </w:r>
      <w:r>
        <w:rPr>
          <w:rStyle w:val="VerbatimChar"/>
        </w:rPr>
        <w:t xml:space="preserve">txo</w:t>
      </w:r>
      <w:r>
        <w:t xml:space="preserve"> </w:t>
      </w:r>
      <w:r>
        <w:t xml:space="preserve">have a history block (2022-2024, data from</w:t>
      </w:r>
      <w:r>
        <w:t xml:space="preserve"> </w:t>
      </w:r>
      <w:r>
        <w:rPr>
          <w:rStyle w:val="VerbatimChar"/>
        </w:rPr>
        <w:t xml:space="preserve">Inputs_prices</w:t>
      </w:r>
      <w:r>
        <w:t xml:space="preserve">) and a projection block (2025-2039), each with one plain formula and no IF. The right column (2040) calls the named LAMBDA (</w:t>
      </w:r>
      <w:r>
        <w:rPr>
          <w:rStyle w:val="VerbatimChar"/>
        </w:rPr>
        <w:t xml:space="preserve">SUPPLYCOST</w:t>
      </w:r>
      <w:r>
        <w:t xml:space="preserve">,</w:t>
      </w:r>
      <w:r>
        <w:t xml:space="preserve"> </w:t>
      </w:r>
      <w:r>
        <w:rPr>
          <w:rStyle w:val="VerbatimChar"/>
        </w:rPr>
        <w:t xml:space="preserve">OTHERTAX</w:t>
      </w:r>
      <w:r>
        <w:t xml:space="preserve">), which holds the IF between history and projection, so it can be copied back over the whole row. Every calculated row has a LAMBDA in the right column. The data step is the</w:t>
      </w:r>
      <w:r>
        <w:t xml:space="preserve"> </w:t>
      </w:r>
      <w:r>
        <w:rPr>
          <w:rStyle w:val="VerbatimChar"/>
        </w:rPr>
        <w:t xml:space="preserve">Inputs_prices</w:t>
      </w:r>
      <w:r>
        <w:t xml:space="preserve"> </w:t>
      </w:r>
      <w:r>
        <w:t xml:space="preserve">sheet (one row per price fuel).</w:t>
      </w:r>
    </w:p>
    <w:bookmarkEnd w:id="33"/>
    <w:bookmarkStart w:id="34" w:name="left-out-later-steps"/>
    <w:p>
      <w:pPr>
        <w:pStyle w:val="Heading3"/>
      </w:pPr>
      <w:r>
        <w:t xml:space="preserve">8. Left out (later steps)</w:t>
      </w:r>
    </w:p>
    <w:p>
      <w:pPr>
        <w:numPr>
          <w:ilvl w:val="0"/>
          <w:numId w:val="1008"/>
        </w:numPr>
        <w:pStyle w:val="Compact"/>
      </w:pPr>
      <w:r>
        <w:t xml:space="preserve">Producer and consumer subsidy phase-outs, and the price-control phase-out (phase-out factors = 1).</w:t>
      </w:r>
    </w:p>
    <w:p>
      <w:pPr>
        <w:numPr>
          <w:ilvl w:val="0"/>
          <w:numId w:val="1008"/>
        </w:numPr>
        <w:pStyle w:val="Compact"/>
      </w:pPr>
      <w:r>
        <w:t xml:space="preserve">Existing carbon taxes and ETS (none for Egypt).</w:t>
      </w:r>
    </w:p>
    <w:p>
      <w:pPr>
        <w:numPr>
          <w:ilvl w:val="0"/>
          <w:numId w:val="1008"/>
        </w:numPr>
        <w:pStyle w:val="Compact"/>
      </w:pPr>
      <w:r>
        <w:t xml:space="preserve">The Europe shift to LNG.</w:t>
      </w:r>
    </w:p>
    <w:p>
      <w:pPr>
        <w:numPr>
          <w:ilvl w:val="0"/>
          <w:numId w:val="1008"/>
        </w:numPr>
        <w:pStyle w:val="Compact"/>
      </w:pPr>
      <w:r>
        <w:t xml:space="preserve">Ad-valorem baseline taxes (Egypt: Fixed).</w:t>
      </w:r>
    </w:p>
    <w:p>
      <w:pPr>
        <w:numPr>
          <w:ilvl w:val="0"/>
          <w:numId w:val="1008"/>
        </w:numPr>
        <w:pStyle w:val="Compact"/>
      </w:pPr>
      <w:r>
        <w:t xml:space="preserve">The oil-product share in the VAT of transport fuels (share = 1 assumed).</w:t>
      </w:r>
    </w:p>
    <w:p>
      <w:pPr>
        <w:numPr>
          <w:ilvl w:val="0"/>
          <w:numId w:val="1008"/>
        </w:numPr>
        <w:pStyle w:val="Compact"/>
      </w:pPr>
      <w:r>
        <w:t xml:space="preserve">Electricity prices.</w:t>
      </w:r>
    </w:p>
    <w:bookmarkEnd w:id="34"/>
    <w:bookmarkEnd w:id="35"/>
    <w:bookmarkStart w:id="42" w:name="new-ets"/>
    <w:p>
      <w:pPr>
        <w:pStyle w:val="Heading1"/>
      </w:pPr>
      <w:r>
        <w:t xml:space="preserve">New ETS</w:t>
      </w:r>
    </w:p>
    <w:p>
      <w:pPr>
        <w:pStyle w:val="FirstParagraph"/>
      </w:pPr>
      <w:r>
        <w:rPr>
          <w:iCs/>
          <w:i/>
        </w:rPr>
        <w:t xml:space="preserve">Source:</w:t>
      </w:r>
      <w:r>
        <w:rPr>
          <w:iCs/>
          <w:i/>
        </w:rPr>
        <w:t xml:space="preserve"> </w:t>
      </w:r>
      <w:r>
        <w:rPr>
          <w:rStyle w:val="VerbatimChar"/>
          <w:iCs/>
          <w:i/>
        </w:rPr>
        <w:t xml:space="preserve">ETS_Method_v0_1.md</w:t>
      </w:r>
      <w:r>
        <w:rPr>
          <w:iCs/>
          <w:i/>
        </w:rPr>
        <w:t xml:space="preserve">.</w:t>
      </w:r>
    </w:p>
    <w:p>
      <w:pPr>
        <w:pStyle w:val="BodyText"/>
      </w:pPr>
      <w:r>
        <w:t xml:space="preserve">How the MVP models a new emissions trading system. Background on the legacy algorithm and the design choice:</w:t>
      </w:r>
      <w:r>
        <w:t xml:space="preserve"> </w:t>
      </w:r>
      <w:r>
        <w:rPr>
          <w:rStyle w:val="VerbatimChar"/>
        </w:rPr>
        <w:t xml:space="preserve">ETS_Legacy_Algorithm_v0_1.md</w:t>
      </w:r>
      <w:r>
        <w:t xml:space="preserve"> </w:t>
      </w:r>
      <w:r>
        <w:t xml:space="preserve">and</w:t>
      </w:r>
      <w:r>
        <w:t xml:space="preserve"> </w:t>
      </w:r>
      <w:r>
        <w:rPr>
          <w:rStyle w:val="VerbatimChar"/>
        </w:rPr>
        <w:t xml:space="preserve">ETS_Cap_Design_Options_v0_1.md</w:t>
      </w:r>
      <w:r>
        <w:t xml:space="preserve">. Row names are the variable codes in column A of the Mitigation sheet. Section 1 holds the inputs and the price; the sector sections hold the per-fuel wedges; section 13 holds the cap check.</w:t>
      </w:r>
    </w:p>
    <w:bookmarkStart w:id="36" w:name="inputs"/>
    <w:p>
      <w:pPr>
        <w:pStyle w:val="Heading3"/>
      </w:pPr>
      <w:r>
        <w:t xml:space="preserve">Inputs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Input</w:t>
            </w:r>
          </w:p>
        </w:tc>
        <w:tc>
          <w:tcPr/>
          <w:p>
            <w:pPr>
              <w:pStyle w:val="Compact"/>
              <w:jc w:val="left"/>
            </w:pPr>
            <w:r>
              <w:t xml:space="preserve">Where</w:t>
            </w:r>
          </w:p>
        </w:tc>
        <w:tc>
          <w:tcPr/>
          <w:p>
            <w:pPr>
              <w:pStyle w:val="Compact"/>
              <w:jc w:val="left"/>
            </w:pPr>
            <w:r>
              <w:t xml:space="preserve">Notes</w:t>
            </w:r>
          </w:p>
        </w:tc>
      </w:tr>
      <w:tr>
        <w:tc>
          <w:tcPr/>
          <w:p>
            <w:pPr>
              <w:pStyle w:val="Compact"/>
              <w:jc w:val="left"/>
            </w:pPr>
            <w:r>
              <w:t xml:space="preserve">Apply new ETS, start and target year</w:t>
            </w:r>
          </w:p>
        </w:tc>
        <w:tc>
          <w:tcPr/>
          <w:p>
            <w:pPr>
              <w:pStyle w:val="Compact"/>
              <w:jc w:val="left"/>
            </w:pPr>
            <w:r>
              <w:t xml:space="preserve">MTInputs</w:t>
            </w:r>
            <w:r>
              <w:t xml:space="preserve"> </w:t>
            </w:r>
            <w:r>
              <w:rPr>
                <w:rStyle w:val="VerbatimChar"/>
              </w:rPr>
              <w:t xml:space="preserve">D_NewETS</w:t>
            </w:r>
            <w:r>
              <w:t xml:space="preserve">,</w:t>
            </w:r>
            <w:r>
              <w:t xml:space="preserve"> </w:t>
            </w:r>
            <w:r>
              <w:rPr>
                <w:rStyle w:val="VerbatimChar"/>
              </w:rPr>
              <w:t xml:space="preserve">D_ETSIntro</w:t>
            </w:r>
            <w:r>
              <w:t xml:space="preserve">,</w:t>
            </w:r>
            <w:r>
              <w:t xml:space="preserve"> </w:t>
            </w:r>
            <w:r>
              <w:rPr>
                <w:rStyle w:val="VerbatimChar"/>
              </w:rPr>
              <w:t xml:space="preserve">D_ETSOutro</w:t>
            </w:r>
          </w:p>
        </w:tc>
        <w:tc>
          <w:tcPr/>
          <w:p>
            <w:pPr>
              <w:pStyle w:val="Compact"/>
            </w:pPr>
          </w:p>
        </w:tc>
      </w:tr>
      <w:tr>
        <w:tc>
          <w:tcPr/>
          <w:p>
            <w:pPr>
              <w:pStyle w:val="Compact"/>
              <w:jc w:val="left"/>
            </w:pPr>
            <w:r>
              <w:t xml:space="preserve">Cap: change vs baseline covered emissions at start and target, continuation</w:t>
            </w:r>
          </w:p>
        </w:tc>
        <w:tc>
          <w:tcPr/>
          <w:p>
            <w:pPr>
              <w:pStyle w:val="Compact"/>
              <w:jc w:val="left"/>
            </w:pPr>
            <w:r>
              <w:t xml:space="preserve">MTInputs</w:t>
            </w:r>
            <w:r>
              <w:t xml:space="preserve"> </w:t>
            </w:r>
            <w:r>
              <w:rPr>
                <w:rStyle w:val="VerbatimChar"/>
              </w:rPr>
              <w:t xml:space="preserve">D_ETSChangeRelStart</w:t>
            </w:r>
            <w:r>
              <w:t xml:space="preserve">,</w:t>
            </w:r>
            <w:r>
              <w:t xml:space="preserve"> </w:t>
            </w:r>
            <w:r>
              <w:rPr>
                <w:rStyle w:val="VerbatimChar"/>
              </w:rPr>
              <w:t xml:space="preserve">D_ETSChangeRelTarget</w:t>
            </w:r>
            <w:r>
              <w:t xml:space="preserve">,</w:t>
            </w:r>
            <w:r>
              <w:t xml:space="preserve"> </w:t>
            </w:r>
            <w:r>
              <w:rPr>
                <w:rStyle w:val="VerbatimChar"/>
              </w:rPr>
              <w:t xml:space="preserve">D_ETSCapCont</w:t>
            </w:r>
          </w:p>
        </w:tc>
        <w:tc>
          <w:tcPr/>
          <w:p>
            <w:pPr>
              <w:pStyle w:val="Compact"/>
              <w:jc w:val="left"/>
            </w:pPr>
            <w:r>
              <w:rPr>
                <w:rStyle w:val="VerbatimChar"/>
              </w:rPr>
              <w:t xml:space="preserve">Constant</w:t>
            </w:r>
            <w:r>
              <w:t xml:space="preserve"> </w:t>
            </w:r>
            <w:r>
              <w:t xml:space="preserve">keeps the cap level after the target year; any other value keeps the relative change</w:t>
            </w:r>
          </w:p>
        </w:tc>
      </w:tr>
      <w:tr>
        <w:tc>
          <w:tcPr/>
          <w:p>
            <w:pPr>
              <w:pStyle w:val="Compact"/>
              <w:jc w:val="left"/>
            </w:pPr>
            <w:r>
              <w:t xml:space="preserve">Price override switch</w:t>
            </w:r>
          </w:p>
        </w:tc>
        <w:tc>
          <w:tcPr/>
          <w:p>
            <w:pPr>
              <w:pStyle w:val="Compact"/>
              <w:jc w:val="left"/>
            </w:pPr>
            <w:r>
              <w:t xml:space="preserve">MTInputs</w:t>
            </w:r>
            <w:r>
              <w:t xml:space="preserve"> </w:t>
            </w:r>
            <w:r>
              <w:rPr>
                <w:rStyle w:val="VerbatimChar"/>
              </w:rPr>
              <w:t xml:space="preserve">D_ETSPriceOverride</w:t>
            </w:r>
          </w:p>
        </w:tc>
        <w:tc>
          <w:tcPr/>
          <w:p>
            <w:pPr>
              <w:pStyle w:val="Compact"/>
              <w:jc w:val="left"/>
            </w:pPr>
            <w:r>
              <w:rPr>
                <w:rStyle w:val="VerbatimChar"/>
              </w:rPr>
              <w:t xml:space="preserve">Yes</w:t>
            </w:r>
            <w:r>
              <w:t xml:space="preserve">: the permit price comes from the override row</w:t>
            </w:r>
            <w:r>
              <w:t xml:space="preserve"> </w:t>
            </w:r>
            <w:r>
              <w:rPr>
                <w:rStyle w:val="VerbatimChar"/>
              </w:rPr>
              <w:t xml:space="preserve">ets.ovr</w:t>
            </w:r>
          </w:p>
        </w:tc>
      </w:tr>
      <w:tr>
        <w:tc>
          <w:tcPr/>
          <w:p>
            <w:pPr>
              <w:pStyle w:val="Compact"/>
              <w:jc w:val="left"/>
            </w:pPr>
            <w:r>
              <w:t xml:space="preserve">Volatility, impact of volatility, carbon tax policy risk</w:t>
            </w:r>
          </w:p>
        </w:tc>
        <w:tc>
          <w:tcPr/>
          <w:p>
            <w:pPr>
              <w:pStyle w:val="Compact"/>
              <w:jc w:val="left"/>
            </w:pPr>
            <w:r>
              <w:t xml:space="preserve">MTInputs</w:t>
            </w:r>
            <w:r>
              <w:t xml:space="preserve"> </w:t>
            </w:r>
            <w:r>
              <w:rPr>
                <w:rStyle w:val="VerbatimChar"/>
              </w:rPr>
              <w:t xml:space="preserve">D_ETSVolatility</w:t>
            </w:r>
            <w:r>
              <w:t xml:space="preserve">,</w:t>
            </w:r>
            <w:r>
              <w:t xml:space="preserve"> </w:t>
            </w:r>
            <w:r>
              <w:rPr>
                <w:rStyle w:val="VerbatimChar"/>
              </w:rPr>
              <w:t xml:space="preserve">D_ETSVolImpact</w:t>
            </w:r>
            <w:r>
              <w:t xml:space="preserve">,</w:t>
            </w:r>
            <w:r>
              <w:t xml:space="preserve"> </w:t>
            </w:r>
            <w:r>
              <w:rPr>
                <w:rStyle w:val="VerbatimChar"/>
              </w:rPr>
              <w:t xml:space="preserve">D_ETSCTRisk</w:t>
            </w:r>
          </w:p>
        </w:tc>
        <w:tc>
          <w:tcPr/>
          <w:p>
            <w:pPr>
              <w:pStyle w:val="Compact"/>
              <w:jc w:val="left"/>
            </w:pPr>
            <w:r>
              <w:t xml:space="preserve">Labels Medium / High / Low / Zero; values in the Settings table (rows 16-18, legacy ETS+LTS)</w:t>
            </w:r>
          </w:p>
        </w:tc>
      </w:tr>
      <w:tr>
        <w:tc>
          <w:tcPr/>
          <w:p>
            <w:pPr>
              <w:pStyle w:val="Compact"/>
              <w:jc w:val="left"/>
            </w:pPr>
            <w:r>
              <w:t xml:space="preserve">Sector coverage</w:t>
            </w:r>
          </w:p>
        </w:tc>
        <w:tc>
          <w:tcPr/>
          <w:p>
            <w:pPr>
              <w:pStyle w:val="Compact"/>
              <w:jc w:val="left"/>
            </w:pPr>
            <w:r>
              <w:t xml:space="preserve">MTInputs rows 99-115</w:t>
            </w:r>
          </w:p>
        </w:tc>
        <w:tc>
          <w:tcPr/>
          <w:p>
            <w:pPr>
              <w:pStyle w:val="Compact"/>
              <w:jc w:val="left"/>
            </w:pPr>
            <w:r>
              <w:t xml:space="preserve">17 ETS sectors: power plus the 16 subsectors</w:t>
            </w:r>
          </w:p>
        </w:tc>
      </w:tr>
      <w:tr>
        <w:tc>
          <w:tcPr/>
          <w:p>
            <w:pPr>
              <w:pStyle w:val="Compact"/>
              <w:jc w:val="left"/>
            </w:pPr>
            <w:r>
              <w:t xml:space="preserve">Benchmarks by sector group</w:t>
            </w:r>
          </w:p>
        </w:tc>
        <w:tc>
          <w:tcPr/>
          <w:p>
            <w:pPr>
              <w:pStyle w:val="Compact"/>
              <w:jc w:val="left"/>
            </w:pPr>
            <w:r>
              <w:t xml:space="preserve">Section 1 typed rows</w:t>
            </w:r>
            <w:r>
              <w:t xml:space="preserve"> </w:t>
            </w:r>
            <w:r>
              <w:rPr>
                <w:rStyle w:val="VerbatimChar"/>
              </w:rPr>
              <w:t xml:space="preserve">etsb.s</w:t>
            </w:r>
            <w:r>
              <w:t xml:space="preserve">,</w:t>
            </w:r>
            <w:r>
              <w:t xml:space="preserve"> </w:t>
            </w:r>
            <w:r>
              <w:rPr>
                <w:rStyle w:val="VerbatimChar"/>
              </w:rPr>
              <w:t xml:space="preserve">etsb.t</w:t>
            </w:r>
            <w:r>
              <w:t xml:space="preserve"> </w:t>
            </w:r>
            <w:r>
              <w:t xml:space="preserve">(power, transport, residential/buildings, industry)</w:t>
            </w:r>
          </w:p>
        </w:tc>
        <w:tc>
          <w:tcPr/>
          <w:p>
            <w:pPr>
              <w:pStyle w:val="Compact"/>
              <w:jc w:val="left"/>
            </w:pPr>
            <w:r>
              <w:t xml:space="preserve">Share of a sector’s emission intensity that is allocated free. Assumption 1.0 at the start and 0.8 at the target year</w:t>
            </w:r>
          </w:p>
        </w:tc>
      </w:tr>
      <w:tr>
        <w:tc>
          <w:tcPr/>
          <w:p>
            <w:pPr>
              <w:pStyle w:val="Compact"/>
              <w:jc w:val="left"/>
            </w:pPr>
            <w:r>
              <w:t xml:space="preserve">Semi-elasticities by ETS sector</w:t>
            </w:r>
          </w:p>
        </w:tc>
        <w:tc>
          <w:tcPr/>
          <w:p>
            <w:pPr>
              <w:pStyle w:val="Compact"/>
              <w:jc w:val="left"/>
            </w:pPr>
            <w:r>
              <w:t xml:space="preserve">Section 1 rows</w:t>
            </w:r>
            <w:r>
              <w:t xml:space="preserve"> </w:t>
            </w:r>
            <w:r>
              <w:rPr>
                <w:rStyle w:val="VerbatimChar"/>
              </w:rPr>
              <w:t xml:space="preserve">obr</w:t>
            </w:r>
            <w:r>
              <w:t xml:space="preserve">, column E (hidden)</w:t>
            </w:r>
          </w:p>
        </w:tc>
        <w:tc>
          <w:tcPr/>
          <w:p>
            <w:pPr>
              <w:pStyle w:val="Compact"/>
              <w:jc w:val="left"/>
            </w:pPr>
            <w:r>
              <w:t xml:space="preserve">Legacy Egypt sector table (rows 1815-1831); used only by the fast estimate</w:t>
            </w:r>
          </w:p>
        </w:tc>
      </w:tr>
      <w:tr>
        <w:tc>
          <w:tcPr/>
          <w:p>
            <w:pPr>
              <w:pStyle w:val="Compact"/>
              <w:jc w:val="left"/>
            </w:pPr>
            <w:r>
              <w:t xml:space="preserve">Baseline CO2 by ETS sector</w:t>
            </w:r>
          </w:p>
        </w:tc>
        <w:tc>
          <w:tcPr/>
          <w:p>
            <w:pPr>
              <w:pStyle w:val="Compact"/>
              <w:jc w:val="left"/>
            </w:pPr>
            <w:r>
              <w:t xml:space="preserve">Section 1 data rows</w:t>
            </w:r>
            <w:r>
              <w:t xml:space="preserve"> </w:t>
            </w:r>
            <w:r>
              <w:rPr>
                <w:rStyle w:val="VerbatimChar"/>
              </w:rPr>
              <w:t xml:space="preserve">bco2</w:t>
            </w:r>
          </w:p>
        </w:tc>
        <w:tc>
          <w:tcPr/>
          <w:p>
            <w:pPr>
              <w:pStyle w:val="Compact"/>
              <w:jc w:val="left"/>
            </w:pPr>
            <w:r>
              <w:t xml:space="preserve">Values of scenario 1’s</w:t>
            </w:r>
            <w:r>
              <w:t xml:space="preserve"> </w:t>
            </w:r>
            <w:r>
              <w:rPr>
                <w:rStyle w:val="VerbatimChar"/>
              </w:rPr>
              <w:t xml:space="preserve">co2.sec</w:t>
            </w:r>
            <w:r>
              <w:t xml:space="preserve"> </w:t>
            </w:r>
            <w:r>
              <w:t xml:space="preserve">rows; the build refreshes them, check row</w:t>
            </w:r>
            <w:r>
              <w:t xml:space="preserve"> </w:t>
            </w:r>
            <w:r>
              <w:rPr>
                <w:rStyle w:val="VerbatimChar"/>
              </w:rPr>
              <w:t xml:space="preserve">bco2.chk</w:t>
            </w:r>
          </w:p>
        </w:tc>
      </w:tr>
      <w:tr>
        <w:tc>
          <w:tcPr/>
          <w:p>
            <w:pPr>
              <w:pStyle w:val="Compact"/>
              <w:jc w:val="left"/>
            </w:pPr>
            <w:r>
              <w:t xml:space="preserve">Effectiveness of output-based allocation, convergence exponent</w:t>
            </w:r>
          </w:p>
        </w:tc>
        <w:tc>
          <w:tcPr/>
          <w:p>
            <w:pPr>
              <w:pStyle w:val="Compact"/>
              <w:jc w:val="left"/>
            </w:pPr>
            <w:r>
              <w:t xml:space="preserve">Settings C14 (0.5), C15 (0.5)</w:t>
            </w:r>
          </w:p>
        </w:tc>
        <w:tc>
          <w:tcPr/>
          <w:p>
            <w:pPr>
              <w:pStyle w:val="Compact"/>
              <w:jc w:val="left"/>
            </w:pPr>
            <w:r>
              <w:t xml:space="preserve">Legacy hardcodes</w:t>
            </w:r>
          </w:p>
        </w:tc>
      </w:tr>
    </w:tbl>
    <w:bookmarkEnd w:id="36"/>
    <w:bookmarkStart w:id="37" w:name="price"/>
    <w:p>
      <w:pPr>
        <w:pStyle w:val="Heading3"/>
      </w:pPr>
      <w:r>
        <w:t xml:space="preserve">Price</w:t>
      </w:r>
    </w:p>
    <w:p>
      <w:pPr>
        <w:numPr>
          <w:ilvl w:val="0"/>
          <w:numId w:val="1009"/>
        </w:numPr>
        <w:pStyle w:val="Compact"/>
      </w:pPr>
      <w:r>
        <w:t xml:space="preserve">Effective coverage</w:t>
      </w:r>
      <w:r>
        <w:t xml:space="preserve"> </w:t>
      </w:r>
      <w:r>
        <w:rPr>
          <w:rStyle w:val="VerbatimChar"/>
        </w:rPr>
        <w:t xml:space="preserve">etsc</w:t>
      </w:r>
      <w:r>
        <w:t xml:space="preserve"> </w:t>
      </w:r>
      <w:r>
        <w:t xml:space="preserve">= 1 for a covered sector once the ETS applies, else 0.</w:t>
      </w:r>
    </w:p>
    <w:p>
      <w:pPr>
        <w:numPr>
          <w:ilvl w:val="0"/>
          <w:numId w:val="1009"/>
        </w:numPr>
        <w:pStyle w:val="Compact"/>
      </w:pPr>
      <w:r>
        <w:t xml:space="preserve">Benchmark path</w:t>
      </w:r>
      <w:r>
        <w:t xml:space="preserve"> </w:t>
      </w:r>
      <w:r>
        <w:rPr>
          <w:rStyle w:val="VerbatimChar"/>
        </w:rPr>
        <w:t xml:space="preserve">etsb</w:t>
      </w:r>
      <w:r>
        <w:t xml:space="preserve"> </w:t>
      </w:r>
      <w:r>
        <w:t xml:space="preserve">= linear from the start to the target year, flat afterwards. OBR share by sector</w:t>
      </w:r>
      <w:r>
        <w:t xml:space="preserve"> </w:t>
      </w:r>
      <w:r>
        <w:rPr>
          <w:rStyle w:val="VerbatimChar"/>
        </w:rPr>
        <w:t xml:space="preserve">obr</w:t>
      </w:r>
      <w:r>
        <w:t xml:space="preserve"> </w:t>
      </w:r>
      <w:r>
        <w:t xml:space="preserve">= MIN(1, MAX(0, benchmark of its group)).</w:t>
      </w:r>
    </w:p>
    <w:p>
      <w:pPr>
        <w:numPr>
          <w:ilvl w:val="0"/>
          <w:numId w:val="1009"/>
        </w:numPr>
        <w:pStyle w:val="Compact"/>
      </w:pPr>
      <w:r>
        <w:t xml:space="preserve">Volatility adjustment</w:t>
      </w:r>
      <w:r>
        <w:t xml:space="preserve"> </w:t>
      </w:r>
      <w:r>
        <w:rPr>
          <w:rStyle w:val="VerbatimChar"/>
        </w:rPr>
        <w:t xml:space="preserve">ets.vadj</w:t>
      </w:r>
      <w:r>
        <w:t xml:space="preserve"> </w:t>
      </w:r>
      <w:r>
        <w:t xml:space="preserve">= (1 + carbon tax policy risk x impact) / (1 + ETS volatility x impact). At Medium this is (1 + 0.2 x 0.5) / (1 + 0.42 x 0.5) = 1/1.1.</w:t>
      </w:r>
    </w:p>
    <w:p>
      <w:pPr>
        <w:numPr>
          <w:ilvl w:val="0"/>
          <w:numId w:val="1009"/>
        </w:numPr>
        <w:pStyle w:val="Compact"/>
      </w:pPr>
      <w:r>
        <w:t xml:space="preserve">Baseline covered emissions</w:t>
      </w:r>
      <w:r>
        <w:t xml:space="preserve"> </w:t>
      </w:r>
      <w:r>
        <w:rPr>
          <w:rStyle w:val="VerbatimChar"/>
        </w:rPr>
        <w:t xml:space="preserve">ets.bce</w:t>
      </w:r>
      <w:r>
        <w:t xml:space="preserve"> </w:t>
      </w:r>
      <w:r>
        <w:t xml:space="preserve">= SUMPRODUCT(</w:t>
      </w:r>
      <w:r>
        <w:rPr>
          <w:rStyle w:val="VerbatimChar"/>
        </w:rPr>
        <w:t xml:space="preserve">bco2</w:t>
      </w:r>
      <w:r>
        <w:t xml:space="preserve">,</w:t>
      </w:r>
      <w:r>
        <w:t xml:space="preserve"> </w:t>
      </w:r>
      <w:r>
        <w:rPr>
          <w:rStyle w:val="VerbatimChar"/>
        </w:rPr>
        <w:t xml:space="preserve">etsc</w:t>
      </w:r>
      <w:r>
        <w:t xml:space="preserve">).</w:t>
      </w:r>
    </w:p>
    <w:p>
      <w:pPr>
        <w:numPr>
          <w:ilvl w:val="0"/>
          <w:numId w:val="1009"/>
        </w:numPr>
        <w:pStyle w:val="Compact"/>
      </w:pPr>
      <w:r>
        <w:t xml:space="preserve">Cap</w:t>
      </w:r>
      <w:r>
        <w:t xml:space="preserve"> </w:t>
      </w:r>
      <w:r>
        <w:rPr>
          <w:rStyle w:val="VerbatimChar"/>
        </w:rPr>
        <w:t xml:space="preserve">ets.cap</w:t>
      </w:r>
      <w:r>
        <w:t xml:space="preserve"> </w:t>
      </w:r>
      <w:r>
        <w:t xml:space="preserve">=</w:t>
      </w:r>
      <w:r>
        <w:t xml:space="preserve"> </w:t>
      </w:r>
      <w:r>
        <w:rPr>
          <w:rStyle w:val="VerbatimChar"/>
        </w:rPr>
        <w:t xml:space="preserve">ets.bce</w:t>
      </w:r>
      <w:r>
        <w:t xml:space="preserve"> </w:t>
      </w:r>
      <w:r>
        <w:t xml:space="preserve">x (1 + change), where the change runs linearly from the start to the target year (after the target year, see</w:t>
      </w:r>
      <w:r>
        <w:t xml:space="preserve"> </w:t>
      </w:r>
      <w:r>
        <w:rPr>
          <w:rStyle w:val="VerbatimChar"/>
        </w:rPr>
        <w:t xml:space="preserve">D_ETSCapCont</w:t>
      </w:r>
      <w:r>
        <w:t xml:space="preserve">).</w:t>
      </w:r>
    </w:p>
    <w:p>
      <w:pPr>
        <w:numPr>
          <w:ilvl w:val="0"/>
          <w:numId w:val="1009"/>
        </w:numPr>
        <w:pStyle w:val="Compact"/>
      </w:pPr>
      <w:r>
        <w:t xml:space="preserve">Effective semi-elasticity</w:t>
      </w:r>
      <w:r>
        <w:t xml:space="preserve"> </w:t>
      </w:r>
      <w:r>
        <w:rPr>
          <w:rStyle w:val="VerbatimChar"/>
        </w:rPr>
        <w:t xml:space="preserve">ets.se</w:t>
      </w:r>
      <w:r>
        <w:t xml:space="preserve"> </w:t>
      </w:r>
      <w:r>
        <w:t xml:space="preserve">= baseline-weighted average over covered sectors of semi-elasticity x (1 − (1 − 0.5) x OBR share).</w:t>
      </w:r>
    </w:p>
    <w:p>
      <w:pPr>
        <w:numPr>
          <w:ilvl w:val="0"/>
          <w:numId w:val="1009"/>
        </w:numPr>
        <w:pStyle w:val="Compact"/>
      </w:pPr>
      <w:r>
        <w:t xml:space="preserve">Fast estimate</w:t>
      </w:r>
      <w:r>
        <w:t xml:space="preserve"> </w:t>
      </w:r>
      <w:r>
        <w:rPr>
          <w:rStyle w:val="VerbatimChar"/>
        </w:rPr>
        <w:t xml:space="preserve">ets.est</w:t>
      </w:r>
      <w:r>
        <w:t xml:space="preserve"> </w:t>
      </w:r>
      <w:r>
        <w:t xml:space="preserve">= LN(cap / baseline covered) / (</w:t>
      </w:r>
      <w:r>
        <w:rPr>
          <w:rStyle w:val="VerbatimChar"/>
        </w:rPr>
        <w:t xml:space="preserve">ets.se</w:t>
      </w:r>
      <w:r>
        <w:t xml:space="preserve"> </w:t>
      </w:r>
      <w:r>
        <w:t xml:space="preserve">x</w:t>
      </w:r>
      <w:r>
        <w:t xml:space="preserve"> </w:t>
      </w:r>
      <w:r>
        <w:rPr>
          <w:rStyle w:val="VerbatimChar"/>
        </w:rPr>
        <w:t xml:space="preserve">ets.vadj</w:t>
      </w:r>
      <w:r>
        <w:t xml:space="preserve">), when the cap is below the baseline; else 0.</w:t>
      </w:r>
    </w:p>
    <w:p>
      <w:pPr>
        <w:numPr>
          <w:ilvl w:val="0"/>
          <w:numId w:val="1009"/>
        </w:numPr>
        <w:pStyle w:val="Compact"/>
      </w:pPr>
      <w:r>
        <w:t xml:space="preserve">Permit price</w:t>
      </w:r>
      <w:r>
        <w:t xml:space="preserve"> </w:t>
      </w:r>
      <w:r>
        <w:rPr>
          <w:rStyle w:val="VerbatimChar"/>
        </w:rPr>
        <w:t xml:space="preserve">ets.p</w:t>
      </w:r>
      <w:r>
        <w:t xml:space="preserve"> </w:t>
      </w:r>
      <w:r>
        <w:t xml:space="preserve">= the override row</w:t>
      </w:r>
      <w:r>
        <w:t xml:space="preserve"> </w:t>
      </w:r>
      <w:r>
        <w:rPr>
          <w:rStyle w:val="VerbatimChar"/>
        </w:rPr>
        <w:t xml:space="preserve">ets.ovr</w:t>
      </w:r>
      <w:r>
        <w:t xml:space="preserve"> </w:t>
      </w:r>
      <w:r>
        <w:t xml:space="preserve">if</w:t>
      </w:r>
      <w:r>
        <w:t xml:space="preserve"> </w:t>
      </w:r>
      <w:r>
        <w:rPr>
          <w:rStyle w:val="VerbatimChar"/>
        </w:rPr>
        <w:t xml:space="preserve">D_ETSPriceOverride</w:t>
      </w:r>
      <w:r>
        <w:t xml:space="preserve"> </w:t>
      </w:r>
      <w:r>
        <w:t xml:space="preserve">= Yes (a blank cell takes the carbon price path), else the fast estimate. 0 before the ETS applies.</w:t>
      </w:r>
    </w:p>
    <w:p>
      <w:pPr>
        <w:numPr>
          <w:ilvl w:val="0"/>
          <w:numId w:val="1009"/>
        </w:numPr>
        <w:pStyle w:val="Compact"/>
      </w:pPr>
      <w:r>
        <w:t xml:space="preserve">Tax-equivalent price</w:t>
      </w:r>
      <w:r>
        <w:t xml:space="preserve"> </w:t>
      </w:r>
      <w:r>
        <w:rPr>
          <w:rStyle w:val="VerbatimChar"/>
        </w:rPr>
        <w:t xml:space="preserve">ets.pe</w:t>
      </w:r>
      <w:r>
        <w:t xml:space="preserve"> </w:t>
      </w:r>
      <w:r>
        <w:t xml:space="preserve">=</w:t>
      </w:r>
      <w:r>
        <w:t xml:space="preserve"> </w:t>
      </w:r>
      <w:r>
        <w:rPr>
          <w:rStyle w:val="VerbatimChar"/>
        </w:rPr>
        <w:t xml:space="preserve">ets.p</w:t>
      </w:r>
      <w:r>
        <w:t xml:space="preserve"> </w:t>
      </w:r>
      <w:r>
        <w:t xml:space="preserve">x</w:t>
      </w:r>
      <w:r>
        <w:t xml:space="preserve"> </w:t>
      </w:r>
      <w:r>
        <w:rPr>
          <w:rStyle w:val="VerbatimChar"/>
        </w:rPr>
        <w:t xml:space="preserve">ets.vadj</w:t>
      </w:r>
      <w:r>
        <w:t xml:space="preserve">; revenue factor</w:t>
      </w:r>
      <w:r>
        <w:t xml:space="preserve"> </w:t>
      </w:r>
      <w:r>
        <w:rPr>
          <w:rStyle w:val="VerbatimChar"/>
        </w:rPr>
        <w:t xml:space="preserve">ets.rf</w:t>
      </w:r>
      <w:r>
        <w:t xml:space="preserve"> </w:t>
      </w:r>
      <w:r>
        <w:t xml:space="preserve">= 1 /</w:t>
      </w:r>
      <w:r>
        <w:t xml:space="preserve"> </w:t>
      </w:r>
      <w:r>
        <w:rPr>
          <w:rStyle w:val="VerbatimChar"/>
        </w:rPr>
        <w:t xml:space="preserve">ets.vadj</w:t>
      </w:r>
      <w:r>
        <w:t xml:space="preserve">.</w:t>
      </w:r>
    </w:p>
    <w:bookmarkEnd w:id="37"/>
    <w:bookmarkStart w:id="38" w:name="effect-on-fuel-use"/>
    <w:p>
      <w:pPr>
        <w:pStyle w:val="Heading3"/>
      </w:pPr>
      <w:r>
        <w:t xml:space="preserve">Effect on fuel use</w:t>
      </w:r>
    </w:p>
    <w:p>
      <w:pPr>
        <w:pStyle w:val="FirstParagraph"/>
      </w:pPr>
      <w:r>
        <w:t xml:space="preserve">The ETS replaces the carbon tax in covered sectors (</w:t>
      </w:r>
      <w:r>
        <w:rPr>
          <w:rStyle w:val="VerbatimChar"/>
        </w:rPr>
        <w:t xml:space="preserve">ctxnew</w:t>
      </w:r>
      <w:r>
        <w:t xml:space="preserve"> </w:t>
      </w:r>
      <w:r>
        <w:t xml:space="preserve">x (1 −</w:t>
      </w:r>
      <w:r>
        <w:t xml:space="preserve"> </w:t>
      </w:r>
      <w:r>
        <w:rPr>
          <w:rStyle w:val="VerbatimChar"/>
        </w:rPr>
        <w:t xml:space="preserve">etsc</w:t>
      </w:r>
      <w:r>
        <w:t xml:space="preserve">)). The tax-equivalent price splits by the OBR share:</w:t>
      </w:r>
    </w:p>
    <w:p>
      <w:pPr>
        <w:numPr>
          <w:ilvl w:val="0"/>
          <w:numId w:val="1010"/>
        </w:numPr>
        <w:pStyle w:val="Compact"/>
      </w:pPr>
      <w:r>
        <w:rPr>
          <w:bCs/>
          <w:b/>
        </w:rPr>
        <w:t xml:space="preserve">Price wedge (auctioned part):</w:t>
      </w:r>
      <w:r>
        <w:t xml:space="preserve"> </w:t>
      </w:r>
      <w:r>
        <w:rPr>
          <w:rStyle w:val="VerbatimChar"/>
        </w:rPr>
        <w:t xml:space="preserve">ets</w:t>
      </w:r>
      <w:r>
        <w:t xml:space="preserve"> </w:t>
      </w:r>
      <w:r>
        <w:t xml:space="preserve">=</w:t>
      </w:r>
      <w:r>
        <w:t xml:space="preserve"> </w:t>
      </w:r>
      <w:r>
        <w:rPr>
          <w:rStyle w:val="VerbatimChar"/>
        </w:rPr>
        <w:t xml:space="preserve">ets.pe</w:t>
      </w:r>
      <w:r>
        <w:t xml:space="preserve"> </w:t>
      </w:r>
      <w:r>
        <w:t xml:space="preserve">x EF x</w:t>
      </w:r>
      <w:r>
        <w:t xml:space="preserve"> </w:t>
      </w:r>
      <w:r>
        <w:rPr>
          <w:rStyle w:val="VerbatimChar"/>
        </w:rPr>
        <w:t xml:space="preserve">etsc</w:t>
      </w:r>
      <w:r>
        <w:t xml:space="preserve"> </w:t>
      </w:r>
      <w:r>
        <w:t xml:space="preserve">x (1 − OBR). It enters</w:t>
      </w:r>
      <w:r>
        <w:t xml:space="preserve"> </w:t>
      </w:r>
      <w:r>
        <w:rPr>
          <w:rStyle w:val="VerbatimChar"/>
        </w:rPr>
        <w:t xml:space="preserve">nce</w:t>
      </w:r>
      <w:r>
        <w:t xml:space="preserve"> </w:t>
      </w:r>
      <w:r>
        <w:t xml:space="preserve">and the after-tax price</w:t>
      </w:r>
      <w:r>
        <w:t xml:space="preserve"> </w:t>
      </w:r>
      <w:r>
        <w:rPr>
          <w:rStyle w:val="VerbatimChar"/>
        </w:rPr>
        <w:t xml:space="preserve">atp</w:t>
      </w:r>
      <w:r>
        <w:t xml:space="preserve">, so usage and efficiency both respond, as for a carbon tax.</w:t>
      </w:r>
    </w:p>
    <w:p>
      <w:pPr>
        <w:numPr>
          <w:ilvl w:val="0"/>
          <w:numId w:val="1010"/>
        </w:numPr>
        <w:pStyle w:val="Compact"/>
      </w:pPr>
      <w:r>
        <w:rPr>
          <w:bCs/>
          <w:b/>
        </w:rPr>
        <w:t xml:space="preserve">Shadow price (OBR part):</w:t>
      </w:r>
      <w:r>
        <w:t xml:space="preserve"> </w:t>
      </w:r>
      <w:r>
        <w:rPr>
          <w:rStyle w:val="VerbatimChar"/>
        </w:rPr>
        <w:t xml:space="preserve">shp</w:t>
      </w:r>
      <w:r>
        <w:t xml:space="preserve"> </w:t>
      </w:r>
      <w:r>
        <w:t xml:space="preserve">= (feebate shadow price x share +</w:t>
      </w:r>
      <w:r>
        <w:t xml:space="preserve"> </w:t>
      </w:r>
      <w:r>
        <w:rPr>
          <w:rStyle w:val="VerbatimChar"/>
        </w:rPr>
        <w:t xml:space="preserve">ets.pe</w:t>
      </w:r>
      <w:r>
        <w:t xml:space="preserve"> </w:t>
      </w:r>
      <w:r>
        <w:t xml:space="preserve">x</w:t>
      </w:r>
      <w:r>
        <w:t xml:space="preserve"> </w:t>
      </w:r>
      <w:r>
        <w:rPr>
          <w:rStyle w:val="VerbatimChar"/>
        </w:rPr>
        <w:t xml:space="preserve">etsc</w:t>
      </w:r>
      <w:r>
        <w:t xml:space="preserve"> </w:t>
      </w:r>
      <w:r>
        <w:t xml:space="preserve">x OBR) x EF. It acts only on the efficiency margin of the fuel-use equation, as feebates do.</w:t>
      </w:r>
    </w:p>
    <w:bookmarkEnd w:id="38"/>
    <w:bookmarkStart w:id="39" w:name="revenue"/>
    <w:p>
      <w:pPr>
        <w:pStyle w:val="Heading3"/>
      </w:pPr>
      <w:r>
        <w:t xml:space="preserve">Revenue</w:t>
      </w:r>
    </w:p>
    <w:p>
      <w:pPr>
        <w:pStyle w:val="FirstParagraph"/>
      </w:pPr>
      <w:r>
        <w:rPr>
          <w:rStyle w:val="VerbatimChar"/>
        </w:rPr>
        <w:t xml:space="preserve">rnew</w:t>
      </w:r>
      <w:r>
        <w:t xml:space="preserve"> </w:t>
      </w:r>
      <w:r>
        <w:t xml:space="preserve">includes</w:t>
      </w:r>
      <w:r>
        <w:t xml:space="preserve"> </w:t>
      </w:r>
      <w:r>
        <w:rPr>
          <w:rStyle w:val="VerbatimChar"/>
        </w:rPr>
        <w:t xml:space="preserve">ets</w:t>
      </w:r>
      <w:r>
        <w:t xml:space="preserve"> </w:t>
      </w:r>
      <w:r>
        <w:t xml:space="preserve">x</w:t>
      </w:r>
      <w:r>
        <w:t xml:space="preserve"> </w:t>
      </w:r>
      <w:r>
        <w:rPr>
          <w:rStyle w:val="VerbatimChar"/>
        </w:rPr>
        <w:t xml:space="preserve">ets.rf</w:t>
      </w:r>
      <w:r>
        <w:t xml:space="preserve">, which is the permit price on the auctioned part of covered emissions. The OBR part raises no revenue.</w:t>
      </w:r>
    </w:p>
    <w:bookmarkEnd w:id="39"/>
    <w:bookmarkStart w:id="40" w:name="meeting-the-cap"/>
    <w:p>
      <w:pPr>
        <w:pStyle w:val="Heading3"/>
      </w:pPr>
      <w:r>
        <w:t xml:space="preserve">Meeting the cap</w:t>
      </w:r>
    </w:p>
    <w:p>
      <w:pPr>
        <w:pStyle w:val="FirstParagraph"/>
      </w:pPr>
      <w:r>
        <w:t xml:space="preserve">The fast estimate uses one semi-elasticity, so the full model does not hit the cap exactly. Section 13 shows:</w:t>
      </w:r>
    </w:p>
    <w:p>
      <w:pPr>
        <w:numPr>
          <w:ilvl w:val="0"/>
          <w:numId w:val="1011"/>
        </w:numPr>
        <w:pStyle w:val="Compact"/>
      </w:pPr>
      <w:r>
        <w:rPr>
          <w:rStyle w:val="VerbatimChar"/>
        </w:rPr>
        <w:t xml:space="preserve">co2.sec</w:t>
      </w:r>
      <w:r>
        <w:t xml:space="preserve">: CO2 by ETS sector;</w:t>
      </w:r>
    </w:p>
    <w:p>
      <w:pPr>
        <w:numPr>
          <w:ilvl w:val="0"/>
          <w:numId w:val="1011"/>
        </w:numPr>
        <w:pStyle w:val="Compact"/>
      </w:pPr>
      <w:r>
        <w:rPr>
          <w:rStyle w:val="VerbatimChar"/>
        </w:rPr>
        <w:t xml:space="preserve">co2.ets</w:t>
      </w:r>
      <w:r>
        <w:t xml:space="preserve">: covered emissions;</w:t>
      </w:r>
    </w:p>
    <w:p>
      <w:pPr>
        <w:numPr>
          <w:ilvl w:val="0"/>
          <w:numId w:val="1011"/>
        </w:numPr>
        <w:pStyle w:val="Compact"/>
      </w:pPr>
      <w:r>
        <w:rPr>
          <w:rStyle w:val="VerbatimChar"/>
        </w:rPr>
        <w:t xml:space="preserve">co2.cap</w:t>
      </w:r>
      <w:r>
        <w:t xml:space="preserve">: the cap;</w:t>
      </w:r>
    </w:p>
    <w:p>
      <w:pPr>
        <w:numPr>
          <w:ilvl w:val="0"/>
          <w:numId w:val="1011"/>
        </w:numPr>
        <w:pStyle w:val="Compact"/>
      </w:pPr>
      <w:r>
        <w:rPr>
          <w:rStyle w:val="VerbatimChar"/>
        </w:rPr>
        <w:t xml:space="preserve">co2.gap</w:t>
      </w:r>
      <w:r>
        <w:t xml:space="preserve">: covered / cap − 1;</w:t>
      </w:r>
    </w:p>
    <w:p>
      <w:pPr>
        <w:numPr>
          <w:ilvl w:val="0"/>
          <w:numId w:val="1011"/>
        </w:numPr>
        <w:pStyle w:val="Compact"/>
      </w:pPr>
      <w:r>
        <w:rPr>
          <w:rStyle w:val="VerbatimChar"/>
        </w:rPr>
        <w:t xml:space="preserve">ets.next</w:t>
      </w:r>
      <w:r>
        <w:t xml:space="preserve">: p x (LN(cap/baseline) / LN(covered/baseline)) ^ 0.5.</w:t>
      </w:r>
    </w:p>
    <w:p>
      <w:pPr>
        <w:pStyle w:val="FirstParagraph"/>
      </w:pPr>
      <w:r>
        <w:t xml:space="preserve">To meet the cap, either:</w:t>
      </w:r>
    </w:p>
    <w:p>
      <w:pPr>
        <w:numPr>
          <w:ilvl w:val="0"/>
          <w:numId w:val="1012"/>
        </w:numPr>
        <w:pStyle w:val="Compact"/>
      </w:pPr>
      <w:r>
        <w:t xml:space="preserve">paste</w:t>
      </w:r>
      <w:r>
        <w:t xml:space="preserve"> </w:t>
      </w:r>
      <w:r>
        <w:rPr>
          <w:rStyle w:val="VerbatimChar"/>
        </w:rPr>
        <w:t xml:space="preserve">ets.next</w:t>
      </w:r>
      <w:r>
        <w:t xml:space="preserve"> </w:t>
      </w:r>
      <w:r>
        <w:t xml:space="preserve">into</w:t>
      </w:r>
      <w:r>
        <w:t xml:space="preserve"> </w:t>
      </w:r>
      <w:r>
        <w:rPr>
          <w:rStyle w:val="VerbatimChar"/>
        </w:rPr>
        <w:t xml:space="preserve">ets.ovr</w:t>
      </w:r>
      <w:r>
        <w:t xml:space="preserve"> </w:t>
      </w:r>
      <w:r>
        <w:t xml:space="preserve">(with the override switch on) and repeat; or</w:t>
      </w:r>
    </w:p>
    <w:p>
      <w:pPr>
        <w:numPr>
          <w:ilvl w:val="0"/>
          <w:numId w:val="1012"/>
        </w:numPr>
        <w:pStyle w:val="Compact"/>
      </w:pPr>
      <w:r>
        <w:t xml:space="preserve">run</w:t>
      </w:r>
      <w:r>
        <w:t xml:space="preserve"> </w:t>
      </w:r>
      <w:r>
        <w:rPr>
          <w:rStyle w:val="VerbatimChar"/>
        </w:rPr>
        <w:t xml:space="preserve">python ets_goalseek_v0_2.py WORKBOOK.xlsx &lt;scenario&gt;</w:t>
      </w:r>
      <w:r>
        <w:t xml:space="preserve">. It iterates with legacy’s damped log-space step (mixing, smoothing, adaptive step) until the worst yearly gap is below 0.5%, and writes the prices to</w:t>
      </w:r>
      <w:r>
        <w:t xml:space="preserve"> </w:t>
      </w:r>
      <w:r>
        <w:rPr>
          <w:rStyle w:val="VerbatimChar"/>
        </w:rPr>
        <w:t xml:space="preserve">ets_override_s&lt;scenario&gt;.csv</w:t>
      </w:r>
      <w:r>
        <w:t xml:space="preserve"> </w:t>
      </w:r>
      <w:r>
        <w:t xml:space="preserve">for pasting into</w:t>
      </w:r>
      <w:r>
        <w:t xml:space="preserve"> </w:t>
      </w:r>
      <w:r>
        <w:rPr>
          <w:rStyle w:val="VerbatimChar"/>
        </w:rPr>
        <w:t xml:space="preserve">ets.ovr</w:t>
      </w:r>
      <w:r>
        <w:t xml:space="preserve">.</w:t>
      </w:r>
    </w:p>
    <w:bookmarkEnd w:id="40"/>
    <w:bookmarkStart w:id="41" w:name="limits"/>
    <w:p>
      <w:pPr>
        <w:pStyle w:val="Heading3"/>
      </w:pPr>
      <w:r>
        <w:t xml:space="preserve">Limits</w:t>
      </w:r>
    </w:p>
    <w:p>
      <w:pPr>
        <w:numPr>
          <w:ilvl w:val="0"/>
          <w:numId w:val="1013"/>
        </w:numPr>
        <w:pStyle w:val="Compact"/>
      </w:pPr>
      <w:r>
        <w:t xml:space="preserve">Power is not modelled, so covered power emissions are 0. The cap applies to the covered end-use sectors only.</w:t>
      </w:r>
    </w:p>
    <w:p>
      <w:pPr>
        <w:numPr>
          <w:ilvl w:val="0"/>
          <w:numId w:val="1013"/>
        </w:numPr>
        <w:pStyle w:val="Compact"/>
      </w:pPr>
      <w:r>
        <w:t xml:space="preserve">Benchmarks are relative to current emission intensity, and output is proxied by fuel use. Free allocation therefore moves with emissions, and the OBR share equals the benchmark.</w:t>
      </w:r>
    </w:p>
    <w:p>
      <w:pPr>
        <w:numPr>
          <w:ilvl w:val="0"/>
          <w:numId w:val="1013"/>
        </w:numPr>
        <w:pStyle w:val="Compact"/>
      </w:pPr>
      <w:r>
        <w:t xml:space="preserve">The volatility adjustment scales behaviour (the tax-equivalent price), not the permit price. VAT on new policies is levied on the tax-equivalent ETS cost.</w:t>
      </w:r>
    </w:p>
    <w:p>
      <w:pPr>
        <w:numPr>
          <w:ilvl w:val="0"/>
          <w:numId w:val="1013"/>
        </w:numPr>
        <w:pStyle w:val="Compact"/>
      </w:pPr>
      <w:r>
        <w:t xml:space="preserve">No banking, borrowing, price floors or ceilings, and no CBAM process emissions.</w:t>
      </w:r>
    </w:p>
    <w:bookmarkEnd w:id="41"/>
    <w:bookmarkEnd w:id="42"/>
    <w:bookmarkStart w:id="49" w:name="multiple-scenarios-and-stored-results"/>
    <w:p>
      <w:pPr>
        <w:pStyle w:val="Heading1"/>
      </w:pPr>
      <w:r>
        <w:t xml:space="preserve">Multiple scenarios and stored results</w:t>
      </w:r>
    </w:p>
    <w:p>
      <w:pPr>
        <w:pStyle w:val="FirstParagraph"/>
      </w:pPr>
      <w:r>
        <w:rPr>
          <w:iCs/>
          <w:i/>
        </w:rPr>
        <w:t xml:space="preserve">Source:</w:t>
      </w:r>
      <w:r>
        <w:rPr>
          <w:iCs/>
          <w:i/>
        </w:rPr>
        <w:t xml:space="preserve"> </w:t>
      </w:r>
      <w:r>
        <w:rPr>
          <w:rStyle w:val="VerbatimChar"/>
          <w:iCs/>
          <w:i/>
        </w:rPr>
        <w:t xml:space="preserve">Scenarios_Method_v0_1.md</w:t>
      </w:r>
      <w:r>
        <w:rPr>
          <w:iCs/>
          <w:i/>
        </w:rPr>
        <w:t xml:space="preserve">.</w:t>
      </w:r>
    </w:p>
    <w:p>
      <w:pPr>
        <w:pStyle w:val="BodyText"/>
      </w:pPr>
      <w:r>
        <w:t xml:space="preserve">How CPAT-AI-Mitigation-MVP runs many scenarios. Each run uses two calculated scenarios: the baseline and one live policy scenario. Results are stored as values and compared afterwards. This follows legacy CPAT’s approach, where a macro copies each scenario column into the column used for calculation and stores the outputs.</w:t>
      </w:r>
    </w:p>
    <w:bookmarkStart w:id="43" w:name="where-things-are"/>
    <w:p>
      <w:pPr>
        <w:pStyle w:val="Heading3"/>
      </w:pPr>
      <w:r>
        <w:t xml:space="preserve">Where things are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Place</w:t>
            </w:r>
          </w:p>
        </w:tc>
        <w:tc>
          <w:tcPr/>
          <w:p>
            <w:pPr>
              <w:pStyle w:val="Compact"/>
              <w:jc w:val="left"/>
            </w:pPr>
            <w:r>
              <w:t xml:space="preserve">What it holds</w:t>
            </w:r>
          </w:p>
        </w:tc>
      </w:tr>
      <w:tr>
        <w:tc>
          <w:tcPr/>
          <w:p>
            <w:pPr>
              <w:pStyle w:val="Compact"/>
              <w:jc w:val="left"/>
            </w:pPr>
            <w:r>
              <w:t xml:space="preserve">MTInputs column J</w:t>
            </w:r>
          </w:p>
        </w:tc>
        <w:tc>
          <w:tcPr/>
          <w:p>
            <w:pPr>
              <w:pStyle w:val="Compact"/>
              <w:jc w:val="left"/>
            </w:pPr>
            <w:r>
              <w:t xml:space="preserve">Scenario 1, the</w:t>
            </w:r>
            <w:r>
              <w:t xml:space="preserve"> </w:t>
            </w:r>
            <w:r>
              <w:rPr>
                <w:bCs/>
                <w:b/>
              </w:rPr>
              <w:t xml:space="preserve">baseline</w:t>
            </w:r>
            <w:r>
              <w:t xml:space="preserve"> </w:t>
            </w:r>
            <w:r>
              <w:t xml:space="preserve">(Mitigation group 1). Row 4:</w:t>
            </w:r>
            <w:r>
              <w:t xml:space="preserve"> </w:t>
            </w:r>
            <w:r>
              <w:t xml:space="preserve">“</w:t>
            </w:r>
            <w:r>
              <w:t xml:space="preserve">Baseline (stored once)</w:t>
            </w:r>
            <w:r>
              <w:t xml:space="preserve">”</w:t>
            </w:r>
            <w:r>
              <w:t xml:space="preserve">.</w:t>
            </w:r>
          </w:p>
        </w:tc>
      </w:tr>
      <w:tr>
        <w:tc>
          <w:tcPr/>
          <w:p>
            <w:pPr>
              <w:pStyle w:val="Compact"/>
              <w:jc w:val="left"/>
            </w:pPr>
            <w:r>
              <w:t xml:space="preserve">MTInputs column K</w:t>
            </w:r>
          </w:p>
        </w:tc>
        <w:tc>
          <w:tcPr/>
          <w:p>
            <w:pPr>
              <w:pStyle w:val="Compact"/>
              <w:jc w:val="left"/>
            </w:pPr>
            <w:r>
              <w:t xml:space="preserve">Scenario 2, the</w:t>
            </w:r>
            <w:r>
              <w:t xml:space="preserve"> </w:t>
            </w:r>
            <w:r>
              <w:rPr>
                <w:bCs/>
                <w:b/>
              </w:rPr>
              <w:t xml:space="preserve">live policy scenario</w:t>
            </w:r>
            <w:r>
              <w:t xml:space="preserve"> </w:t>
            </w:r>
            <w:r>
              <w:t xml:space="preserve">(Mitigation group 2). Row 4:</w:t>
            </w:r>
            <w:r>
              <w:t xml:space="preserve"> </w:t>
            </w:r>
            <w:r>
              <w:t xml:space="preserve">“</w:t>
            </w:r>
            <w:r>
              <w:t xml:space="preserve">Live (batch target)</w:t>
            </w:r>
            <w:r>
              <w:t xml:space="preserve">”</w:t>
            </w:r>
            <w:r>
              <w:t xml:space="preserve">. The batch run overwrites it with each definition and restores it at the end.</w:t>
            </w:r>
          </w:p>
        </w:tc>
      </w:tr>
      <w:tr>
        <w:tc>
          <w:tcPr/>
          <w:p>
            <w:pPr>
              <w:pStyle w:val="Compact"/>
              <w:jc w:val="left"/>
            </w:pPr>
            <w:r>
              <w:t xml:space="preserve">MTInputs columns L onwards</w:t>
            </w:r>
          </w:p>
        </w:tc>
        <w:tc>
          <w:tcPr/>
          <w:p>
            <w:pPr>
              <w:pStyle w:val="Compact"/>
              <w:jc w:val="left"/>
            </w:pPr>
            <w:r>
              <w:rPr>
                <w:bCs/>
                <w:b/>
              </w:rPr>
              <w:t xml:space="preserve">Scenario definitions</w:t>
            </w:r>
            <w:r>
              <w:t xml:space="preserve">, one full MTInputs column each: row 4 Run? (Yes/No), row 5 number (previous + 1), row 6 name, rows 8-415 the inputs. Red cells differ from the template. To add one, copy the last definition one column to the right and edit it.</w:t>
            </w:r>
          </w:p>
        </w:tc>
      </w:tr>
      <w:tr>
        <w:tc>
          <w:tcPr/>
          <w:p>
            <w:pPr>
              <w:pStyle w:val="Compact"/>
              <w:jc w:val="left"/>
            </w:pPr>
            <w:r>
              <w:t xml:space="preserve">StoredResults</w:t>
            </w:r>
          </w:p>
        </w:tc>
        <w:tc>
          <w:tcPr/>
          <w:p>
            <w:pPr>
              <w:pStyle w:val="Compact"/>
              <w:jc w:val="left"/>
            </w:pPr>
            <w:r>
              <w:t xml:space="preserve">Results as</w:t>
            </w:r>
            <w:r>
              <w:t xml:space="preserve"> </w:t>
            </w:r>
            <w:r>
              <w:rPr>
                <w:bCs/>
                <w:b/>
              </w:rPr>
              <w:t xml:space="preserve">values only</w:t>
            </w:r>
            <w:r>
              <w:t xml:space="preserve">: one block of the 25 MTOutputs rows per scenario, under its ID. ID 1 is the baseline; a definition keeps its MTInputs number. Columns: ID, name, code stem, output code, description, unit, time stored, then 2022-2040.</w:t>
            </w:r>
          </w:p>
        </w:tc>
      </w:tr>
      <w:tr>
        <w:tc>
          <w:tcPr/>
          <w:p>
            <w:pPr>
              <w:pStyle w:val="Compact"/>
              <w:jc w:val="left"/>
            </w:pPr>
            <w:r>
              <w:t xml:space="preserve">ScenarioCompare</w:t>
            </w:r>
          </w:p>
        </w:tc>
        <w:tc>
          <w:tcPr/>
          <w:p>
            <w:pPr>
              <w:pStyle w:val="Compact"/>
              <w:jc w:val="left"/>
            </w:pPr>
            <w:r>
              <w:t xml:space="preserve">Key results for</w:t>
            </w:r>
            <w:r>
              <w:t xml:space="preserve"> </w:t>
            </w:r>
            <w:r>
              <w:rPr>
                <w:bCs/>
                <w:b/>
              </w:rPr>
              <w:t xml:space="preserve">one year</w:t>
            </w:r>
            <w:r>
              <w:t xml:space="preserve"> </w:t>
            </w:r>
            <w:r>
              <w:t xml:space="preserve">(C4) of the baseline and up to 8 stored scenarios (IDs in row 6): levels, differences from the baseline, and % differences. Its formulas read StoredResults only.</w:t>
            </w:r>
          </w:p>
        </w:tc>
      </w:tr>
      <w:tr>
        <w:tc>
          <w:tcPr/>
          <w:p>
            <w:pPr>
              <w:pStyle w:val="Compact"/>
              <w:jc w:val="left"/>
            </w:pPr>
            <w:r>
              <w:t xml:space="preserve">VBA module CPATScenarios</w:t>
            </w:r>
          </w:p>
        </w:tc>
        <w:tc>
          <w:tcPr/>
          <w:p>
            <w:pPr>
              <w:pStyle w:val="Compact"/>
              <w:jc w:val="left"/>
            </w:pPr>
            <w:r>
              <w:t xml:space="preserve">The macros below (Alt+F8). The workbook is an .xlsm; the source is also in</w:t>
            </w:r>
            <w:r>
              <w:t xml:space="preserve"> </w:t>
            </w:r>
            <w:r>
              <w:rPr>
                <w:rStyle w:val="VerbatimChar"/>
              </w:rPr>
              <w:t xml:space="preserve">CPATScenarios_v0_1.bas</w:t>
            </w:r>
            <w:r>
              <w:t xml:space="preserve">.</w:t>
            </w:r>
          </w:p>
        </w:tc>
      </w:tr>
    </w:tbl>
    <w:bookmarkEnd w:id="43"/>
    <w:bookmarkStart w:id="44" w:name="shipped-definitions"/>
    <w:p>
      <w:pPr>
        <w:pStyle w:val="Heading3"/>
      </w:pPr>
      <w:r>
        <w:t xml:space="preserve">Shipped definitions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No.</w:t>
            </w:r>
          </w:p>
        </w:tc>
        <w:tc>
          <w:tcPr/>
          <w:p>
            <w:pPr>
              <w:pStyle w:val="Compact"/>
              <w:jc w:val="left"/>
            </w:pPr>
            <w:r>
              <w:t xml:space="preserve">Name</w:t>
            </w:r>
          </w:p>
        </w:tc>
        <w:tc>
          <w:tcPr/>
          <w:p>
            <w:pPr>
              <w:pStyle w:val="Compact"/>
              <w:jc w:val="left"/>
            </w:pPr>
            <w:r>
              <w:t xml:space="preserve">Inputs changed from the template</w:t>
            </w:r>
          </w:p>
        </w:tc>
      </w:tr>
      <w:tr>
        <w:tc>
          <w:tcPr/>
          <w:p>
            <w:pPr>
              <w:pStyle w:val="Compact"/>
              <w:jc w:val="left"/>
            </w:pPr>
            <w:r>
              <w:t xml:space="preserve">3</w:t>
            </w:r>
          </w:p>
        </w:tc>
        <w:tc>
          <w:tcPr/>
          <w:p>
            <w:pPr>
              <w:pStyle w:val="Compact"/>
              <w:jc w:val="left"/>
            </w:pPr>
            <w:r>
              <w:t xml:space="preserve">Carbon price $20/tCO2 from 2027</w:t>
            </w:r>
          </w:p>
        </w:tc>
        <w:tc>
          <w:tcPr/>
          <w:p>
            <w:pPr>
              <w:pStyle w:val="Compact"/>
              <w:jc w:val="left"/>
            </w:pPr>
            <w:r>
              <w:t xml:space="preserve">The live scenario’s settings</w:t>
            </w:r>
          </w:p>
        </w:tc>
      </w:tr>
      <w:tr>
        <w:tc>
          <w:tcPr/>
          <w:p>
            <w:pPr>
              <w:pStyle w:val="Compact"/>
              <w:jc w:val="left"/>
            </w:pPr>
            <w:r>
              <w:t xml:space="preserve">4</w:t>
            </w:r>
          </w:p>
        </w:tc>
        <w:tc>
          <w:tcPr/>
          <w:p>
            <w:pPr>
              <w:pStyle w:val="Compact"/>
              <w:jc w:val="left"/>
            </w:pPr>
            <w:r>
              <w:t xml:space="preserve">Package A: carbon tax to $50 by 2030 + feebates (transport, industry)</w:t>
            </w:r>
          </w:p>
        </w:tc>
        <w:tc>
          <w:tcPr/>
          <w:p>
            <w:pPr>
              <w:pStyle w:val="Compact"/>
              <w:jc w:val="left"/>
            </w:pPr>
            <w:r>
              <w:t xml:space="preserve">Carbon tax $10 (2027) to $50 (2030). Feebates 2027-2030: transport $10 → $50, industry $5 → $25. Feebate coverage adds road, mining &amp; chemicals, and iron &amp; steel</w:t>
            </w:r>
          </w:p>
        </w:tc>
      </w:tr>
      <w:tr>
        <w:tc>
          <w:tcPr/>
          <w:p>
            <w:pPr>
              <w:pStyle w:val="Compact"/>
              <w:jc w:val="left"/>
            </w:pPr>
            <w:r>
              <w:t xml:space="preserve">5</w:t>
            </w:r>
          </w:p>
        </w:tc>
        <w:tc>
          <w:tcPr/>
          <w:p>
            <w:pPr>
              <w:pStyle w:val="Compact"/>
              <w:jc w:val="left"/>
            </w:pPr>
            <w:r>
              <w:t xml:space="preserve">Package B: ETS on power and industry + carbon tax $25 elsewhere</w:t>
            </w:r>
          </w:p>
        </w:tc>
        <w:tc>
          <w:tcPr/>
          <w:p>
            <w:pPr>
              <w:pStyle w:val="Compact"/>
              <w:jc w:val="left"/>
            </w:pPr>
            <w:r>
              <w:t xml:space="preserve">Carbon tax $25 from 2027. New ETS from 2027: cap −5% (2027) to −20% (2035) of baseline covered emissions, constant afterwards. Template ETS coverage (power, mining &amp; chemicals, iron &amp; steel, non-ferrous metals, cement), default benchmarks and volatility</w:t>
            </w:r>
          </w:p>
        </w:tc>
      </w:tr>
    </w:tbl>
    <w:p>
      <w:pPr>
        <w:pStyle w:val="BodyText"/>
      </w:pPr>
      <w:r>
        <w:t xml:space="preserve">Paths continue after their target year as set in the model: the carbon price follows its MTInputs switch, and feebates continue linearly.</w:t>
      </w:r>
    </w:p>
    <w:bookmarkEnd w:id="44"/>
    <w:bookmarkStart w:id="45" w:name="macros"/>
    <w:p>
      <w:pPr>
        <w:pStyle w:val="Heading3"/>
      </w:pPr>
      <w:r>
        <w:t xml:space="preserve">Macros</w:t>
      </w:r>
    </w:p>
    <w:p>
      <w:pPr>
        <w:numPr>
          <w:ilvl w:val="0"/>
          <w:numId w:val="1014"/>
        </w:numPr>
        <w:pStyle w:val="Compact"/>
      </w:pPr>
      <w:r>
        <w:rPr>
          <w:bCs/>
          <w:b/>
        </w:rPr>
        <w:t xml:space="preserve">RunAllScenarios</w:t>
      </w:r>
    </w:p>
    <w:p>
      <w:pPr>
        <w:numPr>
          <w:ilvl w:val="1"/>
          <w:numId w:val="1015"/>
        </w:numPr>
        <w:pStyle w:val="Compact"/>
      </w:pPr>
      <w:r>
        <w:t xml:space="preserve">Stores the baseline under ID 1, but only if no baseline is stored yet.</w:t>
      </w:r>
    </w:p>
    <w:p>
      <w:pPr>
        <w:numPr>
          <w:ilvl w:val="1"/>
          <w:numId w:val="1015"/>
        </w:numPr>
        <w:pStyle w:val="Compact"/>
      </w:pPr>
      <w:r>
        <w:t xml:space="preserve">For every definition with Run? = Yes:</w:t>
      </w:r>
    </w:p>
    <w:p>
      <w:pPr>
        <w:numPr>
          <w:ilvl w:val="2"/>
          <w:numId w:val="1016"/>
        </w:numPr>
        <w:pStyle w:val="Compact"/>
      </w:pPr>
      <w:r>
        <w:t xml:space="preserve">copies its rows 8-415 into column K, except the formula rows 10 and 12, and copies its name;</w:t>
      </w:r>
    </w:p>
    <w:p>
      <w:pPr>
        <w:numPr>
          <w:ilvl w:val="2"/>
          <w:numId w:val="1016"/>
        </w:numPr>
        <w:pStyle w:val="Compact"/>
      </w:pPr>
      <w:r>
        <w:t xml:space="preserve">clears the ETS override row of group 2 and recalculates;</w:t>
      </w:r>
    </w:p>
    <w:p>
      <w:pPr>
        <w:numPr>
          <w:ilvl w:val="2"/>
          <w:numId w:val="1016"/>
        </w:numPr>
        <w:pStyle w:val="Compact"/>
      </w:pPr>
      <w:r>
        <w:t xml:space="preserve">runs the ETS goal seek if the definition applies a new ETS and does not set</w:t>
      </w:r>
      <w:r>
        <w:t xml:space="preserve"> </w:t>
      </w:r>
      <w:r>
        <w:t xml:space="preserve">“</w:t>
      </w:r>
      <w:r>
        <w:t xml:space="preserve">Override ETS price</w:t>
      </w:r>
      <w:r>
        <w:t xml:space="preserve">”</w:t>
      </w:r>
      <w:r>
        <w:t xml:space="preserve"> </w:t>
      </w:r>
      <w:r>
        <w:t xml:space="preserve">= Yes;</w:t>
      </w:r>
    </w:p>
    <w:p>
      <w:pPr>
        <w:numPr>
          <w:ilvl w:val="2"/>
          <w:numId w:val="1016"/>
        </w:numPr>
        <w:pStyle w:val="Compact"/>
      </w:pPr>
      <w:r>
        <w:t xml:space="preserve">stores the MTOutputs block of scenario 2 as values, under the definition’s number and name. An existing block with that ID is overwritten.</w:t>
      </w:r>
    </w:p>
    <w:p>
      <w:pPr>
        <w:numPr>
          <w:ilvl w:val="1"/>
          <w:numId w:val="1015"/>
        </w:numPr>
        <w:pStyle w:val="Compact"/>
      </w:pPr>
      <w:r>
        <w:t xml:space="preserve">Restores column K and the override row, and recalculates.</w:t>
      </w:r>
    </w:p>
    <w:p>
      <w:pPr>
        <w:numPr>
          <w:ilvl w:val="0"/>
          <w:numId w:val="1014"/>
        </w:numPr>
        <w:pStyle w:val="Compact"/>
      </w:pPr>
      <w:r>
        <w:rPr>
          <w:bCs/>
          <w:b/>
        </w:rPr>
        <w:t xml:space="preserve">StoreBaseline:</w:t>
      </w:r>
      <w:r>
        <w:t xml:space="preserve"> </w:t>
      </w:r>
      <w:r>
        <w:t xml:space="preserve">replaces the stored baseline with the current scenario 1 results, after a confirmation.</w:t>
      </w:r>
    </w:p>
    <w:p>
      <w:pPr>
        <w:numPr>
          <w:ilvl w:val="0"/>
          <w:numId w:val="1014"/>
        </w:numPr>
        <w:pStyle w:val="Compact"/>
      </w:pPr>
      <w:r>
        <w:rPr>
          <w:bCs/>
          <w:b/>
        </w:rPr>
        <w:t xml:space="preserve">StoreLiveScenario:</w:t>
      </w:r>
      <w:r>
        <w:t xml:space="preserve"> </w:t>
      </w:r>
      <w:r>
        <w:t xml:space="preserve">stores the live scenario 2 as it stands, under an ID you choose (the default is the next free ID from 100).</w:t>
      </w:r>
    </w:p>
    <w:p>
      <w:pPr>
        <w:numPr>
          <w:ilvl w:val="0"/>
          <w:numId w:val="1014"/>
        </w:numPr>
        <w:pStyle w:val="Compact"/>
      </w:pPr>
      <w:r>
        <w:rPr>
          <w:bCs/>
          <w:b/>
        </w:rPr>
        <w:t xml:space="preserve">SolveETSLive:</w:t>
      </w:r>
      <w:r>
        <w:t xml:space="preserve"> </w:t>
      </w:r>
      <w:r>
        <w:t xml:space="preserve">ETS goal seek for the live scenario only. It fills the override row</w:t>
      </w:r>
      <w:r>
        <w:t xml:space="preserve"> </w:t>
      </w:r>
      <w:r>
        <w:rPr>
          <w:rStyle w:val="VerbatimChar"/>
        </w:rPr>
        <w:t xml:space="preserve">ets.ovr</w:t>
      </w:r>
      <w:r>
        <w:t xml:space="preserve"> </w:t>
      </w:r>
      <w:r>
        <w:t xml:space="preserve">and sets the override switch in column K.</w:t>
      </w:r>
    </w:p>
    <w:p>
      <w:pPr>
        <w:numPr>
          <w:ilvl w:val="0"/>
          <w:numId w:val="1014"/>
        </w:numPr>
        <w:pStyle w:val="Compact"/>
      </w:pPr>
      <w:r>
        <w:rPr>
          <w:bCs/>
          <w:b/>
        </w:rPr>
        <w:t xml:space="preserve">ClearStoredScenarios:</w:t>
      </w:r>
      <w:r>
        <w:t xml:space="preserve"> </w:t>
      </w:r>
      <w:r>
        <w:t xml:space="preserve">deletes every stored scenario except the baseline.</w:t>
      </w:r>
    </w:p>
    <w:p>
      <w:pPr>
        <w:pStyle w:val="FirstParagraph"/>
      </w:pPr>
      <w:r>
        <w:t xml:space="preserve">The ETS goal seek is legacy’s damped log-space iteration, as in</w:t>
      </w:r>
      <w:r>
        <w:t xml:space="preserve"> </w:t>
      </w:r>
      <w:r>
        <w:rPr>
          <w:rStyle w:val="VerbatimChar"/>
        </w:rPr>
        <w:t xml:space="preserve">ets_goalseek_v0_2.py</w:t>
      </w:r>
      <w:r>
        <w:t xml:space="preserve">:</w:t>
      </w:r>
      <w:r>
        <w:t xml:space="preserve"> </w:t>
      </w:r>
      <w:r>
        <w:t xml:space="preserve">- It starts from the override row, or from the fast estimate if the row is empty.</w:t>
      </w:r>
      <w:r>
        <w:t xml:space="preserve"> </w:t>
      </w:r>
      <w:r>
        <w:t xml:space="preserve">- Each step is p × (</w:t>
      </w:r>
      <w:r>
        <w:rPr>
          <w:rStyle w:val="VerbatimChar"/>
        </w:rPr>
        <w:t xml:space="preserve">ets.next</w:t>
      </w:r>
      <w:r>
        <w:t xml:space="preserve"> </w:t>
      </w:r>
      <w:r>
        <w:t xml:space="preserve">/ p) ^ alpha, mixed 0.3 with the previous iterate, with 5% smoothing.</w:t>
      </w:r>
      <w:r>
        <w:t xml:space="preserve"> </w:t>
      </w:r>
      <w:r>
        <w:t xml:space="preserve">- Alpha adapts: it halves when the error grows (minimum 0.0625) and rises ×1.2 when the error more than halves (maximum 1).</w:t>
      </w:r>
      <w:r>
        <w:t xml:space="preserve"> </w:t>
      </w:r>
      <w:r>
        <w:t xml:space="preserve">- It stops when the worst |covered / cap − 1| is below 0.5%, or after 20 iterations.</w:t>
      </w:r>
    </w:p>
    <w:bookmarkEnd w:id="45"/>
    <w:bookmarkStart w:id="46" w:name="comparing-scenarios"/>
    <w:p>
      <w:pPr>
        <w:pStyle w:val="Heading3"/>
      </w:pPr>
      <w:r>
        <w:t xml:space="preserve">Comparing scenarios</w:t>
      </w:r>
    </w:p>
    <w:p>
      <w:pPr>
        <w:numPr>
          <w:ilvl w:val="0"/>
          <w:numId w:val="1017"/>
        </w:numPr>
        <w:pStyle w:val="Compact"/>
      </w:pPr>
      <w:r>
        <w:t xml:space="preserve">Choose the year in ScenarioCompare C4 and the scenario IDs in row 6.</w:t>
      </w:r>
    </w:p>
    <w:p>
      <w:pPr>
        <w:numPr>
          <w:ilvl w:val="0"/>
          <w:numId w:val="1017"/>
        </w:numPr>
        <w:pStyle w:val="Compact"/>
      </w:pPr>
      <w:r>
        <w:t xml:space="preserve">Each value is a SUMIFS on StoredResults by ID and code stem, in the column of the chosen year. A blank cell means the ID or stem is not stored.</w:t>
      </w:r>
    </w:p>
    <w:p>
      <w:pPr>
        <w:numPr>
          <w:ilvl w:val="0"/>
          <w:numId w:val="1017"/>
        </w:numPr>
        <w:pStyle w:val="Compact"/>
      </w:pPr>
      <w:r>
        <w:t xml:space="preserve">The change rows that are already relative to scenario 1 (fuel use %, CO2 change, revenue change) are left out; the difference blocks take their place.</w:t>
      </w:r>
    </w:p>
    <w:bookmarkEnd w:id="46"/>
    <w:bookmarkStart w:id="47" w:name="keeping-results"/>
    <w:p>
      <w:pPr>
        <w:pStyle w:val="Heading3"/>
      </w:pPr>
      <w:r>
        <w:t xml:space="preserve">Keeping results</w:t>
      </w:r>
    </w:p>
    <w:p>
      <w:pPr>
        <w:numPr>
          <w:ilvl w:val="0"/>
          <w:numId w:val="1018"/>
        </w:numPr>
        <w:pStyle w:val="Compact"/>
      </w:pPr>
      <w:r>
        <w:t xml:space="preserve">StoredResults holds values only, so results from other files can be pasted in as values under new IDs.</w:t>
      </w:r>
    </w:p>
    <w:p>
      <w:pPr>
        <w:numPr>
          <w:ilvl w:val="0"/>
          <w:numId w:val="1018"/>
        </w:numPr>
        <w:pStyle w:val="Compact"/>
      </w:pPr>
      <w:r>
        <w:t xml:space="preserve">The baseline does not change unless StoreBaseline is run.</w:t>
      </w:r>
    </w:p>
    <w:p>
      <w:pPr>
        <w:numPr>
          <w:ilvl w:val="0"/>
          <w:numId w:val="1018"/>
        </w:numPr>
        <w:pStyle w:val="Compact"/>
      </w:pPr>
      <w:r>
        <w:t xml:space="preserve">ScenarioCompare finds pasted rows as long as the column layout is kept (ID in A, stem in C, years from H).</w:t>
      </w:r>
    </w:p>
    <w:bookmarkEnd w:id="47"/>
    <w:bookmarkStart w:id="48" w:name="limits-1"/>
    <w:p>
      <w:pPr>
        <w:pStyle w:val="Heading3"/>
      </w:pPr>
      <w:r>
        <w:t xml:space="preserve">Limits</w:t>
      </w:r>
    </w:p>
    <w:p>
      <w:pPr>
        <w:numPr>
          <w:ilvl w:val="0"/>
          <w:numId w:val="1019"/>
        </w:numPr>
        <w:pStyle w:val="Compact"/>
      </w:pPr>
      <w:r>
        <w:t xml:space="preserve">The batch run calculates one policy scenario at a time. Mitigation scenario groups 3+ (copied groups) are still possible, but the macros do not use them.</w:t>
      </w:r>
    </w:p>
    <w:p>
      <w:pPr>
        <w:numPr>
          <w:ilvl w:val="0"/>
          <w:numId w:val="1019"/>
        </w:numPr>
        <w:pStyle w:val="Compact"/>
      </w:pPr>
      <w:r>
        <w:t xml:space="preserve">MTOutputs (25 indicators) defines what is stored. To store more, add rows to the MTOutputs blocks first.</w:t>
      </w:r>
    </w:p>
    <w:p>
      <w:pPr>
        <w:numPr>
          <w:ilvl w:val="0"/>
          <w:numId w:val="1019"/>
        </w:numPr>
        <w:pStyle w:val="Compact"/>
      </w:pPr>
      <w:r>
        <w:t xml:space="preserve">The VBA project is written by</w:t>
      </w:r>
      <w:r>
        <w:t xml:space="preserve"> </w:t>
      </w:r>
      <w:r>
        <w:rPr>
          <w:rStyle w:val="VerbatimChar"/>
        </w:rPr>
        <w:t xml:space="preserve">vba_project_v0_1.py</w:t>
      </w:r>
      <w:r>
        <w:t xml:space="preserve"> </w:t>
      </w:r>
      <w:r>
        <w:t xml:space="preserve">without Excel. It is tested in LibreOffice: the module loads and the macro reproduces the Python emulation. If Excel does not accept it, import</w:t>
      </w:r>
      <w:r>
        <w:t xml:space="preserve"> </w:t>
      </w:r>
      <w:r>
        <w:rPr>
          <w:rStyle w:val="VerbatimChar"/>
        </w:rPr>
        <w:t xml:space="preserve">CPATScenarios_v0_1.bas</w:t>
      </w:r>
      <w:r>
        <w:t xml:space="preserve"> </w:t>
      </w:r>
      <w:r>
        <w:t xml:space="preserve">(Alt+F11 &gt; File &gt; Import) and save as .xlsm.</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CPAT-AI-Mitigation-MVP v1.03: documentation</dc:title>
  <dc:creator/>
  <cp:keywords/>
  <dcterms:created xsi:type="dcterms:W3CDTF">2026-10-09T20:32:15Z</dcterms:created>
  <dcterms:modified xsi:type="dcterms:W3CDTF">2026-10-09T20:32:15Z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2026-10-09</vt:lpwstr>
  </property>
  <property fmtid="{D5CDD505-2E9C-101B-9397-08002B2CF9AE}" pid="3" name="subtitle">
    <vt:lpwstr>AI-generated, copy-pasteable replacement of the CPAT mitigation module (Egypt data)</vt:lpwstr>
  </property>
</Properties>
</file>