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Egypt Table 2 (2030): CPAT results with a CBAM carve-out, v0.2</w:t>
      </w:r>
    </w:p>
    <w:p>
      <w:r>
        <w:rPr>
          <w:b/>
        </w:rPr>
        <w:t>What this is.</w:t>
      </w:r>
      <w:r>
        <w:t xml:space="preserve"> The original CPAT runs give every result, except the CBAM block (steel, cement, fertilisers, aluminium). For the block, CPAT's implied change is taken out and replaced by: CPAT's own fuel-intensity response (fuel per tonne), the kernel's CBAM output response and, where process emissions are charged, the kernel's process abatement. Each effect is counted once. 3A–3C use CPAT run EG3 exactly as run (no scaling to full industry coverage). Carbon price USD 20/t in 2030 in every bundle.</w:t>
      </w:r>
    </w:p>
    <w:p>
      <w:pPr>
        <w:pStyle w:val="Heading2"/>
      </w:pPr>
      <w:r>
        <w:t>Table 2 columns</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pPr>
              <w:spacing w:after="0"/>
            </w:pPr>
            <w:r>
              <w:rPr>
                <w:b/>
              </w:rPr>
            </w:r>
          </w:p>
        </w:tc>
        <w:tc>
          <w:tcPr>
            <w:tcW w:type="dxa" w:w="1440"/>
          </w:tcPr>
          <w:p>
            <w:pPr>
              <w:spacing w:after="0"/>
            </w:pPr>
            <w:r>
              <w:rPr>
                <w:b/>
              </w:rPr>
            </w:r>
            <w:r>
              <w:rPr>
                <w:b/>
                <w:sz w:val="16"/>
              </w:rPr>
              <w:t>1A</w:t>
            </w:r>
          </w:p>
        </w:tc>
        <w:tc>
          <w:tcPr>
            <w:tcW w:type="dxa" w:w="1440"/>
          </w:tcPr>
          <w:p>
            <w:pPr>
              <w:spacing w:after="0"/>
            </w:pPr>
            <w:r>
              <w:rPr>
                <w:b/>
              </w:rPr>
            </w:r>
            <w:r>
              <w:rPr>
                <w:b/>
                <w:sz w:val="16"/>
              </w:rPr>
              <w:t>2A</w:t>
            </w:r>
          </w:p>
        </w:tc>
        <w:tc>
          <w:tcPr>
            <w:tcW w:type="dxa" w:w="1440"/>
          </w:tcPr>
          <w:p>
            <w:pPr>
              <w:spacing w:after="0"/>
            </w:pPr>
            <w:r>
              <w:rPr>
                <w:b/>
              </w:rPr>
            </w:r>
            <w:r>
              <w:rPr>
                <w:b/>
                <w:sz w:val="16"/>
              </w:rPr>
              <w:t>2B</w:t>
            </w:r>
          </w:p>
        </w:tc>
        <w:tc>
          <w:tcPr>
            <w:tcW w:type="dxa" w:w="1440"/>
          </w:tcPr>
          <w:p>
            <w:pPr>
              <w:spacing w:after="0"/>
            </w:pPr>
            <w:r>
              <w:rPr>
                <w:b/>
              </w:rPr>
            </w:r>
            <w:r>
              <w:rPr>
                <w:b/>
                <w:sz w:val="16"/>
              </w:rPr>
              <w:t>3A</w:t>
            </w:r>
          </w:p>
        </w:tc>
        <w:tc>
          <w:tcPr>
            <w:tcW w:type="dxa" w:w="1440"/>
          </w:tcPr>
          <w:p>
            <w:pPr>
              <w:spacing w:after="0"/>
            </w:pPr>
            <w:r>
              <w:rPr>
                <w:b/>
              </w:rPr>
            </w:r>
            <w:r>
              <w:rPr>
                <w:b/>
                <w:sz w:val="16"/>
              </w:rPr>
              <w:t>3B</w:t>
            </w:r>
          </w:p>
        </w:tc>
        <w:tc>
          <w:tcPr>
            <w:tcW w:type="dxa" w:w="1440"/>
          </w:tcPr>
          <w:p>
            <w:pPr>
              <w:spacing w:after="0"/>
            </w:pPr>
            <w:r>
              <w:rPr>
                <w:b/>
              </w:rPr>
            </w:r>
            <w:r>
              <w:rPr>
                <w:b/>
                <w:sz w:val="16"/>
              </w:rPr>
              <w:t>3C</w:t>
            </w:r>
          </w:p>
        </w:tc>
      </w:tr>
      <w:tr>
        <w:tc>
          <w:tcPr>
            <w:tcW w:type="dxa" w:w="1440"/>
          </w:tcPr>
          <w:p>
            <w:pPr>
              <w:spacing w:after="0"/>
            </w:pPr>
            <w:r/>
            <w:r>
              <w:rPr>
                <w:sz w:val="16"/>
              </w:rPr>
              <w:t>Coverage, % of GHG (J)</w:t>
            </w:r>
          </w:p>
        </w:tc>
        <w:tc>
          <w:tcPr>
            <w:tcW w:type="dxa" w:w="1440"/>
          </w:tcPr>
          <w:p>
            <w:pPr>
              <w:spacing w:after="0"/>
            </w:pPr>
            <w:r/>
            <w:r>
              <w:rPr>
                <w:sz w:val="16"/>
              </w:rPr>
              <w:t>63</w:t>
            </w:r>
          </w:p>
        </w:tc>
        <w:tc>
          <w:tcPr>
            <w:tcW w:type="dxa" w:w="1440"/>
          </w:tcPr>
          <w:p>
            <w:pPr>
              <w:spacing w:after="0"/>
            </w:pPr>
            <w:r/>
            <w:r>
              <w:rPr>
                <w:sz w:val="16"/>
              </w:rPr>
              <w:t>57</w:t>
            </w:r>
          </w:p>
        </w:tc>
        <w:tc>
          <w:tcPr>
            <w:tcW w:type="dxa" w:w="1440"/>
          </w:tcPr>
          <w:p>
            <w:pPr>
              <w:spacing w:after="0"/>
            </w:pPr>
            <w:r/>
            <w:r>
              <w:rPr>
                <w:sz w:val="16"/>
              </w:rPr>
              <w:t>57</w:t>
            </w:r>
          </w:p>
        </w:tc>
        <w:tc>
          <w:tcPr>
            <w:tcW w:type="dxa" w:w="1440"/>
          </w:tcPr>
          <w:p>
            <w:pPr>
              <w:spacing w:after="0"/>
            </w:pPr>
            <w:r/>
            <w:r>
              <w:rPr>
                <w:sz w:val="16"/>
              </w:rPr>
              <w:t>14</w:t>
            </w:r>
          </w:p>
        </w:tc>
        <w:tc>
          <w:tcPr>
            <w:tcW w:type="dxa" w:w="1440"/>
          </w:tcPr>
          <w:p>
            <w:pPr>
              <w:spacing w:after="0"/>
            </w:pPr>
            <w:r/>
            <w:r>
              <w:rPr>
                <w:sz w:val="16"/>
              </w:rPr>
              <w:t>14</w:t>
            </w:r>
          </w:p>
        </w:tc>
        <w:tc>
          <w:tcPr>
            <w:tcW w:type="dxa" w:w="1440"/>
          </w:tcPr>
          <w:p>
            <w:pPr>
              <w:spacing w:after="0"/>
            </w:pPr>
            <w:r/>
            <w:r>
              <w:rPr>
                <w:sz w:val="16"/>
              </w:rPr>
              <w:t>14</w:t>
            </w:r>
          </w:p>
        </w:tc>
      </w:tr>
      <w:tr>
        <w:tc>
          <w:tcPr>
            <w:tcW w:type="dxa" w:w="1440"/>
          </w:tcPr>
          <w:p>
            <w:pPr>
              <w:spacing w:after="0"/>
            </w:pPr>
            <w:r/>
            <w:r>
              <w:rPr>
                <w:sz w:val="16"/>
              </w:rPr>
              <w:t>Revenue, $bn (P)</w:t>
            </w:r>
          </w:p>
        </w:tc>
        <w:tc>
          <w:tcPr>
            <w:tcW w:type="dxa" w:w="1440"/>
          </w:tcPr>
          <w:p>
            <w:pPr>
              <w:spacing w:after="0"/>
            </w:pPr>
            <w:r/>
            <w:r>
              <w:rPr>
                <w:sz w:val="16"/>
              </w:rPr>
              <w:t>6.9</w:t>
            </w:r>
          </w:p>
        </w:tc>
        <w:tc>
          <w:tcPr>
            <w:tcW w:type="dxa" w:w="1440"/>
          </w:tcPr>
          <w:p>
            <w:pPr>
              <w:spacing w:after="0"/>
            </w:pPr>
            <w:r/>
            <w:r>
              <w:rPr>
                <w:sz w:val="16"/>
              </w:rPr>
              <w:t>6.3</w:t>
            </w:r>
          </w:p>
        </w:tc>
        <w:tc>
          <w:tcPr>
            <w:tcW w:type="dxa" w:w="1440"/>
          </w:tcPr>
          <w:p>
            <w:pPr>
              <w:spacing w:after="0"/>
            </w:pPr>
            <w:r/>
            <w:r>
              <w:rPr>
                <w:sz w:val="16"/>
              </w:rPr>
              <w:t>6.2</w:t>
            </w:r>
          </w:p>
        </w:tc>
        <w:tc>
          <w:tcPr>
            <w:tcW w:type="dxa" w:w="1440"/>
          </w:tcPr>
          <w:p>
            <w:pPr>
              <w:spacing w:after="0"/>
            </w:pPr>
            <w:r/>
            <w:r>
              <w:rPr>
                <w:sz w:val="16"/>
              </w:rPr>
              <w:t>1.5</w:t>
            </w:r>
          </w:p>
        </w:tc>
        <w:tc>
          <w:tcPr>
            <w:tcW w:type="dxa" w:w="1440"/>
          </w:tcPr>
          <w:p>
            <w:pPr>
              <w:spacing w:after="0"/>
            </w:pPr>
            <w:r/>
            <w:r>
              <w:rPr>
                <w:sz w:val="16"/>
              </w:rPr>
              <w:t>0.6</w:t>
            </w:r>
          </w:p>
        </w:tc>
        <w:tc>
          <w:tcPr>
            <w:tcW w:type="dxa" w:w="1440"/>
          </w:tcPr>
          <w:p>
            <w:pPr>
              <w:spacing w:after="0"/>
            </w:pPr>
            <w:r/>
            <w:r>
              <w:rPr>
                <w:sz w:val="16"/>
              </w:rPr>
              <w:t>0.4</w:t>
            </w:r>
          </w:p>
        </w:tc>
      </w:tr>
      <w:tr>
        <w:tc>
          <w:tcPr>
            <w:tcW w:type="dxa" w:w="1440"/>
          </w:tcPr>
          <w:p>
            <w:pPr>
              <w:spacing w:after="0"/>
            </w:pPr>
            <w:r/>
            <w:r>
              <w:rPr>
                <w:sz w:val="16"/>
              </w:rPr>
              <w:t>Emission cut, MtCO₂e (K)</w:t>
            </w:r>
          </w:p>
        </w:tc>
        <w:tc>
          <w:tcPr>
            <w:tcW w:type="dxa" w:w="1440"/>
          </w:tcPr>
          <w:p>
            <w:pPr>
              <w:spacing w:after="0"/>
            </w:pPr>
            <w:r/>
            <w:r>
              <w:rPr>
                <w:sz w:val="16"/>
              </w:rPr>
              <w:t>−37.4</w:t>
            </w:r>
          </w:p>
        </w:tc>
        <w:tc>
          <w:tcPr>
            <w:tcW w:type="dxa" w:w="1440"/>
          </w:tcPr>
          <w:p>
            <w:pPr>
              <w:spacing w:after="0"/>
            </w:pPr>
            <w:r/>
            <w:r>
              <w:rPr>
                <w:sz w:val="16"/>
              </w:rPr>
              <w:t>−33.1</w:t>
            </w:r>
          </w:p>
        </w:tc>
        <w:tc>
          <w:tcPr>
            <w:tcW w:type="dxa" w:w="1440"/>
          </w:tcPr>
          <w:p>
            <w:pPr>
              <w:spacing w:after="0"/>
            </w:pPr>
            <w:r/>
            <w:r>
              <w:rPr>
                <w:sz w:val="16"/>
              </w:rPr>
              <w:t>−34.8</w:t>
            </w:r>
          </w:p>
        </w:tc>
        <w:tc>
          <w:tcPr>
            <w:tcW w:type="dxa" w:w="1440"/>
          </w:tcPr>
          <w:p>
            <w:pPr>
              <w:spacing w:after="0"/>
            </w:pPr>
            <w:r/>
            <w:r>
              <w:rPr>
                <w:sz w:val="16"/>
              </w:rPr>
              <w:t>−22.8</w:t>
            </w:r>
          </w:p>
        </w:tc>
        <w:tc>
          <w:tcPr>
            <w:tcW w:type="dxa" w:w="1440"/>
          </w:tcPr>
          <w:p>
            <w:pPr>
              <w:spacing w:after="0"/>
            </w:pPr>
            <w:r/>
            <w:r>
              <w:rPr>
                <w:sz w:val="16"/>
              </w:rPr>
              <w:t>−19.1</w:t>
            </w:r>
          </w:p>
        </w:tc>
        <w:tc>
          <w:tcPr>
            <w:tcW w:type="dxa" w:w="1440"/>
          </w:tcPr>
          <w:p>
            <w:pPr>
              <w:spacing w:after="0"/>
            </w:pPr>
            <w:r/>
            <w:r>
              <w:rPr>
                <w:sz w:val="16"/>
              </w:rPr>
              <w:t>−33.0</w:t>
            </w:r>
          </w:p>
        </w:tc>
      </w:tr>
      <w:tr>
        <w:tc>
          <w:tcPr>
            <w:tcW w:type="dxa" w:w="1440"/>
          </w:tcPr>
          <w:p>
            <w:pPr>
              <w:spacing w:after="0"/>
            </w:pPr>
            <w:r/>
            <w:r>
              <w:rPr>
                <w:sz w:val="16"/>
              </w:rPr>
              <w:t>Cut, % of GHG</w:t>
            </w:r>
          </w:p>
        </w:tc>
        <w:tc>
          <w:tcPr>
            <w:tcW w:type="dxa" w:w="1440"/>
          </w:tcPr>
          <w:p>
            <w:pPr>
              <w:spacing w:after="0"/>
            </w:pPr>
            <w:r/>
            <w:r>
              <w:rPr>
                <w:sz w:val="16"/>
              </w:rPr>
              <w:t>−6.3</w:t>
            </w:r>
          </w:p>
        </w:tc>
        <w:tc>
          <w:tcPr>
            <w:tcW w:type="dxa" w:w="1440"/>
          </w:tcPr>
          <w:p>
            <w:pPr>
              <w:spacing w:after="0"/>
            </w:pPr>
            <w:r/>
            <w:r>
              <w:rPr>
                <w:sz w:val="16"/>
              </w:rPr>
              <w:t>−5.6</w:t>
            </w:r>
          </w:p>
        </w:tc>
        <w:tc>
          <w:tcPr>
            <w:tcW w:type="dxa" w:w="1440"/>
          </w:tcPr>
          <w:p>
            <w:pPr>
              <w:spacing w:after="0"/>
            </w:pPr>
            <w:r/>
            <w:r>
              <w:rPr>
                <w:sz w:val="16"/>
              </w:rPr>
              <w:t>−5.9</w:t>
            </w:r>
          </w:p>
        </w:tc>
        <w:tc>
          <w:tcPr>
            <w:tcW w:type="dxa" w:w="1440"/>
          </w:tcPr>
          <w:p>
            <w:pPr>
              <w:spacing w:after="0"/>
            </w:pPr>
            <w:r/>
            <w:r>
              <w:rPr>
                <w:sz w:val="16"/>
              </w:rPr>
              <w:t>−3.8</w:t>
            </w:r>
          </w:p>
        </w:tc>
        <w:tc>
          <w:tcPr>
            <w:tcW w:type="dxa" w:w="1440"/>
          </w:tcPr>
          <w:p>
            <w:pPr>
              <w:spacing w:after="0"/>
            </w:pPr>
            <w:r/>
            <w:r>
              <w:rPr>
                <w:sz w:val="16"/>
              </w:rPr>
              <w:t>−3.2</w:t>
            </w:r>
          </w:p>
        </w:tc>
        <w:tc>
          <w:tcPr>
            <w:tcW w:type="dxa" w:w="1440"/>
          </w:tcPr>
          <w:p>
            <w:pPr>
              <w:spacing w:after="0"/>
            </w:pPr>
            <w:r/>
            <w:r>
              <w:rPr>
                <w:sz w:val="16"/>
              </w:rPr>
              <w:t>−5.6</w:t>
            </w:r>
          </w:p>
        </w:tc>
      </w:tr>
      <w:tr>
        <w:tc>
          <w:tcPr>
            <w:tcW w:type="dxa" w:w="1440"/>
          </w:tcPr>
          <w:p>
            <w:pPr>
              <w:spacing w:after="0"/>
            </w:pPr>
            <w:r/>
            <w:r>
              <w:rPr>
                <w:sz w:val="16"/>
              </w:rPr>
              <w:t>CBAM coverage, % (M)</w:t>
            </w:r>
          </w:p>
        </w:tc>
        <w:tc>
          <w:tcPr>
            <w:tcW w:type="dxa" w:w="1440"/>
          </w:tcPr>
          <w:p>
            <w:pPr>
              <w:spacing w:after="0"/>
            </w:pPr>
            <w:r/>
            <w:r>
              <w:rPr>
                <w:sz w:val="16"/>
              </w:rPr>
              <w:t>100</w:t>
            </w:r>
          </w:p>
        </w:tc>
        <w:tc>
          <w:tcPr>
            <w:tcW w:type="dxa" w:w="1440"/>
          </w:tcPr>
          <w:p>
            <w:pPr>
              <w:spacing w:after="0"/>
            </w:pPr>
            <w:r/>
            <w:r>
              <w:rPr>
                <w:sz w:val="16"/>
              </w:rPr>
              <w:t>44</w:t>
            </w:r>
          </w:p>
        </w:tc>
        <w:tc>
          <w:tcPr>
            <w:tcW w:type="dxa" w:w="1440"/>
          </w:tcPr>
          <w:p>
            <w:pPr>
              <w:spacing w:after="0"/>
            </w:pPr>
            <w:r/>
            <w:r>
              <w:rPr>
                <w:sz w:val="16"/>
              </w:rPr>
              <w:t>44</w:t>
            </w:r>
          </w:p>
        </w:tc>
        <w:tc>
          <w:tcPr>
            <w:tcW w:type="dxa" w:w="1440"/>
          </w:tcPr>
          <w:p>
            <w:pPr>
              <w:spacing w:after="0"/>
            </w:pPr>
            <w:r/>
            <w:r>
              <w:rPr>
                <w:sz w:val="16"/>
              </w:rPr>
              <w:t>100</w:t>
            </w:r>
          </w:p>
        </w:tc>
        <w:tc>
          <w:tcPr>
            <w:tcW w:type="dxa" w:w="1440"/>
          </w:tcPr>
          <w:p>
            <w:pPr>
              <w:spacing w:after="0"/>
            </w:pPr>
            <w:r/>
            <w:r>
              <w:rPr>
                <w:sz w:val="16"/>
              </w:rPr>
              <w:t>100</w:t>
            </w:r>
          </w:p>
        </w:tc>
        <w:tc>
          <w:tcPr>
            <w:tcW w:type="dxa" w:w="1440"/>
          </w:tcPr>
          <w:p>
            <w:pPr>
              <w:spacing w:after="0"/>
            </w:pPr>
            <w:r/>
            <w:r>
              <w:rPr>
                <w:sz w:val="16"/>
              </w:rPr>
              <w:t>100</w:t>
            </w:r>
          </w:p>
        </w:tc>
      </w:tr>
      <w:tr>
        <w:tc>
          <w:tcPr>
            <w:tcW w:type="dxa" w:w="1440"/>
          </w:tcPr>
          <w:p>
            <w:pPr>
              <w:spacing w:after="0"/>
            </w:pPr>
            <w:r/>
            <w:r>
              <w:rPr>
                <w:sz w:val="16"/>
              </w:rPr>
              <w:t>CBAM intensity, % (N)</w:t>
            </w:r>
          </w:p>
        </w:tc>
        <w:tc>
          <w:tcPr>
            <w:tcW w:type="dxa" w:w="1440"/>
          </w:tcPr>
          <w:p>
            <w:pPr>
              <w:spacing w:after="0"/>
            </w:pPr>
            <w:r/>
            <w:r>
              <w:rPr>
                <w:sz w:val="16"/>
              </w:rPr>
              <w:t>−5.8</w:t>
            </w:r>
          </w:p>
        </w:tc>
        <w:tc>
          <w:tcPr>
            <w:tcW w:type="dxa" w:w="1440"/>
          </w:tcPr>
          <w:p>
            <w:pPr>
              <w:spacing w:after="0"/>
            </w:pPr>
            <w:r/>
            <w:r>
              <w:rPr>
                <w:sz w:val="16"/>
              </w:rPr>
              <w:t>−2.1</w:t>
            </w:r>
          </w:p>
        </w:tc>
        <w:tc>
          <w:tcPr>
            <w:tcW w:type="dxa" w:w="1440"/>
          </w:tcPr>
          <w:p>
            <w:pPr>
              <w:spacing w:after="0"/>
            </w:pPr>
            <w:r/>
            <w:r>
              <w:rPr>
                <w:sz w:val="16"/>
              </w:rPr>
              <w:t>−2.3</w:t>
            </w:r>
          </w:p>
        </w:tc>
        <w:tc>
          <w:tcPr>
            <w:tcW w:type="dxa" w:w="1440"/>
          </w:tcPr>
          <w:p>
            <w:pPr>
              <w:spacing w:after="0"/>
            </w:pPr>
            <w:r/>
            <w:r>
              <w:rPr>
                <w:sz w:val="16"/>
              </w:rPr>
              <w:t>−5.8</w:t>
            </w:r>
          </w:p>
        </w:tc>
        <w:tc>
          <w:tcPr>
            <w:tcW w:type="dxa" w:w="1440"/>
          </w:tcPr>
          <w:p>
            <w:pPr>
              <w:spacing w:after="0"/>
            </w:pPr>
            <w:r/>
            <w:r>
              <w:rPr>
                <w:sz w:val="16"/>
              </w:rPr>
              <w:t>−5.8</w:t>
            </w:r>
          </w:p>
        </w:tc>
        <w:tc>
          <w:tcPr>
            <w:tcW w:type="dxa" w:w="1440"/>
          </w:tcPr>
          <w:p>
            <w:pPr>
              <w:spacing w:after="0"/>
            </w:pPr>
            <w:r/>
            <w:r>
              <w:rPr>
                <w:sz w:val="16"/>
              </w:rPr>
              <w:t>−23.1</w:t>
            </w:r>
          </w:p>
        </w:tc>
      </w:tr>
      <w:tr>
        <w:tc>
          <w:tcPr>
            <w:tcW w:type="dxa" w:w="1440"/>
          </w:tcPr>
          <w:p>
            <w:pPr>
              <w:spacing w:after="0"/>
            </w:pPr>
            <w:r/>
            <w:r>
              <w:rPr>
                <w:sz w:val="16"/>
              </w:rPr>
              <w:t>CBAM obligations per unit, % (O, NOPHASE)</w:t>
            </w:r>
          </w:p>
        </w:tc>
        <w:tc>
          <w:tcPr>
            <w:tcW w:type="dxa" w:w="1440"/>
          </w:tcPr>
          <w:p>
            <w:pPr>
              <w:spacing w:after="0"/>
            </w:pPr>
            <w:r/>
            <w:r>
              <w:rPr>
                <w:sz w:val="16"/>
              </w:rPr>
              <w:t>−24.0</w:t>
            </w:r>
          </w:p>
        </w:tc>
        <w:tc>
          <w:tcPr>
            <w:tcW w:type="dxa" w:w="1440"/>
          </w:tcPr>
          <w:p>
            <w:pPr>
              <w:spacing w:after="0"/>
            </w:pPr>
            <w:r/>
            <w:r>
              <w:rPr>
                <w:sz w:val="16"/>
              </w:rPr>
              <w:t>−12.2</w:t>
            </w:r>
          </w:p>
        </w:tc>
        <w:tc>
          <w:tcPr>
            <w:tcW w:type="dxa" w:w="1440"/>
          </w:tcPr>
          <w:p>
            <w:pPr>
              <w:spacing w:after="0"/>
            </w:pPr>
            <w:r/>
            <w:r>
              <w:rPr>
                <w:sz w:val="16"/>
              </w:rPr>
              <w:t>−12.3</w:t>
            </w:r>
          </w:p>
        </w:tc>
        <w:tc>
          <w:tcPr>
            <w:tcW w:type="dxa" w:w="1440"/>
          </w:tcPr>
          <w:p>
            <w:pPr>
              <w:spacing w:after="0"/>
            </w:pPr>
            <w:r/>
            <w:r>
              <w:rPr>
                <w:sz w:val="16"/>
              </w:rPr>
              <w:t>−24.0</w:t>
            </w:r>
          </w:p>
        </w:tc>
        <w:tc>
          <w:tcPr>
            <w:tcW w:type="dxa" w:w="1440"/>
          </w:tcPr>
          <w:p>
            <w:pPr>
              <w:spacing w:after="0"/>
            </w:pPr>
            <w:r/>
            <w:r>
              <w:rPr>
                <w:sz w:val="16"/>
              </w:rPr>
              <w:t>−5.1</w:t>
            </w:r>
          </w:p>
        </w:tc>
        <w:tc>
          <w:tcPr>
            <w:tcW w:type="dxa" w:w="1440"/>
          </w:tcPr>
          <w:p>
            <w:pPr>
              <w:spacing w:after="0"/>
            </w:pPr>
            <w:r/>
            <w:r>
              <w:rPr>
                <w:sz w:val="16"/>
              </w:rPr>
              <w:t>−36.2</w:t>
            </w:r>
          </w:p>
        </w:tc>
      </w:tr>
      <w:tr>
        <w:tc>
          <w:tcPr>
            <w:tcW w:type="dxa" w:w="1440"/>
          </w:tcPr>
          <w:p>
            <w:pPr>
              <w:spacing w:after="0"/>
            </w:pPr>
            <w:r/>
            <w:r>
              <w:rPr>
                <w:sz w:val="16"/>
              </w:rPr>
              <w:t>CBAM block emissions, % (T)</w:t>
            </w:r>
          </w:p>
        </w:tc>
        <w:tc>
          <w:tcPr>
            <w:tcW w:type="dxa" w:w="1440"/>
          </w:tcPr>
          <w:p>
            <w:pPr>
              <w:spacing w:after="0"/>
            </w:pPr>
            <w:r/>
            <w:r>
              <w:rPr>
                <w:sz w:val="16"/>
              </w:rPr>
              <w:t>−11.6</w:t>
            </w:r>
          </w:p>
        </w:tc>
        <w:tc>
          <w:tcPr>
            <w:tcW w:type="dxa" w:w="1440"/>
          </w:tcPr>
          <w:p>
            <w:pPr>
              <w:spacing w:after="0"/>
            </w:pPr>
            <w:r/>
            <w:r>
              <w:rPr>
                <w:sz w:val="16"/>
              </w:rPr>
              <w:t>−4.7</w:t>
            </w:r>
          </w:p>
        </w:tc>
        <w:tc>
          <w:tcPr>
            <w:tcW w:type="dxa" w:w="1440"/>
          </w:tcPr>
          <w:p>
            <w:pPr>
              <w:spacing w:after="0"/>
            </w:pPr>
            <w:r/>
            <w:r>
              <w:rPr>
                <w:sz w:val="16"/>
              </w:rPr>
              <w:t>−4.8</w:t>
            </w:r>
          </w:p>
        </w:tc>
        <w:tc>
          <w:tcPr>
            <w:tcW w:type="dxa" w:w="1440"/>
          </w:tcPr>
          <w:p>
            <w:pPr>
              <w:spacing w:after="0"/>
            </w:pPr>
            <w:r/>
            <w:r>
              <w:rPr>
                <w:sz w:val="16"/>
              </w:rPr>
              <w:t>−11.6</w:t>
            </w:r>
          </w:p>
        </w:tc>
        <w:tc>
          <w:tcPr>
            <w:tcW w:type="dxa" w:w="1440"/>
          </w:tcPr>
          <w:p>
            <w:pPr>
              <w:spacing w:after="0"/>
            </w:pPr>
            <w:r/>
            <w:r>
              <w:rPr>
                <w:sz w:val="16"/>
              </w:rPr>
              <w:t>−5.8</w:t>
            </w:r>
          </w:p>
        </w:tc>
        <w:tc>
          <w:tcPr>
            <w:tcW w:type="dxa" w:w="1440"/>
          </w:tcPr>
          <w:p>
            <w:pPr>
              <w:spacing w:after="0"/>
            </w:pPr>
            <w:r/>
            <w:r>
              <w:rPr>
                <w:sz w:val="16"/>
              </w:rPr>
              <w:t>−27.8</w:t>
            </w:r>
          </w:p>
        </w:tc>
      </w:tr>
      <w:tr>
        <w:tc>
          <w:tcPr>
            <w:tcW w:type="dxa" w:w="1440"/>
          </w:tcPr>
          <w:p>
            <w:pPr>
              <w:spacing w:after="0"/>
            </w:pPr>
            <w:r/>
            <w:r>
              <w:rPr>
                <w:sz w:val="16"/>
              </w:rPr>
              <w:t>Deaths avoided (Q)</w:t>
            </w:r>
          </w:p>
        </w:tc>
        <w:tc>
          <w:tcPr>
            <w:tcW w:type="dxa" w:w="1440"/>
          </w:tcPr>
          <w:p>
            <w:pPr>
              <w:spacing w:after="0"/>
            </w:pPr>
            <w:r/>
            <w:r>
              <w:rPr>
                <w:sz w:val="16"/>
              </w:rPr>
              <w:t>1,501</w:t>
            </w:r>
          </w:p>
        </w:tc>
        <w:tc>
          <w:tcPr>
            <w:tcW w:type="dxa" w:w="1440"/>
          </w:tcPr>
          <w:p>
            <w:pPr>
              <w:spacing w:after="0"/>
            </w:pPr>
            <w:r/>
            <w:r>
              <w:rPr>
                <w:sz w:val="16"/>
              </w:rPr>
              <w:t>1,456</w:t>
            </w:r>
          </w:p>
        </w:tc>
        <w:tc>
          <w:tcPr>
            <w:tcW w:type="dxa" w:w="1440"/>
          </w:tcPr>
          <w:p>
            <w:pPr>
              <w:spacing w:after="0"/>
            </w:pPr>
            <w:r/>
            <w:r>
              <w:rPr>
                <w:sz w:val="16"/>
              </w:rPr>
              <w:t>1,517</w:t>
            </w:r>
          </w:p>
        </w:tc>
        <w:tc>
          <w:tcPr>
            <w:tcW w:type="dxa" w:w="1440"/>
          </w:tcPr>
          <w:p>
            <w:pPr>
              <w:spacing w:after="0"/>
            </w:pPr>
            <w:r/>
            <w:r>
              <w:rPr>
                <w:sz w:val="16"/>
              </w:rPr>
              <w:t>552</w:t>
            </w:r>
          </w:p>
        </w:tc>
        <w:tc>
          <w:tcPr>
            <w:tcW w:type="dxa" w:w="1440"/>
          </w:tcPr>
          <w:p>
            <w:pPr>
              <w:spacing w:after="0"/>
            </w:pPr>
            <w:r/>
            <w:r>
              <w:rPr>
                <w:sz w:val="16"/>
              </w:rPr>
              <w:t>491</w:t>
            </w:r>
          </w:p>
        </w:tc>
        <w:tc>
          <w:tcPr>
            <w:tcW w:type="dxa" w:w="1440"/>
          </w:tcPr>
          <w:p>
            <w:pPr>
              <w:spacing w:after="0"/>
            </w:pPr>
            <w:r/>
            <w:r>
              <w:rPr>
                <w:sz w:val="16"/>
              </w:rPr>
              <w:t>646</w:t>
            </w:r>
          </w:p>
        </w:tc>
      </w:tr>
    </w:tbl>
    <w:p/>
    <w:p>
      <w:pPr>
        <w:pStyle w:val="Heading2"/>
      </w:pPr>
      <w:r>
        <w:t>Comparison</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pPr>
              <w:spacing w:after="0"/>
            </w:pPr>
            <w:r>
              <w:rPr>
                <w:b/>
              </w:rPr>
            </w:r>
          </w:p>
        </w:tc>
        <w:tc>
          <w:tcPr>
            <w:tcW w:type="dxa" w:w="1440"/>
          </w:tcPr>
          <w:p>
            <w:pPr>
              <w:spacing w:after="0"/>
            </w:pPr>
            <w:r>
              <w:rPr>
                <w:b/>
              </w:rPr>
            </w:r>
            <w:r>
              <w:rPr>
                <w:b/>
                <w:sz w:val="16"/>
              </w:rPr>
              <w:t>1A</w:t>
            </w:r>
          </w:p>
        </w:tc>
        <w:tc>
          <w:tcPr>
            <w:tcW w:type="dxa" w:w="1440"/>
          </w:tcPr>
          <w:p>
            <w:pPr>
              <w:spacing w:after="0"/>
            </w:pPr>
            <w:r>
              <w:rPr>
                <w:b/>
              </w:rPr>
            </w:r>
            <w:r>
              <w:rPr>
                <w:b/>
                <w:sz w:val="16"/>
              </w:rPr>
              <w:t>2A</w:t>
            </w:r>
          </w:p>
        </w:tc>
        <w:tc>
          <w:tcPr>
            <w:tcW w:type="dxa" w:w="1440"/>
          </w:tcPr>
          <w:p>
            <w:pPr>
              <w:spacing w:after="0"/>
            </w:pPr>
            <w:r>
              <w:rPr>
                <w:b/>
              </w:rPr>
            </w:r>
            <w:r>
              <w:rPr>
                <w:b/>
                <w:sz w:val="16"/>
              </w:rPr>
              <w:t>2B</w:t>
            </w:r>
          </w:p>
        </w:tc>
        <w:tc>
          <w:tcPr>
            <w:tcW w:type="dxa" w:w="1440"/>
          </w:tcPr>
          <w:p>
            <w:pPr>
              <w:spacing w:after="0"/>
            </w:pPr>
            <w:r>
              <w:rPr>
                <w:b/>
              </w:rPr>
            </w:r>
            <w:r>
              <w:rPr>
                <w:b/>
                <w:sz w:val="16"/>
              </w:rPr>
              <w:t>3A</w:t>
            </w:r>
          </w:p>
        </w:tc>
        <w:tc>
          <w:tcPr>
            <w:tcW w:type="dxa" w:w="1440"/>
          </w:tcPr>
          <w:p>
            <w:pPr>
              <w:spacing w:after="0"/>
            </w:pPr>
            <w:r>
              <w:rPr>
                <w:b/>
              </w:rPr>
            </w:r>
            <w:r>
              <w:rPr>
                <w:b/>
                <w:sz w:val="16"/>
              </w:rPr>
              <w:t>3B</w:t>
            </w:r>
          </w:p>
        </w:tc>
        <w:tc>
          <w:tcPr>
            <w:tcW w:type="dxa" w:w="1440"/>
          </w:tcPr>
          <w:p>
            <w:pPr>
              <w:spacing w:after="0"/>
            </w:pPr>
            <w:r>
              <w:rPr>
                <w:b/>
              </w:rPr>
            </w:r>
            <w:r>
              <w:rPr>
                <w:b/>
                <w:sz w:val="16"/>
              </w:rPr>
              <w:t>3C</w:t>
            </w:r>
          </w:p>
        </w:tc>
      </w:tr>
      <w:tr>
        <w:tc>
          <w:tcPr>
            <w:tcW w:type="dxa" w:w="1440"/>
          </w:tcPr>
          <w:p>
            <w:pPr>
              <w:spacing w:after="0"/>
            </w:pPr>
            <w:r/>
            <w:r>
              <w:rPr>
                <w:sz w:val="16"/>
              </w:rPr>
              <w:t>Emission cut, Mt: original Table 2</w:t>
            </w:r>
          </w:p>
        </w:tc>
        <w:tc>
          <w:tcPr>
            <w:tcW w:type="dxa" w:w="1440"/>
          </w:tcPr>
          <w:p>
            <w:pPr>
              <w:spacing w:after="0"/>
            </w:pPr>
            <w:r/>
            <w:r>
              <w:rPr>
                <w:sz w:val="16"/>
              </w:rPr>
              <w:t>−41.6</w:t>
            </w:r>
          </w:p>
        </w:tc>
        <w:tc>
          <w:tcPr>
            <w:tcW w:type="dxa" w:w="1440"/>
          </w:tcPr>
          <w:p>
            <w:pPr>
              <w:spacing w:after="0"/>
            </w:pPr>
            <w:r/>
            <w:r>
              <w:rPr>
                <w:sz w:val="16"/>
              </w:rPr>
              <w:t>−38.9</w:t>
            </w:r>
          </w:p>
        </w:tc>
        <w:tc>
          <w:tcPr>
            <w:tcW w:type="dxa" w:w="1440"/>
          </w:tcPr>
          <w:p>
            <w:pPr>
              <w:spacing w:after="0"/>
            </w:pPr>
            <w:r/>
            <w:r>
              <w:rPr>
                <w:sz w:val="16"/>
              </w:rPr>
              <w:t>−41.0</w:t>
            </w:r>
          </w:p>
        </w:tc>
        <w:tc>
          <w:tcPr>
            <w:tcW w:type="dxa" w:w="1440"/>
          </w:tcPr>
          <w:p>
            <w:pPr>
              <w:spacing w:after="0"/>
            </w:pPr>
            <w:r/>
            <w:r>
              <w:rPr>
                <w:sz w:val="16"/>
              </w:rPr>
              <w:t>−21.5</w:t>
            </w:r>
          </w:p>
        </w:tc>
        <w:tc>
          <w:tcPr>
            <w:tcW w:type="dxa" w:w="1440"/>
          </w:tcPr>
          <w:p>
            <w:pPr>
              <w:spacing w:after="0"/>
            </w:pPr>
            <w:r/>
            <w:r>
              <w:rPr>
                <w:sz w:val="16"/>
              </w:rPr>
              <w:t>−18.1</w:t>
            </w:r>
          </w:p>
        </w:tc>
        <w:tc>
          <w:tcPr>
            <w:tcW w:type="dxa" w:w="1440"/>
          </w:tcPr>
          <w:p>
            <w:pPr>
              <w:spacing w:after="0"/>
            </w:pPr>
            <w:r/>
            <w:r>
              <w:rPr>
                <w:sz w:val="16"/>
              </w:rPr>
              <w:t>−24.5</w:t>
            </w:r>
          </w:p>
        </w:tc>
      </w:tr>
      <w:tr>
        <w:tc>
          <w:tcPr>
            <w:tcW w:type="dxa" w:w="1440"/>
          </w:tcPr>
          <w:p>
            <w:pPr>
              <w:spacing w:after="0"/>
            </w:pPr>
            <w:r/>
            <w:r>
              <w:rPr>
                <w:sz w:val="16"/>
              </w:rPr>
              <w:t xml:space="preserve">Emission cut, Mt: </w:t>
            </w:r>
            <w:r>
              <w:rPr>
                <w:b/>
                <w:sz w:val="16"/>
              </w:rPr>
              <w:t>new</w:t>
            </w:r>
          </w:p>
        </w:tc>
        <w:tc>
          <w:tcPr>
            <w:tcW w:type="dxa" w:w="1440"/>
          </w:tcPr>
          <w:p>
            <w:pPr>
              <w:spacing w:after="0"/>
            </w:pPr>
            <w:r/>
            <w:r>
              <w:rPr>
                <w:sz w:val="16"/>
              </w:rPr>
              <w:t>−37.4</w:t>
            </w:r>
          </w:p>
        </w:tc>
        <w:tc>
          <w:tcPr>
            <w:tcW w:type="dxa" w:w="1440"/>
          </w:tcPr>
          <w:p>
            <w:pPr>
              <w:spacing w:after="0"/>
            </w:pPr>
            <w:r/>
            <w:r>
              <w:rPr>
                <w:sz w:val="16"/>
              </w:rPr>
              <w:t>−33.1</w:t>
            </w:r>
          </w:p>
        </w:tc>
        <w:tc>
          <w:tcPr>
            <w:tcW w:type="dxa" w:w="1440"/>
          </w:tcPr>
          <w:p>
            <w:pPr>
              <w:spacing w:after="0"/>
            </w:pPr>
            <w:r/>
            <w:r>
              <w:rPr>
                <w:sz w:val="16"/>
              </w:rPr>
              <w:t>−34.8</w:t>
            </w:r>
          </w:p>
        </w:tc>
        <w:tc>
          <w:tcPr>
            <w:tcW w:type="dxa" w:w="1440"/>
          </w:tcPr>
          <w:p>
            <w:pPr>
              <w:spacing w:after="0"/>
            </w:pPr>
            <w:r/>
            <w:r>
              <w:rPr>
                <w:sz w:val="16"/>
              </w:rPr>
              <w:t>−22.8</w:t>
            </w:r>
          </w:p>
        </w:tc>
        <w:tc>
          <w:tcPr>
            <w:tcW w:type="dxa" w:w="1440"/>
          </w:tcPr>
          <w:p>
            <w:pPr>
              <w:spacing w:after="0"/>
            </w:pPr>
            <w:r/>
            <w:r>
              <w:rPr>
                <w:sz w:val="16"/>
              </w:rPr>
              <w:t>−19.1</w:t>
            </w:r>
          </w:p>
        </w:tc>
        <w:tc>
          <w:tcPr>
            <w:tcW w:type="dxa" w:w="1440"/>
          </w:tcPr>
          <w:p>
            <w:pPr>
              <w:spacing w:after="0"/>
            </w:pPr>
            <w:r/>
            <w:r>
              <w:rPr>
                <w:sz w:val="16"/>
              </w:rPr>
              <w:t>−33.0</w:t>
            </w:r>
          </w:p>
        </w:tc>
      </w:tr>
      <w:tr>
        <w:tc>
          <w:tcPr>
            <w:tcW w:type="dxa" w:w="1440"/>
          </w:tcPr>
          <w:p>
            <w:pPr>
              <w:spacing w:after="0"/>
            </w:pPr>
            <w:r/>
            <w:r>
              <w:rPr>
                <w:sz w:val="16"/>
              </w:rPr>
              <w:t>Revenue, $bn: original Table 2</w:t>
            </w:r>
          </w:p>
        </w:tc>
        <w:tc>
          <w:tcPr>
            <w:tcW w:type="dxa" w:w="1440"/>
          </w:tcPr>
          <w:p>
            <w:pPr>
              <w:spacing w:after="0"/>
            </w:pPr>
            <w:r/>
            <w:r>
              <w:rPr>
                <w:sz w:val="16"/>
              </w:rPr>
              <w:t>5.8</w:t>
            </w:r>
          </w:p>
        </w:tc>
        <w:tc>
          <w:tcPr>
            <w:tcW w:type="dxa" w:w="1440"/>
          </w:tcPr>
          <w:p>
            <w:pPr>
              <w:spacing w:after="0"/>
            </w:pPr>
            <w:r/>
            <w:r>
              <w:rPr>
                <w:sz w:val="16"/>
              </w:rPr>
              <w:t>5.2</w:t>
            </w:r>
          </w:p>
        </w:tc>
        <w:tc>
          <w:tcPr>
            <w:tcW w:type="dxa" w:w="1440"/>
          </w:tcPr>
          <w:p>
            <w:pPr>
              <w:spacing w:after="0"/>
            </w:pPr>
            <w:r/>
            <w:r>
              <w:rPr>
                <w:sz w:val="16"/>
              </w:rPr>
              <w:t>5.2</w:t>
            </w:r>
          </w:p>
        </w:tc>
        <w:tc>
          <w:tcPr>
            <w:tcW w:type="dxa" w:w="1440"/>
          </w:tcPr>
          <w:p>
            <w:pPr>
              <w:spacing w:after="0"/>
            </w:pPr>
            <w:r/>
            <w:r>
              <w:rPr>
                <w:sz w:val="16"/>
              </w:rPr>
              <w:t>1.1</w:t>
            </w:r>
          </w:p>
        </w:tc>
        <w:tc>
          <w:tcPr>
            <w:tcW w:type="dxa" w:w="1440"/>
          </w:tcPr>
          <w:p>
            <w:pPr>
              <w:spacing w:after="0"/>
            </w:pPr>
            <w:r/>
            <w:r>
              <w:rPr>
                <w:sz w:val="16"/>
              </w:rPr>
              <w:t>0.0</w:t>
            </w:r>
          </w:p>
        </w:tc>
        <w:tc>
          <w:tcPr>
            <w:tcW w:type="dxa" w:w="1440"/>
          </w:tcPr>
          <w:p>
            <w:pPr>
              <w:spacing w:after="0"/>
            </w:pPr>
            <w:r/>
            <w:r>
              <w:rPr>
                <w:sz w:val="16"/>
              </w:rPr>
              <w:t>0.0</w:t>
            </w:r>
          </w:p>
        </w:tc>
      </w:tr>
      <w:tr>
        <w:tc>
          <w:tcPr>
            <w:tcW w:type="dxa" w:w="1440"/>
          </w:tcPr>
          <w:p>
            <w:pPr>
              <w:spacing w:after="0"/>
            </w:pPr>
            <w:r/>
            <w:r>
              <w:rPr>
                <w:sz w:val="16"/>
              </w:rPr>
              <w:t xml:space="preserve">Revenue, $bn: </w:t>
            </w:r>
            <w:r>
              <w:rPr>
                <w:b/>
                <w:sz w:val="16"/>
              </w:rPr>
              <w:t>new</w:t>
            </w:r>
          </w:p>
        </w:tc>
        <w:tc>
          <w:tcPr>
            <w:tcW w:type="dxa" w:w="1440"/>
          </w:tcPr>
          <w:p>
            <w:pPr>
              <w:spacing w:after="0"/>
            </w:pPr>
            <w:r/>
            <w:r>
              <w:rPr>
                <w:sz w:val="16"/>
              </w:rPr>
              <w:t>6.9</w:t>
            </w:r>
          </w:p>
        </w:tc>
        <w:tc>
          <w:tcPr>
            <w:tcW w:type="dxa" w:w="1440"/>
          </w:tcPr>
          <w:p>
            <w:pPr>
              <w:spacing w:after="0"/>
            </w:pPr>
            <w:r/>
            <w:r>
              <w:rPr>
                <w:sz w:val="16"/>
              </w:rPr>
              <w:t>6.3</w:t>
            </w:r>
          </w:p>
        </w:tc>
        <w:tc>
          <w:tcPr>
            <w:tcW w:type="dxa" w:w="1440"/>
          </w:tcPr>
          <w:p>
            <w:pPr>
              <w:spacing w:after="0"/>
            </w:pPr>
            <w:r/>
            <w:r>
              <w:rPr>
                <w:sz w:val="16"/>
              </w:rPr>
              <w:t>6.2</w:t>
            </w:r>
          </w:p>
        </w:tc>
        <w:tc>
          <w:tcPr>
            <w:tcW w:type="dxa" w:w="1440"/>
          </w:tcPr>
          <w:p>
            <w:pPr>
              <w:spacing w:after="0"/>
            </w:pPr>
            <w:r/>
            <w:r>
              <w:rPr>
                <w:sz w:val="16"/>
              </w:rPr>
              <w:t>1.5</w:t>
            </w:r>
          </w:p>
        </w:tc>
        <w:tc>
          <w:tcPr>
            <w:tcW w:type="dxa" w:w="1440"/>
          </w:tcPr>
          <w:p>
            <w:pPr>
              <w:spacing w:after="0"/>
            </w:pPr>
            <w:r/>
            <w:r>
              <w:rPr>
                <w:sz w:val="16"/>
              </w:rPr>
              <w:t>0.6</w:t>
            </w:r>
          </w:p>
        </w:tc>
        <w:tc>
          <w:tcPr>
            <w:tcW w:type="dxa" w:w="1440"/>
          </w:tcPr>
          <w:p>
            <w:pPr>
              <w:spacing w:after="0"/>
            </w:pPr>
            <w:r/>
            <w:r>
              <w:rPr>
                <w:sz w:val="16"/>
              </w:rPr>
              <w:t>0.4</w:t>
            </w:r>
          </w:p>
        </w:tc>
      </w:tr>
      <w:tr>
        <w:tc>
          <w:tcPr>
            <w:tcW w:type="dxa" w:w="1440"/>
          </w:tcPr>
          <w:p>
            <w:pPr>
              <w:spacing w:after="0"/>
            </w:pPr>
            <w:r/>
            <w:r>
              <w:rPr>
                <w:sz w:val="16"/>
              </w:rPr>
              <w:t>Deaths avoided: original Table 2</w:t>
            </w:r>
          </w:p>
        </w:tc>
        <w:tc>
          <w:tcPr>
            <w:tcW w:type="dxa" w:w="1440"/>
          </w:tcPr>
          <w:p>
            <w:pPr>
              <w:spacing w:after="0"/>
            </w:pPr>
            <w:r/>
            <w:r>
              <w:rPr>
                <w:sz w:val="16"/>
              </w:rPr>
              <w:t>1,656</w:t>
            </w:r>
          </w:p>
        </w:tc>
        <w:tc>
          <w:tcPr>
            <w:tcW w:type="dxa" w:w="1440"/>
          </w:tcPr>
          <w:p>
            <w:pPr>
              <w:spacing w:after="0"/>
            </w:pPr>
            <w:r/>
            <w:r>
              <w:rPr>
                <w:sz w:val="16"/>
              </w:rPr>
              <w:t>1,564</w:t>
            </w:r>
          </w:p>
        </w:tc>
        <w:tc>
          <w:tcPr>
            <w:tcW w:type="dxa" w:w="1440"/>
          </w:tcPr>
          <w:p>
            <w:pPr>
              <w:spacing w:after="0"/>
            </w:pPr>
            <w:r/>
            <w:r>
              <w:rPr>
                <w:sz w:val="16"/>
              </w:rPr>
              <w:t>1,631</w:t>
            </w:r>
          </w:p>
        </w:tc>
        <w:tc>
          <w:tcPr>
            <w:tcW w:type="dxa" w:w="1440"/>
          </w:tcPr>
          <w:p>
            <w:pPr>
              <w:spacing w:after="0"/>
            </w:pPr>
            <w:r/>
            <w:r>
              <w:rPr>
                <w:sz w:val="16"/>
              </w:rPr>
              <w:t>546</w:t>
            </w:r>
          </w:p>
        </w:tc>
        <w:tc>
          <w:tcPr>
            <w:tcW w:type="dxa" w:w="1440"/>
          </w:tcPr>
          <w:p>
            <w:pPr>
              <w:spacing w:after="0"/>
            </w:pPr>
            <w:r/>
            <w:r>
              <w:rPr>
                <w:sz w:val="16"/>
              </w:rPr>
              <w:t>345</w:t>
            </w:r>
          </w:p>
        </w:tc>
        <w:tc>
          <w:tcPr>
            <w:tcW w:type="dxa" w:w="1440"/>
          </w:tcPr>
          <w:p>
            <w:pPr>
              <w:spacing w:after="0"/>
            </w:pPr>
            <w:r/>
            <w:r>
              <w:rPr>
                <w:sz w:val="16"/>
              </w:rPr>
              <w:t>621</w:t>
            </w:r>
          </w:p>
        </w:tc>
      </w:tr>
      <w:tr>
        <w:tc>
          <w:tcPr>
            <w:tcW w:type="dxa" w:w="1440"/>
          </w:tcPr>
          <w:p>
            <w:pPr>
              <w:spacing w:after="0"/>
            </w:pPr>
            <w:r/>
            <w:r>
              <w:rPr>
                <w:sz w:val="16"/>
              </w:rPr>
              <w:t xml:space="preserve">Deaths avoided: </w:t>
            </w:r>
            <w:r>
              <w:rPr>
                <w:b/>
                <w:sz w:val="16"/>
              </w:rPr>
              <w:t>new</w:t>
            </w:r>
          </w:p>
        </w:tc>
        <w:tc>
          <w:tcPr>
            <w:tcW w:type="dxa" w:w="1440"/>
          </w:tcPr>
          <w:p>
            <w:pPr>
              <w:spacing w:after="0"/>
            </w:pPr>
            <w:r/>
            <w:r>
              <w:rPr>
                <w:sz w:val="16"/>
              </w:rPr>
              <w:t>1,501</w:t>
            </w:r>
          </w:p>
        </w:tc>
        <w:tc>
          <w:tcPr>
            <w:tcW w:type="dxa" w:w="1440"/>
          </w:tcPr>
          <w:p>
            <w:pPr>
              <w:spacing w:after="0"/>
            </w:pPr>
            <w:r/>
            <w:r>
              <w:rPr>
                <w:sz w:val="16"/>
              </w:rPr>
              <w:t>1,456</w:t>
            </w:r>
          </w:p>
        </w:tc>
        <w:tc>
          <w:tcPr>
            <w:tcW w:type="dxa" w:w="1440"/>
          </w:tcPr>
          <w:p>
            <w:pPr>
              <w:spacing w:after="0"/>
            </w:pPr>
            <w:r/>
            <w:r>
              <w:rPr>
                <w:sz w:val="16"/>
              </w:rPr>
              <w:t>1,517</w:t>
            </w:r>
          </w:p>
        </w:tc>
        <w:tc>
          <w:tcPr>
            <w:tcW w:type="dxa" w:w="1440"/>
          </w:tcPr>
          <w:p>
            <w:pPr>
              <w:spacing w:after="0"/>
            </w:pPr>
            <w:r/>
            <w:r>
              <w:rPr>
                <w:sz w:val="16"/>
              </w:rPr>
              <w:t>552</w:t>
            </w:r>
          </w:p>
        </w:tc>
        <w:tc>
          <w:tcPr>
            <w:tcW w:type="dxa" w:w="1440"/>
          </w:tcPr>
          <w:p>
            <w:pPr>
              <w:spacing w:after="0"/>
            </w:pPr>
            <w:r/>
            <w:r>
              <w:rPr>
                <w:sz w:val="16"/>
              </w:rPr>
              <w:t>491</w:t>
            </w:r>
          </w:p>
        </w:tc>
        <w:tc>
          <w:tcPr>
            <w:tcW w:type="dxa" w:w="1440"/>
          </w:tcPr>
          <w:p>
            <w:pPr>
              <w:spacing w:after="0"/>
            </w:pPr>
            <w:r/>
            <w:r>
              <w:rPr>
                <w:sz w:val="16"/>
              </w:rPr>
              <w:t>646</w:t>
            </w:r>
          </w:p>
        </w:tc>
      </w:tr>
      <w:tr>
        <w:tc>
          <w:tcPr>
            <w:tcW w:type="dxa" w:w="1440"/>
          </w:tcPr>
          <w:p>
            <w:pPr>
              <w:spacing w:after="0"/>
            </w:pPr>
            <w:r/>
            <w:r>
              <w:rPr>
                <w:sz w:val="16"/>
              </w:rPr>
              <w:t>Coverage, %: original Table 2</w:t>
            </w:r>
          </w:p>
        </w:tc>
        <w:tc>
          <w:tcPr>
            <w:tcW w:type="dxa" w:w="1440"/>
          </w:tcPr>
          <w:p>
            <w:pPr>
              <w:spacing w:after="0"/>
            </w:pPr>
            <w:r/>
            <w:r>
              <w:rPr>
                <w:sz w:val="16"/>
              </w:rPr>
              <w:t>72</w:t>
            </w:r>
          </w:p>
        </w:tc>
        <w:tc>
          <w:tcPr>
            <w:tcW w:type="dxa" w:w="1440"/>
          </w:tcPr>
          <w:p>
            <w:pPr>
              <w:spacing w:after="0"/>
            </w:pPr>
            <w:r/>
            <w:r>
              <w:rPr>
                <w:sz w:val="16"/>
              </w:rPr>
              <w:t>65</w:t>
            </w:r>
          </w:p>
        </w:tc>
        <w:tc>
          <w:tcPr>
            <w:tcW w:type="dxa" w:w="1440"/>
          </w:tcPr>
          <w:p>
            <w:pPr>
              <w:spacing w:after="0"/>
            </w:pPr>
            <w:r/>
            <w:r>
              <w:rPr>
                <w:sz w:val="16"/>
              </w:rPr>
              <w:t>65</w:t>
            </w:r>
          </w:p>
        </w:tc>
        <w:tc>
          <w:tcPr>
            <w:tcW w:type="dxa" w:w="1440"/>
          </w:tcPr>
          <w:p>
            <w:pPr>
              <w:spacing w:after="0"/>
            </w:pPr>
            <w:r/>
            <w:r>
              <w:rPr>
                <w:sz w:val="16"/>
              </w:rPr>
              <w:t>20</w:t>
            </w:r>
          </w:p>
        </w:tc>
        <w:tc>
          <w:tcPr>
            <w:tcW w:type="dxa" w:w="1440"/>
          </w:tcPr>
          <w:p>
            <w:pPr>
              <w:spacing w:after="0"/>
            </w:pPr>
            <w:r/>
            <w:r>
              <w:rPr>
                <w:sz w:val="16"/>
              </w:rPr>
              <w:t>20</w:t>
            </w:r>
          </w:p>
        </w:tc>
        <w:tc>
          <w:tcPr>
            <w:tcW w:type="dxa" w:w="1440"/>
          </w:tcPr>
          <w:p>
            <w:pPr>
              <w:spacing w:after="0"/>
            </w:pPr>
            <w:r/>
            <w:r>
              <w:rPr>
                <w:sz w:val="16"/>
              </w:rPr>
              <w:t>20</w:t>
            </w:r>
          </w:p>
        </w:tc>
      </w:tr>
      <w:tr>
        <w:tc>
          <w:tcPr>
            <w:tcW w:type="dxa" w:w="1440"/>
          </w:tcPr>
          <w:p>
            <w:pPr>
              <w:spacing w:after="0"/>
            </w:pPr>
            <w:r/>
            <w:r>
              <w:rPr>
                <w:sz w:val="16"/>
              </w:rPr>
              <w:t xml:space="preserve">Coverage, %: </w:t>
            </w:r>
            <w:r>
              <w:rPr>
                <w:b/>
                <w:sz w:val="16"/>
              </w:rPr>
              <w:t>new</w:t>
            </w:r>
          </w:p>
        </w:tc>
        <w:tc>
          <w:tcPr>
            <w:tcW w:type="dxa" w:w="1440"/>
          </w:tcPr>
          <w:p>
            <w:pPr>
              <w:spacing w:after="0"/>
            </w:pPr>
            <w:r/>
            <w:r>
              <w:rPr>
                <w:sz w:val="16"/>
              </w:rPr>
              <w:t>63</w:t>
            </w:r>
          </w:p>
        </w:tc>
        <w:tc>
          <w:tcPr>
            <w:tcW w:type="dxa" w:w="1440"/>
          </w:tcPr>
          <w:p>
            <w:pPr>
              <w:spacing w:after="0"/>
            </w:pPr>
            <w:r/>
            <w:r>
              <w:rPr>
                <w:sz w:val="16"/>
              </w:rPr>
              <w:t>57</w:t>
            </w:r>
          </w:p>
        </w:tc>
        <w:tc>
          <w:tcPr>
            <w:tcW w:type="dxa" w:w="1440"/>
          </w:tcPr>
          <w:p>
            <w:pPr>
              <w:spacing w:after="0"/>
            </w:pPr>
            <w:r/>
            <w:r>
              <w:rPr>
                <w:sz w:val="16"/>
              </w:rPr>
              <w:t>57</w:t>
            </w:r>
          </w:p>
        </w:tc>
        <w:tc>
          <w:tcPr>
            <w:tcW w:type="dxa" w:w="1440"/>
          </w:tcPr>
          <w:p>
            <w:pPr>
              <w:spacing w:after="0"/>
            </w:pPr>
            <w:r/>
            <w:r>
              <w:rPr>
                <w:sz w:val="16"/>
              </w:rPr>
              <w:t>14</w:t>
            </w:r>
          </w:p>
        </w:tc>
        <w:tc>
          <w:tcPr>
            <w:tcW w:type="dxa" w:w="1440"/>
          </w:tcPr>
          <w:p>
            <w:pPr>
              <w:spacing w:after="0"/>
            </w:pPr>
            <w:r/>
            <w:r>
              <w:rPr>
                <w:sz w:val="16"/>
              </w:rPr>
              <w:t>14</w:t>
            </w:r>
          </w:p>
        </w:tc>
        <w:tc>
          <w:tcPr>
            <w:tcW w:type="dxa" w:w="1440"/>
          </w:tcPr>
          <w:p>
            <w:pPr>
              <w:spacing w:after="0"/>
            </w:pPr>
            <w:r/>
            <w:r>
              <w:rPr>
                <w:sz w:val="16"/>
              </w:rPr>
              <w:t>14</w:t>
            </w:r>
          </w:p>
        </w:tc>
      </w:tr>
      <w:tr>
        <w:tc>
          <w:tcPr>
            <w:tcW w:type="dxa" w:w="1440"/>
          </w:tcPr>
          <w:p>
            <w:pPr>
              <w:spacing w:after="0"/>
            </w:pPr>
            <w:r/>
            <w:r>
              <w:rPr>
                <w:sz w:val="16"/>
              </w:rPr>
              <w:t>CBAM intensity, %: original Table 2</w:t>
            </w:r>
          </w:p>
        </w:tc>
        <w:tc>
          <w:tcPr>
            <w:tcW w:type="dxa" w:w="1440"/>
          </w:tcPr>
          <w:p>
            <w:pPr>
              <w:spacing w:after="0"/>
            </w:pPr>
            <w:r/>
            <w:r>
              <w:rPr>
                <w:sz w:val="16"/>
              </w:rPr>
              <w:t>−7.6</w:t>
            </w:r>
          </w:p>
        </w:tc>
        <w:tc>
          <w:tcPr>
            <w:tcW w:type="dxa" w:w="1440"/>
          </w:tcPr>
          <w:p>
            <w:pPr>
              <w:spacing w:after="0"/>
            </w:pPr>
            <w:r/>
            <w:r>
              <w:rPr>
                <w:sz w:val="16"/>
              </w:rPr>
              <w:t>−5.5</w:t>
            </w:r>
          </w:p>
        </w:tc>
        <w:tc>
          <w:tcPr>
            <w:tcW w:type="dxa" w:w="1440"/>
          </w:tcPr>
          <w:p>
            <w:pPr>
              <w:spacing w:after="0"/>
            </w:pPr>
            <w:r/>
            <w:r>
              <w:rPr>
                <w:sz w:val="16"/>
              </w:rPr>
              <w:t>−5.5</w:t>
            </w:r>
          </w:p>
        </w:tc>
        <w:tc>
          <w:tcPr>
            <w:tcW w:type="dxa" w:w="1440"/>
          </w:tcPr>
          <w:p>
            <w:pPr>
              <w:spacing w:after="0"/>
            </w:pPr>
            <w:r/>
            <w:r>
              <w:rPr>
                <w:sz w:val="16"/>
              </w:rPr>
              <w:t>−7.6</w:t>
            </w:r>
          </w:p>
        </w:tc>
        <w:tc>
          <w:tcPr>
            <w:tcW w:type="dxa" w:w="1440"/>
          </w:tcPr>
          <w:p>
            <w:pPr>
              <w:spacing w:after="0"/>
            </w:pPr>
            <w:r/>
            <w:r>
              <w:rPr>
                <w:sz w:val="16"/>
              </w:rPr>
              <w:t>−7.6</w:t>
            </w:r>
          </w:p>
        </w:tc>
        <w:tc>
          <w:tcPr>
            <w:tcW w:type="dxa" w:w="1440"/>
          </w:tcPr>
          <w:p>
            <w:pPr>
              <w:spacing w:after="0"/>
            </w:pPr>
            <w:r/>
            <w:r>
              <w:rPr>
                <w:sz w:val="16"/>
              </w:rPr>
              <w:t>−13.1</w:t>
            </w:r>
          </w:p>
        </w:tc>
      </w:tr>
      <w:tr>
        <w:tc>
          <w:tcPr>
            <w:tcW w:type="dxa" w:w="1440"/>
          </w:tcPr>
          <w:p>
            <w:pPr>
              <w:spacing w:after="0"/>
            </w:pPr>
            <w:r/>
            <w:r>
              <w:rPr>
                <w:sz w:val="16"/>
              </w:rPr>
              <w:t xml:space="preserve">CBAM intensity, %: </w:t>
            </w:r>
            <w:r>
              <w:rPr>
                <w:b/>
                <w:sz w:val="16"/>
              </w:rPr>
              <w:t>new</w:t>
            </w:r>
          </w:p>
        </w:tc>
        <w:tc>
          <w:tcPr>
            <w:tcW w:type="dxa" w:w="1440"/>
          </w:tcPr>
          <w:p>
            <w:pPr>
              <w:spacing w:after="0"/>
            </w:pPr>
            <w:r/>
            <w:r>
              <w:rPr>
                <w:sz w:val="16"/>
              </w:rPr>
              <w:t>−5.8</w:t>
            </w:r>
          </w:p>
        </w:tc>
        <w:tc>
          <w:tcPr>
            <w:tcW w:type="dxa" w:w="1440"/>
          </w:tcPr>
          <w:p>
            <w:pPr>
              <w:spacing w:after="0"/>
            </w:pPr>
            <w:r/>
            <w:r>
              <w:rPr>
                <w:sz w:val="16"/>
              </w:rPr>
              <w:t>−2.1</w:t>
            </w:r>
          </w:p>
        </w:tc>
        <w:tc>
          <w:tcPr>
            <w:tcW w:type="dxa" w:w="1440"/>
          </w:tcPr>
          <w:p>
            <w:pPr>
              <w:spacing w:after="0"/>
            </w:pPr>
            <w:r/>
            <w:r>
              <w:rPr>
                <w:sz w:val="16"/>
              </w:rPr>
              <w:t>−2.3</w:t>
            </w:r>
          </w:p>
        </w:tc>
        <w:tc>
          <w:tcPr>
            <w:tcW w:type="dxa" w:w="1440"/>
          </w:tcPr>
          <w:p>
            <w:pPr>
              <w:spacing w:after="0"/>
            </w:pPr>
            <w:r/>
            <w:r>
              <w:rPr>
                <w:sz w:val="16"/>
              </w:rPr>
              <w:t>−5.8</w:t>
            </w:r>
          </w:p>
        </w:tc>
        <w:tc>
          <w:tcPr>
            <w:tcW w:type="dxa" w:w="1440"/>
          </w:tcPr>
          <w:p>
            <w:pPr>
              <w:spacing w:after="0"/>
            </w:pPr>
            <w:r/>
            <w:r>
              <w:rPr>
                <w:sz w:val="16"/>
              </w:rPr>
              <w:t>−5.8</w:t>
            </w:r>
          </w:p>
        </w:tc>
        <w:tc>
          <w:tcPr>
            <w:tcW w:type="dxa" w:w="1440"/>
          </w:tcPr>
          <w:p>
            <w:pPr>
              <w:spacing w:after="0"/>
            </w:pPr>
            <w:r/>
            <w:r>
              <w:rPr>
                <w:sz w:val="16"/>
              </w:rPr>
              <w:t>−23.1</w:t>
            </w:r>
          </w:p>
        </w:tc>
      </w:tr>
      <w:tr>
        <w:tc>
          <w:tcPr>
            <w:tcW w:type="dxa" w:w="1440"/>
          </w:tcPr>
          <w:p>
            <w:pPr>
              <w:spacing w:after="0"/>
            </w:pPr>
            <w:r/>
            <w:r>
              <w:rPr>
                <w:sz w:val="16"/>
              </w:rPr>
              <w:t>CBAM obligations, %: original Table 2</w:t>
            </w:r>
          </w:p>
        </w:tc>
        <w:tc>
          <w:tcPr>
            <w:tcW w:type="dxa" w:w="1440"/>
          </w:tcPr>
          <w:p>
            <w:pPr>
              <w:spacing w:after="0"/>
            </w:pPr>
            <w:r/>
            <w:r>
              <w:rPr>
                <w:sz w:val="16"/>
              </w:rPr>
              <w:t>−26.1</w:t>
            </w:r>
          </w:p>
        </w:tc>
        <w:tc>
          <w:tcPr>
            <w:tcW w:type="dxa" w:w="1440"/>
          </w:tcPr>
          <w:p>
            <w:pPr>
              <w:spacing w:after="0"/>
            </w:pPr>
            <w:r/>
            <w:r>
              <w:rPr>
                <w:sz w:val="16"/>
              </w:rPr>
              <w:t>−13.9</w:t>
            </w:r>
          </w:p>
        </w:tc>
        <w:tc>
          <w:tcPr>
            <w:tcW w:type="dxa" w:w="1440"/>
          </w:tcPr>
          <w:p>
            <w:pPr>
              <w:spacing w:after="0"/>
            </w:pPr>
            <w:r/>
            <w:r>
              <w:rPr>
                <w:sz w:val="16"/>
              </w:rPr>
              <w:t>−13.9</w:t>
            </w:r>
          </w:p>
        </w:tc>
        <w:tc>
          <w:tcPr>
            <w:tcW w:type="dxa" w:w="1440"/>
          </w:tcPr>
          <w:p>
            <w:pPr>
              <w:spacing w:after="0"/>
            </w:pPr>
            <w:r/>
            <w:r>
              <w:rPr>
                <w:sz w:val="16"/>
              </w:rPr>
              <w:t>−26.1</w:t>
            </w:r>
          </w:p>
        </w:tc>
        <w:tc>
          <w:tcPr>
            <w:tcW w:type="dxa" w:w="1440"/>
          </w:tcPr>
          <w:p>
            <w:pPr>
              <w:spacing w:after="0"/>
            </w:pPr>
            <w:r/>
            <w:r>
              <w:rPr>
                <w:sz w:val="16"/>
              </w:rPr>
              <w:t>−7.6</w:t>
            </w:r>
          </w:p>
        </w:tc>
        <w:tc>
          <w:tcPr>
            <w:tcW w:type="dxa" w:w="1440"/>
          </w:tcPr>
          <w:p>
            <w:pPr>
              <w:spacing w:after="0"/>
            </w:pPr>
            <w:r/>
            <w:r>
              <w:rPr>
                <w:sz w:val="16"/>
              </w:rPr>
              <w:t>−30.4</w:t>
            </w:r>
          </w:p>
        </w:tc>
      </w:tr>
      <w:tr>
        <w:tc>
          <w:tcPr>
            <w:tcW w:type="dxa" w:w="1440"/>
          </w:tcPr>
          <w:p>
            <w:pPr>
              <w:spacing w:after="0"/>
            </w:pPr>
            <w:r/>
            <w:r>
              <w:rPr>
                <w:sz w:val="16"/>
              </w:rPr>
              <w:t xml:space="preserve">CBAM obligations, %: </w:t>
            </w:r>
            <w:r>
              <w:rPr>
                <w:b/>
                <w:sz w:val="16"/>
              </w:rPr>
              <w:t>new</w:t>
            </w:r>
          </w:p>
        </w:tc>
        <w:tc>
          <w:tcPr>
            <w:tcW w:type="dxa" w:w="1440"/>
          </w:tcPr>
          <w:p>
            <w:pPr>
              <w:spacing w:after="0"/>
            </w:pPr>
            <w:r/>
            <w:r>
              <w:rPr>
                <w:sz w:val="16"/>
              </w:rPr>
              <w:t>−24.0</w:t>
            </w:r>
          </w:p>
        </w:tc>
        <w:tc>
          <w:tcPr>
            <w:tcW w:type="dxa" w:w="1440"/>
          </w:tcPr>
          <w:p>
            <w:pPr>
              <w:spacing w:after="0"/>
            </w:pPr>
            <w:r/>
            <w:r>
              <w:rPr>
                <w:sz w:val="16"/>
              </w:rPr>
              <w:t>−12.2</w:t>
            </w:r>
          </w:p>
        </w:tc>
        <w:tc>
          <w:tcPr>
            <w:tcW w:type="dxa" w:w="1440"/>
          </w:tcPr>
          <w:p>
            <w:pPr>
              <w:spacing w:after="0"/>
            </w:pPr>
            <w:r/>
            <w:r>
              <w:rPr>
                <w:sz w:val="16"/>
              </w:rPr>
              <w:t>−12.3</w:t>
            </w:r>
          </w:p>
        </w:tc>
        <w:tc>
          <w:tcPr>
            <w:tcW w:type="dxa" w:w="1440"/>
          </w:tcPr>
          <w:p>
            <w:pPr>
              <w:spacing w:after="0"/>
            </w:pPr>
            <w:r/>
            <w:r>
              <w:rPr>
                <w:sz w:val="16"/>
              </w:rPr>
              <w:t>−24.0</w:t>
            </w:r>
          </w:p>
        </w:tc>
        <w:tc>
          <w:tcPr>
            <w:tcW w:type="dxa" w:w="1440"/>
          </w:tcPr>
          <w:p>
            <w:pPr>
              <w:spacing w:after="0"/>
            </w:pPr>
            <w:r/>
            <w:r>
              <w:rPr>
                <w:sz w:val="16"/>
              </w:rPr>
              <w:t>−5.1</w:t>
            </w:r>
          </w:p>
        </w:tc>
        <w:tc>
          <w:tcPr>
            <w:tcW w:type="dxa" w:w="1440"/>
          </w:tcPr>
          <w:p>
            <w:pPr>
              <w:spacing w:after="0"/>
            </w:pPr>
            <w:r/>
            <w:r>
              <w:rPr>
                <w:sz w:val="16"/>
              </w:rPr>
              <w:t>−36.2</w:t>
            </w:r>
          </w:p>
        </w:tc>
      </w:tr>
    </w:tbl>
    <w:p/>
    <w:p>
      <w:pPr>
        <w:pStyle w:val="Heading2"/>
      </w:pPr>
      <w:r>
        <w:t>How K is built, MtCO₂e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pPr>
              <w:spacing w:after="0"/>
            </w:pPr>
            <w:r>
              <w:rPr>
                <w:b/>
              </w:rPr>
            </w:r>
          </w:p>
        </w:tc>
        <w:tc>
          <w:tcPr>
            <w:tcW w:type="dxa" w:w="1440"/>
          </w:tcPr>
          <w:p>
            <w:pPr>
              <w:spacing w:after="0"/>
            </w:pPr>
            <w:r>
              <w:rPr>
                <w:b/>
              </w:rPr>
            </w:r>
            <w:r>
              <w:rPr>
                <w:b/>
                <w:sz w:val="16"/>
              </w:rPr>
              <w:t>1A</w:t>
            </w:r>
          </w:p>
        </w:tc>
        <w:tc>
          <w:tcPr>
            <w:tcW w:type="dxa" w:w="1440"/>
          </w:tcPr>
          <w:p>
            <w:pPr>
              <w:spacing w:after="0"/>
            </w:pPr>
            <w:r>
              <w:rPr>
                <w:b/>
              </w:rPr>
            </w:r>
            <w:r>
              <w:rPr>
                <w:b/>
                <w:sz w:val="16"/>
              </w:rPr>
              <w:t>2A</w:t>
            </w:r>
          </w:p>
        </w:tc>
        <w:tc>
          <w:tcPr>
            <w:tcW w:type="dxa" w:w="1440"/>
          </w:tcPr>
          <w:p>
            <w:pPr>
              <w:spacing w:after="0"/>
            </w:pPr>
            <w:r>
              <w:rPr>
                <w:b/>
              </w:rPr>
            </w:r>
            <w:r>
              <w:rPr>
                <w:b/>
                <w:sz w:val="16"/>
              </w:rPr>
              <w:t>2B</w:t>
            </w:r>
          </w:p>
        </w:tc>
        <w:tc>
          <w:tcPr>
            <w:tcW w:type="dxa" w:w="1440"/>
          </w:tcPr>
          <w:p>
            <w:pPr>
              <w:spacing w:after="0"/>
            </w:pPr>
            <w:r>
              <w:rPr>
                <w:b/>
              </w:rPr>
            </w:r>
            <w:r>
              <w:rPr>
                <w:b/>
                <w:sz w:val="16"/>
              </w:rPr>
              <w:t>3A</w:t>
            </w:r>
          </w:p>
        </w:tc>
        <w:tc>
          <w:tcPr>
            <w:tcW w:type="dxa" w:w="1440"/>
          </w:tcPr>
          <w:p>
            <w:pPr>
              <w:spacing w:after="0"/>
            </w:pPr>
            <w:r>
              <w:rPr>
                <w:b/>
              </w:rPr>
            </w:r>
            <w:r>
              <w:rPr>
                <w:b/>
                <w:sz w:val="16"/>
              </w:rPr>
              <w:t>3B</w:t>
            </w:r>
          </w:p>
        </w:tc>
        <w:tc>
          <w:tcPr>
            <w:tcW w:type="dxa" w:w="1440"/>
          </w:tcPr>
          <w:p>
            <w:pPr>
              <w:spacing w:after="0"/>
            </w:pPr>
            <w:r>
              <w:rPr>
                <w:b/>
              </w:rPr>
            </w:r>
            <w:r>
              <w:rPr>
                <w:b/>
                <w:sz w:val="16"/>
              </w:rPr>
              <w:t>3C</w:t>
            </w:r>
          </w:p>
        </w:tc>
      </w:tr>
      <w:tr>
        <w:tc>
          <w:tcPr>
            <w:tcW w:type="dxa" w:w="1440"/>
          </w:tcPr>
          <w:p>
            <w:pPr>
              <w:spacing w:after="0"/>
            </w:pPr>
            <w:r/>
            <w:r>
              <w:rPr>
                <w:sz w:val="16"/>
              </w:rPr>
              <w:t>CPAT ΔGHG of the run</w:t>
            </w:r>
          </w:p>
        </w:tc>
        <w:tc>
          <w:tcPr>
            <w:tcW w:type="dxa" w:w="1440"/>
          </w:tcPr>
          <w:p>
            <w:pPr>
              <w:spacing w:after="0"/>
            </w:pPr>
            <w:r/>
            <w:r>
              <w:rPr>
                <w:sz w:val="16"/>
              </w:rPr>
              <w:t>−38.9</w:t>
            </w:r>
          </w:p>
        </w:tc>
        <w:tc>
          <w:tcPr>
            <w:tcW w:type="dxa" w:w="1440"/>
          </w:tcPr>
          <w:p>
            <w:pPr>
              <w:spacing w:after="0"/>
            </w:pPr>
            <w:r/>
            <w:r>
              <w:rPr>
                <w:sz w:val="16"/>
              </w:rPr>
              <w:t>−38.9</w:t>
            </w:r>
          </w:p>
        </w:tc>
        <w:tc>
          <w:tcPr>
            <w:tcW w:type="dxa" w:w="1440"/>
          </w:tcPr>
          <w:p>
            <w:pPr>
              <w:spacing w:after="0"/>
            </w:pPr>
            <w:r/>
            <w:r>
              <w:rPr>
                <w:sz w:val="16"/>
              </w:rPr>
              <w:t>−41.0</w:t>
            </w:r>
          </w:p>
        </w:tc>
        <w:tc>
          <w:tcPr>
            <w:tcW w:type="dxa" w:w="1440"/>
          </w:tcPr>
          <w:p>
            <w:pPr>
              <w:spacing w:after="0"/>
            </w:pPr>
            <w:r/>
            <w:r>
              <w:rPr>
                <w:sz w:val="16"/>
              </w:rPr>
              <w:t>−21.5</w:t>
            </w:r>
          </w:p>
        </w:tc>
        <w:tc>
          <w:tcPr>
            <w:tcW w:type="dxa" w:w="1440"/>
          </w:tcPr>
          <w:p>
            <w:pPr>
              <w:spacing w:after="0"/>
            </w:pPr>
            <w:r/>
            <w:r>
              <w:rPr>
                <w:sz w:val="16"/>
              </w:rPr>
              <w:t>−21.5</w:t>
            </w:r>
          </w:p>
        </w:tc>
        <w:tc>
          <w:tcPr>
            <w:tcW w:type="dxa" w:w="1440"/>
          </w:tcPr>
          <w:p>
            <w:pPr>
              <w:spacing w:after="0"/>
            </w:pPr>
            <w:r/>
            <w:r>
              <w:rPr>
                <w:sz w:val="16"/>
              </w:rPr>
              <w:t>−21.5</w:t>
            </w:r>
          </w:p>
        </w:tc>
      </w:tr>
      <w:tr>
        <w:tc>
          <w:tcPr>
            <w:tcW w:type="dxa" w:w="1440"/>
          </w:tcPr>
          <w:p>
            <w:pPr>
              <w:spacing w:after="0"/>
            </w:pPr>
            <w:r/>
            <w:r>
              <w:rPr>
                <w:sz w:val="16"/>
              </w:rPr>
              <w:t>CPAT industry change, % (applied to block)</w:t>
            </w:r>
          </w:p>
        </w:tc>
        <w:tc>
          <w:tcPr>
            <w:tcW w:type="dxa" w:w="1440"/>
          </w:tcPr>
          <w:p>
            <w:pPr>
              <w:spacing w:after="0"/>
            </w:pPr>
            <w:r/>
            <w:r>
              <w:rPr>
                <w:sz w:val="16"/>
              </w:rPr>
              <w:t>−13.9</w:t>
            </w:r>
          </w:p>
        </w:tc>
        <w:tc>
          <w:tcPr>
            <w:tcW w:type="dxa" w:w="1440"/>
          </w:tcPr>
          <w:p>
            <w:pPr>
              <w:spacing w:after="0"/>
            </w:pPr>
            <w:r/>
            <w:r>
              <w:rPr>
                <w:sz w:val="16"/>
              </w:rPr>
              <w:t>−13.9</w:t>
            </w:r>
          </w:p>
        </w:tc>
        <w:tc>
          <w:tcPr>
            <w:tcW w:type="dxa" w:w="1440"/>
          </w:tcPr>
          <w:p>
            <w:pPr>
              <w:spacing w:after="0"/>
            </w:pPr>
            <w:r/>
            <w:r>
              <w:rPr>
                <w:sz w:val="16"/>
              </w:rPr>
              <w:t>−14.6</w:t>
            </w:r>
          </w:p>
        </w:tc>
        <w:tc>
          <w:tcPr>
            <w:tcW w:type="dxa" w:w="1440"/>
          </w:tcPr>
          <w:p>
            <w:pPr>
              <w:spacing w:after="0"/>
            </w:pPr>
            <w:r/>
            <w:r>
              <w:rPr>
                <w:sz w:val="16"/>
              </w:rPr>
              <w:t>−9.6</w:t>
            </w:r>
          </w:p>
        </w:tc>
        <w:tc>
          <w:tcPr>
            <w:tcW w:type="dxa" w:w="1440"/>
          </w:tcPr>
          <w:p>
            <w:pPr>
              <w:spacing w:after="0"/>
            </w:pPr>
            <w:r/>
            <w:r>
              <w:rPr>
                <w:sz w:val="16"/>
              </w:rPr>
              <w:t>−9.6</w:t>
            </w:r>
          </w:p>
        </w:tc>
        <w:tc>
          <w:tcPr>
            <w:tcW w:type="dxa" w:w="1440"/>
          </w:tcPr>
          <w:p>
            <w:pPr>
              <w:spacing w:after="0"/>
            </w:pPr>
            <w:r/>
            <w:r>
              <w:rPr>
                <w:sz w:val="16"/>
              </w:rPr>
              <w:t>−9.6</w:t>
            </w:r>
          </w:p>
        </w:tc>
      </w:tr>
      <w:tr>
        <w:tc>
          <w:tcPr>
            <w:tcW w:type="dxa" w:w="1440"/>
          </w:tcPr>
          <w:p>
            <w:pPr>
              <w:spacing w:after="0"/>
            </w:pPr>
            <w:r/>
            <w:r>
              <w:rPr>
                <w:sz w:val="16"/>
              </w:rPr>
              <w:t>Block emissions, baseline (fuel + process)</w:t>
            </w:r>
          </w:p>
        </w:tc>
        <w:tc>
          <w:tcPr>
            <w:tcW w:type="dxa" w:w="1440"/>
          </w:tcPr>
          <w:p>
            <w:pPr>
              <w:spacing w:after="0"/>
            </w:pPr>
            <w:r/>
            <w:r>
              <w:rPr>
                <w:sz w:val="16"/>
              </w:rPr>
              <w:t>63.1</w:t>
            </w:r>
          </w:p>
        </w:tc>
        <w:tc>
          <w:tcPr>
            <w:tcW w:type="dxa" w:w="1440"/>
          </w:tcPr>
          <w:p>
            <w:pPr>
              <w:spacing w:after="0"/>
            </w:pPr>
            <w:r/>
            <w:r>
              <w:rPr>
                <w:sz w:val="16"/>
              </w:rPr>
              <w:t>63.1</w:t>
            </w:r>
          </w:p>
        </w:tc>
        <w:tc>
          <w:tcPr>
            <w:tcW w:type="dxa" w:w="1440"/>
          </w:tcPr>
          <w:p>
            <w:pPr>
              <w:spacing w:after="0"/>
            </w:pPr>
            <w:r/>
            <w:r>
              <w:rPr>
                <w:sz w:val="16"/>
              </w:rPr>
              <w:t>63.1</w:t>
            </w:r>
          </w:p>
        </w:tc>
        <w:tc>
          <w:tcPr>
            <w:tcW w:type="dxa" w:w="1440"/>
          </w:tcPr>
          <w:p>
            <w:pPr>
              <w:spacing w:after="0"/>
            </w:pPr>
            <w:r/>
            <w:r>
              <w:rPr>
                <w:sz w:val="16"/>
              </w:rPr>
              <w:t>63.1</w:t>
            </w:r>
          </w:p>
        </w:tc>
        <w:tc>
          <w:tcPr>
            <w:tcW w:type="dxa" w:w="1440"/>
          </w:tcPr>
          <w:p>
            <w:pPr>
              <w:spacing w:after="0"/>
            </w:pPr>
            <w:r/>
            <w:r>
              <w:rPr>
                <w:sz w:val="16"/>
              </w:rPr>
              <w:t>63.1</w:t>
            </w:r>
          </w:p>
        </w:tc>
        <w:tc>
          <w:tcPr>
            <w:tcW w:type="dxa" w:w="1440"/>
          </w:tcPr>
          <w:p>
            <w:pPr>
              <w:spacing w:after="0"/>
            </w:pPr>
            <w:r/>
            <w:r>
              <w:rPr>
                <w:sz w:val="16"/>
              </w:rPr>
              <w:t>63.1</w:t>
            </w:r>
          </w:p>
        </w:tc>
      </w:tr>
      <w:tr>
        <w:tc>
          <w:tcPr>
            <w:tcW w:type="dxa" w:w="1440"/>
          </w:tcPr>
          <w:p>
            <w:pPr>
              <w:spacing w:after="0"/>
            </w:pPr>
            <w:r/>
            <w:r>
              <w:rPr>
                <w:sz w:val="16"/>
              </w:rPr>
              <w:t>less: CPAT's implied block change</w:t>
            </w:r>
          </w:p>
        </w:tc>
        <w:tc>
          <w:tcPr>
            <w:tcW w:type="dxa" w:w="1440"/>
          </w:tcPr>
          <w:p>
            <w:pPr>
              <w:spacing w:after="0"/>
            </w:pPr>
            <w:r/>
            <w:r>
              <w:rPr>
                <w:sz w:val="16"/>
              </w:rPr>
              <w:t>8.8</w:t>
            </w:r>
          </w:p>
        </w:tc>
        <w:tc>
          <w:tcPr>
            <w:tcW w:type="dxa" w:w="1440"/>
          </w:tcPr>
          <w:p>
            <w:pPr>
              <w:spacing w:after="0"/>
            </w:pPr>
            <w:r/>
            <w:r>
              <w:rPr>
                <w:sz w:val="16"/>
              </w:rPr>
              <w:t>8.8</w:t>
            </w:r>
          </w:p>
        </w:tc>
        <w:tc>
          <w:tcPr>
            <w:tcW w:type="dxa" w:w="1440"/>
          </w:tcPr>
          <w:p>
            <w:pPr>
              <w:spacing w:after="0"/>
            </w:pPr>
            <w:r/>
            <w:r>
              <w:rPr>
                <w:sz w:val="16"/>
              </w:rPr>
              <w:t>9.2</w:t>
            </w:r>
          </w:p>
        </w:tc>
        <w:tc>
          <w:tcPr>
            <w:tcW w:type="dxa" w:w="1440"/>
          </w:tcPr>
          <w:p>
            <w:pPr>
              <w:spacing w:after="0"/>
            </w:pPr>
            <w:r/>
            <w:r>
              <w:rPr>
                <w:sz w:val="16"/>
              </w:rPr>
              <w:t>6.1</w:t>
            </w:r>
          </w:p>
        </w:tc>
        <w:tc>
          <w:tcPr>
            <w:tcW w:type="dxa" w:w="1440"/>
          </w:tcPr>
          <w:p>
            <w:pPr>
              <w:spacing w:after="0"/>
            </w:pPr>
            <w:r/>
            <w:r>
              <w:rPr>
                <w:sz w:val="16"/>
              </w:rPr>
              <w:t>6.1</w:t>
            </w:r>
          </w:p>
        </w:tc>
        <w:tc>
          <w:tcPr>
            <w:tcW w:type="dxa" w:w="1440"/>
          </w:tcPr>
          <w:p>
            <w:pPr>
              <w:spacing w:after="0"/>
            </w:pPr>
            <w:r/>
            <w:r>
              <w:rPr>
                <w:sz w:val="16"/>
              </w:rPr>
              <w:t>6.1</w:t>
            </w:r>
          </w:p>
        </w:tc>
      </w:tr>
      <w:tr>
        <w:tc>
          <w:tcPr>
            <w:tcW w:type="dxa" w:w="1440"/>
          </w:tcPr>
          <w:p>
            <w:pPr>
              <w:spacing w:after="0"/>
            </w:pPr>
            <w:r/>
            <w:r>
              <w:rPr>
                <w:sz w:val="16"/>
              </w:rPr>
              <w:t>memo: CPAT fuel-intensity response, %</w:t>
            </w:r>
          </w:p>
        </w:tc>
        <w:tc>
          <w:tcPr>
            <w:tcW w:type="dxa" w:w="1440"/>
          </w:tcPr>
          <w:p>
            <w:pPr>
              <w:spacing w:after="0"/>
            </w:pPr>
            <w:r/>
            <w:r>
              <w:rPr>
                <w:sz w:val="16"/>
              </w:rPr>
              <w:t>−4.9</w:t>
            </w:r>
          </w:p>
        </w:tc>
        <w:tc>
          <w:tcPr>
            <w:tcW w:type="dxa" w:w="1440"/>
          </w:tcPr>
          <w:p>
            <w:pPr>
              <w:spacing w:after="0"/>
            </w:pPr>
            <w:r/>
            <w:r>
              <w:rPr>
                <w:sz w:val="16"/>
              </w:rPr>
              <w:t>−4.9</w:t>
            </w:r>
          </w:p>
        </w:tc>
        <w:tc>
          <w:tcPr>
            <w:tcW w:type="dxa" w:w="1440"/>
          </w:tcPr>
          <w:p>
            <w:pPr>
              <w:spacing w:after="0"/>
            </w:pPr>
            <w:r/>
            <w:r>
              <w:rPr>
                <w:sz w:val="16"/>
              </w:rPr>
              <w:t>−5.1</w:t>
            </w:r>
          </w:p>
        </w:tc>
        <w:tc>
          <w:tcPr>
            <w:tcW w:type="dxa" w:w="1440"/>
          </w:tcPr>
          <w:p>
            <w:pPr>
              <w:spacing w:after="0"/>
            </w:pPr>
            <w:r/>
            <w:r>
              <w:rPr>
                <w:sz w:val="16"/>
              </w:rPr>
              <w:t>−4.9</w:t>
            </w:r>
          </w:p>
        </w:tc>
        <w:tc>
          <w:tcPr>
            <w:tcW w:type="dxa" w:w="1440"/>
          </w:tcPr>
          <w:p>
            <w:pPr>
              <w:spacing w:after="0"/>
            </w:pPr>
            <w:r/>
            <w:r>
              <w:rPr>
                <w:sz w:val="16"/>
              </w:rPr>
              <w:t>−4.9</w:t>
            </w:r>
          </w:p>
        </w:tc>
        <w:tc>
          <w:tcPr>
            <w:tcW w:type="dxa" w:w="1440"/>
          </w:tcPr>
          <w:p>
            <w:pPr>
              <w:spacing w:after="0"/>
            </w:pPr>
            <w:r/>
            <w:r>
              <w:rPr>
                <w:sz w:val="16"/>
              </w:rPr>
              <w:t>−4.9</w:t>
            </w:r>
          </w:p>
        </w:tc>
      </w:tr>
      <w:tr>
        <w:tc>
          <w:tcPr>
            <w:tcW w:type="dxa" w:w="1440"/>
          </w:tcPr>
          <w:p>
            <w:pPr>
              <w:spacing w:after="0"/>
            </w:pPr>
            <w:r/>
            <w:r>
              <w:rPr>
                <w:sz w:val="16"/>
              </w:rPr>
              <w:t>plus: new block change</w:t>
            </w:r>
          </w:p>
        </w:tc>
        <w:tc>
          <w:tcPr>
            <w:tcW w:type="dxa" w:w="1440"/>
          </w:tcPr>
          <w:p>
            <w:pPr>
              <w:spacing w:after="0"/>
            </w:pPr>
            <w:r/>
            <w:r>
              <w:rPr>
                <w:sz w:val="16"/>
              </w:rPr>
              <w:t>−7.3</w:t>
            </w:r>
          </w:p>
        </w:tc>
        <w:tc>
          <w:tcPr>
            <w:tcW w:type="dxa" w:w="1440"/>
          </w:tcPr>
          <w:p>
            <w:pPr>
              <w:spacing w:after="0"/>
            </w:pPr>
            <w:r/>
            <w:r>
              <w:rPr>
                <w:sz w:val="16"/>
              </w:rPr>
              <w:t>−3.0</w:t>
            </w:r>
          </w:p>
        </w:tc>
        <w:tc>
          <w:tcPr>
            <w:tcW w:type="dxa" w:w="1440"/>
          </w:tcPr>
          <w:p>
            <w:pPr>
              <w:spacing w:after="0"/>
            </w:pPr>
            <w:r/>
            <w:r>
              <w:rPr>
                <w:sz w:val="16"/>
              </w:rPr>
              <w:t>−3.0</w:t>
            </w:r>
          </w:p>
        </w:tc>
        <w:tc>
          <w:tcPr>
            <w:tcW w:type="dxa" w:w="1440"/>
          </w:tcPr>
          <w:p>
            <w:pPr>
              <w:spacing w:after="0"/>
            </w:pPr>
            <w:r/>
            <w:r>
              <w:rPr>
                <w:sz w:val="16"/>
              </w:rPr>
              <w:t>−7.3</w:t>
            </w:r>
          </w:p>
        </w:tc>
        <w:tc>
          <w:tcPr>
            <w:tcW w:type="dxa" w:w="1440"/>
          </w:tcPr>
          <w:p>
            <w:pPr>
              <w:spacing w:after="0"/>
            </w:pPr>
            <w:r/>
            <w:r>
              <w:rPr>
                <w:sz w:val="16"/>
              </w:rPr>
              <w:t>−3.7</w:t>
            </w:r>
          </w:p>
        </w:tc>
        <w:tc>
          <w:tcPr>
            <w:tcW w:type="dxa" w:w="1440"/>
          </w:tcPr>
          <w:p>
            <w:pPr>
              <w:spacing w:after="0"/>
            </w:pPr>
            <w:r/>
            <w:r>
              <w:rPr>
                <w:sz w:val="16"/>
              </w:rPr>
              <w:t>−17.6</w:t>
            </w:r>
          </w:p>
        </w:tc>
      </w:tr>
      <w:tr>
        <w:tc>
          <w:tcPr>
            <w:tcW w:type="dxa" w:w="1440"/>
          </w:tcPr>
          <w:p>
            <w:pPr>
              <w:spacing w:after="0"/>
            </w:pPr>
            <w:r/>
            <w:r>
              <w:rPr>
                <w:b/>
                <w:sz w:val="16"/>
              </w:rPr>
              <w:t>K</w:t>
            </w:r>
          </w:p>
        </w:tc>
        <w:tc>
          <w:tcPr>
            <w:tcW w:type="dxa" w:w="1440"/>
          </w:tcPr>
          <w:p>
            <w:pPr>
              <w:spacing w:after="0"/>
            </w:pPr>
            <w:r/>
            <w:r>
              <w:rPr>
                <w:sz w:val="16"/>
              </w:rPr>
              <w:t>−37.4</w:t>
            </w:r>
          </w:p>
        </w:tc>
        <w:tc>
          <w:tcPr>
            <w:tcW w:type="dxa" w:w="1440"/>
          </w:tcPr>
          <w:p>
            <w:pPr>
              <w:spacing w:after="0"/>
            </w:pPr>
            <w:r/>
            <w:r>
              <w:rPr>
                <w:sz w:val="16"/>
              </w:rPr>
              <w:t>−33.1</w:t>
            </w:r>
          </w:p>
        </w:tc>
        <w:tc>
          <w:tcPr>
            <w:tcW w:type="dxa" w:w="1440"/>
          </w:tcPr>
          <w:p>
            <w:pPr>
              <w:spacing w:after="0"/>
            </w:pPr>
            <w:r/>
            <w:r>
              <w:rPr>
                <w:sz w:val="16"/>
              </w:rPr>
              <w:t>−34.8</w:t>
            </w:r>
          </w:p>
        </w:tc>
        <w:tc>
          <w:tcPr>
            <w:tcW w:type="dxa" w:w="1440"/>
          </w:tcPr>
          <w:p>
            <w:pPr>
              <w:spacing w:after="0"/>
            </w:pPr>
            <w:r/>
            <w:r>
              <w:rPr>
                <w:sz w:val="16"/>
              </w:rPr>
              <w:t>−22.8</w:t>
            </w:r>
          </w:p>
        </w:tc>
        <w:tc>
          <w:tcPr>
            <w:tcW w:type="dxa" w:w="1440"/>
          </w:tcPr>
          <w:p>
            <w:pPr>
              <w:spacing w:after="0"/>
            </w:pPr>
            <w:r/>
            <w:r>
              <w:rPr>
                <w:sz w:val="16"/>
              </w:rPr>
              <w:t>−19.1</w:t>
            </w:r>
          </w:p>
        </w:tc>
        <w:tc>
          <w:tcPr>
            <w:tcW w:type="dxa" w:w="1440"/>
          </w:tcPr>
          <w:p>
            <w:pPr>
              <w:spacing w:after="0"/>
            </w:pPr>
            <w:r/>
            <w:r>
              <w:rPr>
                <w:sz w:val="16"/>
              </w:rPr>
              <w:t>−33.0</w:t>
            </w:r>
          </w:p>
        </w:tc>
      </w:tr>
    </w:tbl>
    <w:p/>
    <w:p>
      <w:pPr>
        <w:pStyle w:val="Heading2"/>
      </w:pPr>
      <w:r>
        <w:t>Method notes</w:t>
      </w:r>
    </w:p>
    <w:p>
      <w:pPr>
        <w:pStyle w:val="ListBullet"/>
      </w:pPr>
      <w:r>
        <w:rPr>
          <w:b/>
        </w:rPr>
        <w:t>Runs.</w:t>
      </w:r>
      <w:r>
        <w:t xml:space="preserve"> 1A and 2A = EG1, 2B = EG2, 3A–3C = EG3 (CPAT csv, 2030).</w:t>
      </w:r>
    </w:p>
    <w:p>
      <w:pPr>
        <w:pStyle w:val="ListBullet"/>
      </w:pPr>
      <w:r>
        <w:rPr>
          <w:b/>
        </w:rPr>
        <w:t>IPPU.</w:t>
      </w:r>
      <w:r>
        <w:t xml:space="preserve"> CPAT scales all IPPU with industrial energy CO₂. The carve-out keeps that for non-CBAM IPPU (about 50 Mt, mainly F-gases and other process emissions) and replaces it only for the block. Prototype v0.16 held non-CBAM IPPU fixed, which is most of why its 1A cut was lower.</w:t>
      </w:r>
    </w:p>
    <w:p>
      <w:pPr>
        <w:pStyle w:val="ListBullet"/>
      </w:pPr>
      <w:r>
        <w:rPr>
          <w:b/>
        </w:rPr>
        <w:t>Growth.</w:t>
      </w:r>
      <w:r>
        <w:t xml:space="preserve"> Block output is rescaled so 2024–2030 growth matches CPAT sector energy CO₂: steel (irn) x0.976, cement (cem) x1.001. CPAT has no energy in mining &amp; chemicals (mch) or non-ferrous metals (nfm) for Egypt, so fertilisers (mch) x1.157 and aluminium (nfm) x0.956 follow total CPAT industry growth.</w:t>
      </w:r>
    </w:p>
    <w:p>
      <w:pPr>
        <w:pStyle w:val="ListBullet"/>
      </w:pPr>
      <w:r>
        <w:rPr>
          <w:b/>
        </w:rPr>
        <w:t>Sectors.</w:t>
      </w:r>
      <w:r>
        <w:t xml:space="preserve"> irn = iron and steel; cem = cement (non-metallic minerals); mch = mining and chemicals (ammonia, urea, ammonium nitrate); nfm = non-ferrous metals (aluminium).</w:t>
      </w:r>
    </w:p>
    <w:p>
      <w:pPr>
        <w:pStyle w:val="ListBullet"/>
      </w:pPr>
      <w:r>
        <w:rPr>
          <w:b/>
        </w:rPr>
        <w:t>Revenue P.</w:t>
      </w:r>
      <w:r>
        <w:t xml:space="preserve"> CPAT carbon-tax receipts of the run, plus the block fuel-revenue adjustment, plus block process fees; less the 3B output-based rebate and the 3C abatement fund (kernel v0.16).</w:t>
      </w:r>
    </w:p>
    <w:p>
      <w:pPr>
        <w:pStyle w:val="ListBullet"/>
      </w:pPr>
      <w:r>
        <w:rPr>
          <w:b/>
        </w:rPr>
        <w:t>Deaths Q.</w:t>
      </w:r>
      <w:r>
        <w:t xml:space="preserve"> CPAT deaths of the run, scaled by (CPAT Δenergy CO₂ + block fuel adjustment) / CPAT Δenergy CO₂.</w:t>
      </w:r>
    </w:p>
    <w:p>
      <w:pPr>
        <w:pStyle w:val="ListBullet"/>
      </w:pPr>
      <w:r>
        <w:rPr>
          <w:b/>
        </w:rPr>
        <w:t>Coverage J.</w:t>
      </w:r>
      <w:r>
        <w:t xml:space="preserve"> 1A: all energy CO₂ plus block process; 2A/2B: energy CO₂; 3A–3C: EG3's priced industry energy (κ = 0.537 of 89.0 Mt) plus block process.</w:t>
      </w:r>
    </w:p>
    <w:p>
      <w:pPr>
        <w:pStyle w:val="ListBullet"/>
      </w:pPr>
      <w:r>
        <w:rPr>
          <w:b/>
        </w:rPr>
        <w:t>CBAM-sector intensity.</w:t>
      </w:r>
      <w:r>
        <w:t xml:space="preserve"> Fuel per tonne falls by CPAT's efficiency response: one third of CPAT's industry fuel response (s_int = 1/3, Methodology section 3), i.e. (1 + r)^(1/3) - 1. EG3 prices only 54 % of industry, so 3A–3C use the EG1 value (same USD 20/t; the block is fully priced). Process emissions per tonne change only where they are charged (1A, 3A–3C), from the kernel.</w:t>
      </w:r>
    </w:p>
    <w:p>
      <w:pPr>
        <w:pStyle w:val="ListBullet"/>
      </w:pPr>
      <w:r>
        <w:rPr>
          <w:b/>
        </w:rPr>
        <w:t>No double counting.</w:t>
      </w:r>
      <w:r>
        <w:t xml:space="preserve"> CPAT's block change (energy and its proportional IPPU) is removed in full; the block then gets CPAT's intensity response once and the kernel's output and process response once. The kernel's own fuel response is not used.</w:t>
      </w:r>
    </w:p>
    <w:p>
      <w:pPr>
        <w:pStyle w:val="ListBullet"/>
      </w:pPr>
      <w:r>
        <w:rPr>
          <w:b/>
        </w:rPr>
        <w:t>N, O.</w:t>
      </w:r>
      <w:r>
        <w:t xml:space="preserve"> Kernel v0.16 values plus the fuel-intensity term. O moves by 0.8 x the N change (the 20/100 domestic-price credit, NOPHASE); 3B by 1.0 (free allocation leaves no credit). M is unchanged.</w:t>
      </w:r>
    </w:p>
    <w:p>
      <w:pPr>
        <w:pStyle w:val="ListBullet"/>
      </w:pPr>
      <w:r>
        <w:rPr>
          <w:b/>
        </w:rPr>
        <w:t>3B rebate and 3C fund</w:t>
      </w:r>
      <w:r>
        <w:t xml:space="preserve"> are kernel v0.16 values; the small change in block fuel payments is not fed back into them (under 0.05 $bn).</w:t>
      </w:r>
    </w:p>
    <w:p>
      <w:pPr>
        <w:pStyle w:val="ListBullet"/>
      </w:pPr>
      <w:r>
        <w:rPr>
          <w:b/>
        </w:rPr>
        <w:t>Why 3A–3C are low.</w:t>
      </w:r>
      <w:r>
        <w:t xml:space="preserve"> EG3 prices only about 54 % of industrial energy CO₂, as CPAT ran it.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603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603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603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