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2030 CBAM phase-in)</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-22.9%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-23.0%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-53.1%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USD0.6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5</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53</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under the 2030 CBAM phase-in,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44%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23%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53</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44%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53%</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the smallest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