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36777" w14:textId="6783CC75" w:rsidR="00617779" w:rsidRDefault="00617779" w:rsidP="00617779">
      <w:pPr>
        <w:pStyle w:val="Heading2"/>
        <w:spacing w:before="240"/>
      </w:pPr>
      <w:r>
        <w:t>Summary</w:t>
      </w:r>
    </w:p>
    <w:p w14:paraId="1D8BAA77" w14:textId="4B346599" w:rsidR="00C36A43" w:rsidRPr="00C36A43" w:rsidRDefault="00C36A43" w:rsidP="00C36A43">
      <w:pPr>
        <w:numPr>
          <w:ilvl w:val="0"/>
          <w:numId w:val="1"/>
        </w:numPr>
      </w:pPr>
      <w:r w:rsidRPr="00C36A43">
        <w:rPr>
          <w:b/>
          <w:bCs/>
        </w:rPr>
        <w:t>Process emissions are double-counted, and the appendix method wasn't applied.</w:t>
      </w:r>
      <w:r w:rsidRPr="00C36A43">
        <w:t xml:space="preserve"> CPAT's default scales IPPU with industrial energy CO₂, so 31–38% of every "energy-only" reduction (−12 Mt in 2A/2B) is already process; 1A adds a further −0.6 Mt from the semi-elasticity on top.</w:t>
      </w:r>
      <w:r w:rsidR="00F83592">
        <w:br/>
      </w:r>
      <w:r w:rsidR="00F83592">
        <w:br/>
        <w:t>CLARIFICATION:  there’s an ADDITIONAL application of CARBON PRICING on process emissions. I argue that is additional.</w:t>
      </w:r>
    </w:p>
    <w:p w14:paraId="1217586C" w14:textId="77777777" w:rsidR="00C36A43" w:rsidRPr="00C36A43" w:rsidRDefault="00C36A43" w:rsidP="00C36A43">
      <w:pPr>
        <w:numPr>
          <w:ilvl w:val="0"/>
          <w:numId w:val="1"/>
        </w:numPr>
      </w:pPr>
      <w:r w:rsidRPr="00C36A43">
        <w:rPr>
          <w:b/>
          <w:bCs/>
        </w:rPr>
        <w:t>1A is built on 2B (transfers), not 2A</w:t>
      </w:r>
      <w:r w:rsidRPr="00C36A43">
        <w:t>, though it's described as public-investment recycling; on 2A it would be −39.5 Mt and 1,589 deaths.</w:t>
      </w:r>
    </w:p>
    <w:p w14:paraId="24A7DBC3" w14:textId="77777777" w:rsidR="00C36A43" w:rsidRPr="00C36A43" w:rsidRDefault="00C36A43" w:rsidP="00C36A43">
      <w:pPr>
        <w:numPr>
          <w:ilvl w:val="0"/>
          <w:numId w:val="1"/>
        </w:numPr>
      </w:pPr>
      <w:r w:rsidRPr="00C36A43">
        <w:rPr>
          <w:b/>
          <w:bCs/>
        </w:rPr>
        <w:t>3B is untraceable</w:t>
      </w:r>
      <w:r w:rsidRPr="00C36A43">
        <w:t>: a typed-in −13.59 Mt × (2/3)/0.5. CPAT's own feebate run (EG4) gives −9.6 Mt and is misconfigured (coverage switches all off, the reduction comes from power). The Egypt note's text (13.6 Mt, 5%) and the 345 deaths use the pre-scaling figure; the table uses −18.1.</w:t>
      </w:r>
    </w:p>
    <w:p w14:paraId="56A687FA" w14:textId="77777777" w:rsidR="00C36A43" w:rsidRPr="00C36A43" w:rsidRDefault="00C36A43" w:rsidP="00C36A43">
      <w:pPr>
        <w:numPr>
          <w:ilvl w:val="0"/>
          <w:numId w:val="1"/>
        </w:numPr>
      </w:pPr>
      <w:r w:rsidRPr="00C36A43">
        <w:rPr>
          <w:b/>
          <w:bCs/>
        </w:rPr>
        <w:t>The −0.549%/$ "half elasticity"</w:t>
      </w:r>
      <w:r w:rsidRPr="00C36A43">
        <w:t xml:space="preserve"> can't be reproduced from any CPAT output in the workbook, and the 53.6 Mt CBAM base is "estimated" with no source.</w:t>
      </w:r>
    </w:p>
    <w:p w14:paraId="4DBB6E3E" w14:textId="77777777" w:rsidR="00C36A43" w:rsidRPr="00C36A43" w:rsidRDefault="00C36A43" w:rsidP="00C36A43">
      <w:pPr>
        <w:numPr>
          <w:ilvl w:val="0"/>
          <w:numId w:val="1"/>
        </w:numPr>
      </w:pPr>
      <w:r w:rsidRPr="00C36A43">
        <w:rPr>
          <w:b/>
          <w:bCs/>
        </w:rPr>
        <w:t>Base years are mixed</w:t>
      </w:r>
      <w:r w:rsidRPr="00C36A43">
        <w:t>: revenue uses 2026 pre-response emissions (CPAT's own 2030 figure for EG1 is $6.2 bn, not $5.2 bn); the Egypt note's 3A revenue (1.1) matches neither the matrix (2.4) nor CPAT (0.9).</w:t>
      </w:r>
    </w:p>
    <w:p w14:paraId="2A8113FF" w14:textId="77777777" w:rsidR="00C36A43" w:rsidRPr="00C36A43" w:rsidRDefault="00C36A43" w:rsidP="00C36A43">
      <w:pPr>
        <w:numPr>
          <w:ilvl w:val="0"/>
          <w:numId w:val="1"/>
        </w:numPr>
      </w:pPr>
      <w:r w:rsidRPr="00C36A43">
        <w:rPr>
          <w:b/>
          <w:bCs/>
        </w:rPr>
        <w:t>Three different denominators</w:t>
      </w:r>
      <w:r w:rsidRPr="00C36A43">
        <w:t xml:space="preserve"> for "% of emissions" (249 Mt in the note, 488.7 Mt in the matrix, 594 Mt in CPAT), and the 72%/65%/20% coverage shares are typed in rather than computed</w:t>
      </w:r>
    </w:p>
    <w:p w14:paraId="46D011FF" w14:textId="5D3DDCC3" w:rsidR="00617779" w:rsidRDefault="00617779" w:rsidP="00617779">
      <w:pPr>
        <w:pStyle w:val="Heading2"/>
        <w:spacing w:before="240"/>
      </w:pPr>
      <w:r>
        <w:t>Issues flagged</w:t>
      </w:r>
    </w:p>
    <w:p w14:paraId="374F378F" w14:textId="77777777" w:rsidR="00617779" w:rsidRDefault="00617779" w:rsidP="00617779">
      <w:r>
        <w:t>Bugs in the workbook, inconsistencies with Egypt_Results_Final, and points that cannot be traced. Values that the Egypt note already reports are consistent with the matrix except where noted.</w:t>
      </w:r>
    </w:p>
    <w:tbl>
      <w:tblPr>
        <w:tblW w:w="9360" w:type="dxa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ayout w:type="fixed"/>
        <w:tblLook w:val="0020" w:firstRow="1" w:lastRow="0" w:firstColumn="0" w:lastColumn="0" w:noHBand="0" w:noVBand="0"/>
      </w:tblPr>
      <w:tblGrid>
        <w:gridCol w:w="480"/>
        <w:gridCol w:w="2200"/>
        <w:gridCol w:w="6680"/>
      </w:tblGrid>
      <w:tr w:rsidR="00617779" w14:paraId="7A64DEF6" w14:textId="77777777">
        <w:trPr>
          <w:tblHeader/>
        </w:trPr>
        <w:tc>
          <w:tcPr>
            <w:tcW w:w="480" w:type="dxa"/>
            <w:tcBorders>
              <w:top w:val="single" w:sz="8" w:space="0" w:color="000000"/>
              <w:left w:val="nil"/>
              <w:bottom w:val="single" w:sz="4" w:space="0" w:color="BFBFBF"/>
              <w:right w:val="nil"/>
            </w:tcBorders>
            <w:hideMark/>
          </w:tcPr>
          <w:p w14:paraId="75132D35" w14:textId="77777777" w:rsidR="00617779" w:rsidRDefault="00617779">
            <w:pPr>
              <w:spacing w:before="40" w:after="40" w:line="240" w:lineRule="auto"/>
            </w:pPr>
            <w:r>
              <w:rPr>
                <w:b/>
                <w:sz w:val="19"/>
                <w:szCs w:val="19"/>
              </w:rPr>
              <w:t>#</w:t>
            </w:r>
          </w:p>
        </w:tc>
        <w:tc>
          <w:tcPr>
            <w:tcW w:w="2200" w:type="dxa"/>
            <w:tcBorders>
              <w:top w:val="single" w:sz="8" w:space="0" w:color="000000"/>
              <w:left w:val="nil"/>
              <w:bottom w:val="single" w:sz="4" w:space="0" w:color="BFBFBF"/>
              <w:right w:val="nil"/>
            </w:tcBorders>
            <w:hideMark/>
          </w:tcPr>
          <w:p w14:paraId="7BBA364C" w14:textId="77777777" w:rsidR="00617779" w:rsidRDefault="00617779">
            <w:pPr>
              <w:spacing w:before="40" w:after="40" w:line="240" w:lineRule="auto"/>
            </w:pPr>
            <w:r>
              <w:rPr>
                <w:b/>
                <w:sz w:val="19"/>
                <w:szCs w:val="19"/>
              </w:rPr>
              <w:t>Issue</w:t>
            </w:r>
          </w:p>
        </w:tc>
        <w:tc>
          <w:tcPr>
            <w:tcW w:w="6680" w:type="dxa"/>
            <w:tcBorders>
              <w:top w:val="single" w:sz="8" w:space="0" w:color="000000"/>
              <w:left w:val="nil"/>
              <w:bottom w:val="single" w:sz="4" w:space="0" w:color="BFBFBF"/>
              <w:right w:val="nil"/>
            </w:tcBorders>
            <w:hideMark/>
          </w:tcPr>
          <w:p w14:paraId="31C1FF1E" w14:textId="77777777" w:rsidR="00617779" w:rsidRDefault="00617779">
            <w:pPr>
              <w:spacing w:before="40" w:after="40" w:line="240" w:lineRule="auto"/>
            </w:pPr>
            <w:r>
              <w:rPr>
                <w:b/>
                <w:sz w:val="19"/>
                <w:szCs w:val="19"/>
              </w:rPr>
              <w:t>What the workbook or note shows</w:t>
            </w:r>
          </w:p>
        </w:tc>
      </w:tr>
      <w:tr w:rsidR="00617779" w14:paraId="2778A516" w14:textId="77777777">
        <w:trPr>
          <w:cantSplit/>
        </w:trPr>
        <w:tc>
          <w:tcPr>
            <w:tcW w:w="4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0ACA84FF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165CE768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GHG tab denominators</w:t>
            </w:r>
          </w:p>
        </w:tc>
        <w:tc>
          <w:tcPr>
            <w:tcW w:w="66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0526402D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Rows 9–10 divide 2026 and 2030 numerators by the 2022 total ($B$2), so “upstream + process” coverage reads 107% in 2030.</w:t>
            </w:r>
          </w:p>
        </w:tc>
      </w:tr>
      <w:tr w:rsidR="00617779" w14:paraId="6E7A5C61" w14:textId="77777777">
        <w:trPr>
          <w:cantSplit/>
        </w:trPr>
        <w:tc>
          <w:tcPr>
            <w:tcW w:w="4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5A62134F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7F8BA120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3B deaths stale</w:t>
            </w:r>
          </w:p>
        </w:tc>
        <w:tc>
          <w:tcPr>
            <w:tcW w:w="66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2AB14A41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Q11 = 345 = 546 × 13.59/21.54. K11 was later scaled to −18.1 Mt but Q11 was not; the consistent figure is 459.</w:t>
            </w:r>
          </w:p>
        </w:tc>
      </w:tr>
      <w:tr w:rsidR="00617779" w14:paraId="32758B03" w14:textId="77777777">
        <w:trPr>
          <w:cantSplit/>
        </w:trPr>
        <w:tc>
          <w:tcPr>
            <w:tcW w:w="4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6736DAFD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3E7C0F86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1A built on the wrong base</w:t>
            </w:r>
          </w:p>
        </w:tc>
        <w:tc>
          <w:tcPr>
            <w:tcW w:w="66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386C6BEF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1A = EG2 (transfers) + process, but it is described as public-investment recycling. On EG1 it would be −39.5 Mt and 1,589 deaths.</w:t>
            </w:r>
          </w:p>
        </w:tc>
      </w:tr>
      <w:tr w:rsidR="00617779" w14:paraId="0E3C3D22" w14:textId="77777777">
        <w:trPr>
          <w:cantSplit/>
        </w:trPr>
        <w:tc>
          <w:tcPr>
            <w:tcW w:w="4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6262CE1A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lastRenderedPageBreak/>
              <w:t>4</w:t>
            </w:r>
          </w:p>
        </w:tc>
        <w:tc>
          <w:tcPr>
            <w:tcW w:w="220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03899763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Mixed base years</w:t>
            </w:r>
          </w:p>
        </w:tc>
        <w:tc>
          <w:tcPr>
            <w:tcW w:w="66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50815F92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Revenue, coverage and the 53.6 Mt CBAM base are 2026; industry CO₂ (89.0 Mt) is 2030; reductions are 2030; “% of baseline” (col. L) divides 2030 reductions by the 2026 total.</w:t>
            </w:r>
          </w:p>
        </w:tc>
      </w:tr>
      <w:tr w:rsidR="00617779" w14:paraId="7EBFF0B2" w14:textId="77777777">
        <w:trPr>
          <w:cantSplit/>
        </w:trPr>
        <w:tc>
          <w:tcPr>
            <w:tcW w:w="4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3801F3B4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3DEF1CA1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Price start year</w:t>
            </w:r>
          </w:p>
        </w:tc>
        <w:tc>
          <w:tcPr>
            <w:tcW w:w="66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192A16F8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Col. G says “$20 flat from 2027”; CPAT (and the Egypt note) start the price in 2028.</w:t>
            </w:r>
          </w:p>
        </w:tc>
      </w:tr>
      <w:tr w:rsidR="00617779" w14:paraId="04BB8CF4" w14:textId="77777777">
        <w:trPr>
          <w:cantSplit/>
        </w:trPr>
        <w:tc>
          <w:tcPr>
            <w:tcW w:w="4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2481DD3E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20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251161AD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CPAT net revenue</w:t>
            </w:r>
          </w:p>
        </w:tc>
        <w:tc>
          <w:tcPr>
            <w:tcW w:w="66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26DCEEA2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Col. AR shows 10.62 for 2A; CPAT gives 10.43 for EG1 (10.62 is EG2). Marked “don’t trust”, unused.</w:t>
            </w:r>
          </w:p>
        </w:tc>
      </w:tr>
      <w:tr w:rsidR="00617779" w14:paraId="600E2E61" w14:textId="77777777">
        <w:trPr>
          <w:cantSplit/>
        </w:trPr>
        <w:tc>
          <w:tcPr>
            <w:tcW w:w="4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2A1B26C9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20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6EABC50F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Inputs tab misaligned</w:t>
            </w:r>
          </w:p>
        </w:tc>
        <w:tc>
          <w:tcPr>
            <w:tcW w:w="66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4EB3BAB2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Columns I–N drift out of line with the row labels below about row 110, so per-scenario secondary settings (subsidy phase-out, elasticity source, process scaling) cannot be verified.</w:t>
            </w:r>
          </w:p>
        </w:tc>
      </w:tr>
      <w:tr w:rsidR="00617779" w14:paraId="2FC7DEC3" w14:textId="77777777">
        <w:trPr>
          <w:cantSplit/>
        </w:trPr>
        <w:tc>
          <w:tcPr>
            <w:tcW w:w="4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1B1638C6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20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3E8CCF3C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EG4 run misconfigured</w:t>
            </w:r>
          </w:p>
        </w:tc>
        <w:tc>
          <w:tcPr>
            <w:tcW w:w="66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3AF6F954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All feebate coverage switches are off; industrial CO₂ rises 0.1% and the 9.6 Mt reduction comes from the power sector. Not used for 3B, but 3B’s co-benefit (AT11) is drawn from it.</w:t>
            </w:r>
          </w:p>
        </w:tc>
      </w:tr>
      <w:tr w:rsidR="00617779" w14:paraId="29642285" w14:textId="77777777">
        <w:trPr>
          <w:cantSplit/>
        </w:trPr>
        <w:tc>
          <w:tcPr>
            <w:tcW w:w="4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21B9B11D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20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6BCC69F1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3B emissions: table vs text</w:t>
            </w:r>
          </w:p>
        </w:tc>
        <w:tc>
          <w:tcPr>
            <w:tcW w:w="66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1C093C89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Table 2 says −18.1 Mt; the text says 13.6 Mt (5%) and a range of 13.6–41.6. The text uses the pre-scaling figure.</w:t>
            </w:r>
          </w:p>
        </w:tc>
      </w:tr>
      <w:tr w:rsidR="00617779" w14:paraId="05FAD7F4" w14:textId="77777777">
        <w:trPr>
          <w:cantSplit/>
        </w:trPr>
        <w:tc>
          <w:tcPr>
            <w:tcW w:w="4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018D1E7D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20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1DD7508B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3A revenue</w:t>
            </w:r>
          </w:p>
        </w:tc>
        <w:tc>
          <w:tcPr>
            <w:tcW w:w="66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6839A1A3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1.1 in the note; 2.4 in the matrix; 0.9 from CPAT’s own 2030 carbon-tax revenue for EG3. 1.1 equals $20 × 53.6 Mt of CBAM emissions. Source unclear.</w:t>
            </w:r>
          </w:p>
        </w:tc>
      </w:tr>
      <w:tr w:rsidR="00617779" w14:paraId="61259BB3" w14:textId="77777777">
        <w:trPr>
          <w:cantSplit/>
        </w:trPr>
        <w:tc>
          <w:tcPr>
            <w:tcW w:w="4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033B4C77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220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14F113C6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Percent of emissions</w:t>
            </w:r>
          </w:p>
        </w:tc>
        <w:tc>
          <w:tcPr>
            <w:tcW w:w="66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7F9062A7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The note divides by 249 Mt CO₂ (not in the workbook) to get 5–17%; the matrix divides by 488.7 Mt GHG (2026) to get 4–9%; CPAT’s own share uses 594 Mt (2030): 3–7%.</w:t>
            </w:r>
          </w:p>
        </w:tc>
      </w:tr>
      <w:tr w:rsidR="00617779" w14:paraId="446AB171" w14:textId="77777777">
        <w:trPr>
          <w:cantSplit/>
        </w:trPr>
        <w:tc>
          <w:tcPr>
            <w:tcW w:w="4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7AD305C1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220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0C90B441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Coverage shares</w:t>
            </w:r>
          </w:p>
        </w:tc>
        <w:tc>
          <w:tcPr>
            <w:tcW w:w="66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265FCDE6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72% and 65% are typed in; the matrix’s own columns give 59% and 53% of 2026 GHG. 72% = (energy CO₂ + all IPPU)/GHG in 2030; 65% is the same ratio in 2022, although 2A/2B exclude process. The note’s 20% for 3A is 118.7/594 (2030); the matrix shows 24% (2026).</w:t>
            </w:r>
          </w:p>
        </w:tc>
      </w:tr>
      <w:tr w:rsidR="00617779" w14:paraId="4ADA085B" w14:textId="77777777">
        <w:trPr>
          <w:cantSplit/>
        </w:trPr>
        <w:tc>
          <w:tcPr>
            <w:tcW w:w="4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4C26216E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220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6DDD4995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“All industry” in 3A</w:t>
            </w:r>
          </w:p>
        </w:tc>
        <w:tc>
          <w:tcPr>
            <w:tcW w:w="66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5D5CC40D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EG3 covers mining and chemicals, iron and steel, machinery, cement and fuel transformation only; non-ferrous metals (aluminum), other manufacturing and construction are off. CPAT reports 14% of CO₂ covered.</w:t>
            </w:r>
          </w:p>
        </w:tc>
      </w:tr>
      <w:tr w:rsidR="00617779" w14:paraId="7DE032A2" w14:textId="77777777">
        <w:trPr>
          <w:cantSplit/>
        </w:trPr>
        <w:tc>
          <w:tcPr>
            <w:tcW w:w="4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297F5889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220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15745291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−0.549%/$ untraceable</w:t>
            </w:r>
          </w:p>
        </w:tc>
        <w:tc>
          <w:tcPr>
            <w:tcW w:w="66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2A905381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Not reproducible from any CPAT output in the workbook (EG1 cuts industry CO₂ by 13.9% at $20; EG3 by 9.6%).</w:t>
            </w:r>
          </w:p>
        </w:tc>
      </w:tr>
      <w:tr w:rsidR="00617779" w14:paraId="55F8CDBE" w14:textId="77777777">
        <w:trPr>
          <w:cantSplit/>
        </w:trPr>
        <w:tc>
          <w:tcPr>
            <w:tcW w:w="4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1D036897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220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26D02686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3B figure untraceable</w:t>
            </w:r>
          </w:p>
        </w:tc>
        <w:tc>
          <w:tcPr>
            <w:tcW w:w="66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1A62A8F7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−13.592 Mt and the (2/3)/0.5 factor have no source; CPAT’s EG4 gives −9.6 Mt.</w:t>
            </w:r>
          </w:p>
        </w:tc>
      </w:tr>
      <w:tr w:rsidR="00617779" w14:paraId="6459F18D" w14:textId="77777777">
        <w:trPr>
          <w:cantSplit/>
        </w:trPr>
        <w:tc>
          <w:tcPr>
            <w:tcW w:w="4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44F9CCD6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220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3E340D47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CBAM base untraceable</w:t>
            </w:r>
          </w:p>
        </w:tc>
        <w:tc>
          <w:tcPr>
            <w:tcW w:w="66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6DEE26F8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53.6 Mt and its fuel/process split are “estimated” with no derivation.</w:t>
            </w:r>
          </w:p>
        </w:tc>
      </w:tr>
      <w:tr w:rsidR="00617779" w14:paraId="3EEF31BD" w14:textId="77777777">
        <w:trPr>
          <w:cantSplit/>
        </w:trPr>
        <w:tc>
          <w:tcPr>
            <w:tcW w:w="4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699498FE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220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04BE4243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Process double count</w:t>
            </w:r>
          </w:p>
        </w:tc>
        <w:tc>
          <w:tcPr>
            <w:tcW w:w="66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1200ACBB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CPAT already scales IPPU with industrial CO₂ (−12.0 Mt in EG1, −12.6 in EG2, −8.3 in EG3), so 31–38% of each “energy-only” reduction is process. 1A then adds 0.6 Mt from the semi-elasticity on top. The replacement method in App. A was not applied.</w:t>
            </w:r>
          </w:p>
        </w:tc>
      </w:tr>
      <w:tr w:rsidR="00617779" w14:paraId="34F2EF57" w14:textId="77777777">
        <w:trPr>
          <w:cantSplit/>
        </w:trPr>
        <w:tc>
          <w:tcPr>
            <w:tcW w:w="4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7953F526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220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24F0BCAD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Output change for 1A/2A/2B</w:t>
            </w:r>
          </w:p>
        </w:tc>
        <w:tc>
          <w:tcPr>
            <w:tcW w:w="66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4282F4B7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Set equal to 3B’s −8.3%, which itself rests on item 15. No rationale given.</w:t>
            </w:r>
          </w:p>
        </w:tc>
      </w:tr>
      <w:tr w:rsidR="00617779" w14:paraId="7644F75D" w14:textId="77777777">
        <w:trPr>
          <w:cantSplit/>
        </w:trPr>
        <w:tc>
          <w:tcPr>
            <w:tcW w:w="480" w:type="dxa"/>
            <w:tcBorders>
              <w:top w:val="single" w:sz="4" w:space="0" w:color="BFBFBF"/>
              <w:left w:val="nil"/>
              <w:bottom w:val="single" w:sz="8" w:space="0" w:color="000000"/>
              <w:right w:val="nil"/>
            </w:tcBorders>
            <w:hideMark/>
          </w:tcPr>
          <w:p w14:paraId="66D4B4CB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2200" w:type="dxa"/>
            <w:tcBorders>
              <w:top w:val="single" w:sz="4" w:space="0" w:color="BFBFBF"/>
              <w:left w:val="nil"/>
              <w:bottom w:val="single" w:sz="8" w:space="0" w:color="000000"/>
              <w:right w:val="nil"/>
            </w:tcBorders>
            <w:hideMark/>
          </w:tcPr>
          <w:p w14:paraId="0928C7EF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Deaths scaled by process CO₂</w:t>
            </w:r>
          </w:p>
        </w:tc>
        <w:tc>
          <w:tcPr>
            <w:tcW w:w="6680" w:type="dxa"/>
            <w:tcBorders>
              <w:top w:val="single" w:sz="4" w:space="0" w:color="BFBFBF"/>
              <w:left w:val="nil"/>
              <w:bottom w:val="single" w:sz="8" w:space="0" w:color="000000"/>
              <w:right w:val="nil"/>
            </w:tcBorders>
            <w:hideMark/>
          </w:tcPr>
          <w:p w14:paraId="7C8ADCC9" w14:textId="77777777" w:rsidR="00617779" w:rsidRDefault="00617779"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>1A and 3C deaths scale with total CO₂ including process CO₂, which carries no PM2.5 benefit.</w:t>
            </w:r>
          </w:p>
        </w:tc>
      </w:tr>
    </w:tbl>
    <w:p w14:paraId="4ED29DCD" w14:textId="77777777" w:rsidR="00617779" w:rsidRDefault="00617779" w:rsidP="00617779">
      <w:r>
        <w:rPr>
          <w:rFonts w:ascii="Times New Roman" w:hAnsi="Times New Roman" w:cs="Times New Roman"/>
          <w:kern w:val="0"/>
          <w14:ligatures w14:val="none"/>
        </w:rPr>
        <w:br w:type="page"/>
      </w:r>
    </w:p>
    <w:p w14:paraId="4237C771" w14:textId="77777777" w:rsidR="00E445EB" w:rsidRDefault="00E445EB"/>
    <w:sectPr w:rsidR="00E445EB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CA246" w14:textId="77777777" w:rsidR="00AA265E" w:rsidRDefault="00AA265E" w:rsidP="00C36A43">
      <w:pPr>
        <w:spacing w:after="0" w:line="240" w:lineRule="auto"/>
      </w:pPr>
      <w:r>
        <w:separator/>
      </w:r>
    </w:p>
  </w:endnote>
  <w:endnote w:type="continuationSeparator" w:id="0">
    <w:p w14:paraId="4AC9F285" w14:textId="77777777" w:rsidR="00AA265E" w:rsidRDefault="00AA265E" w:rsidP="00C36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F5D0B" w14:textId="0573BA26" w:rsidR="00C36A43" w:rsidRDefault="00C36A4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B8FDF3" wp14:editId="2BC1287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905404392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DA320D" w14:textId="70BF0851" w:rsidR="00C36A43" w:rsidRPr="00C36A43" w:rsidRDefault="00C36A43" w:rsidP="00C36A4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36A4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B8FDF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40.95pt;margin-top:0;width:92.1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" filled="f" stroked="f">
              <v:textbox style="mso-fit-shape-to-text:t" inset="0,0,20pt,15pt">
                <w:txbxContent>
                  <w:p w14:paraId="7FDA320D" w14:textId="70BF0851" w:rsidR="00C36A43" w:rsidRPr="00C36A43" w:rsidRDefault="00C36A43" w:rsidP="00C36A4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36A4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7DFCB" w14:textId="6FB91621" w:rsidR="00C36A43" w:rsidRDefault="00C36A4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A92F2BD" wp14:editId="49ABF09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1661153593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7E4558" w14:textId="1C370874" w:rsidR="00C36A43" w:rsidRPr="00C36A43" w:rsidRDefault="00C36A43" w:rsidP="00C36A4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36A4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92F2B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margin-left:40.95pt;margin-top:0;width:92.1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" filled="f" stroked="f">
              <v:textbox style="mso-fit-shape-to-text:t" inset="0,0,20pt,15pt">
                <w:txbxContent>
                  <w:p w14:paraId="197E4558" w14:textId="1C370874" w:rsidR="00C36A43" w:rsidRPr="00C36A43" w:rsidRDefault="00C36A43" w:rsidP="00C36A4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36A4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E2DC" w14:textId="4DDA26F7" w:rsidR="00C36A43" w:rsidRDefault="00C36A4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15B203" wp14:editId="3ADCD64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1628932611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9C96F6" w14:textId="64585892" w:rsidR="00C36A43" w:rsidRPr="00C36A43" w:rsidRDefault="00C36A43" w:rsidP="00C36A4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36A4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15B20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40.95pt;margin-top:0;width:92.1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" filled="f" stroked="f">
              <v:textbox style="mso-fit-shape-to-text:t" inset="0,0,20pt,15pt">
                <w:txbxContent>
                  <w:p w14:paraId="7A9C96F6" w14:textId="64585892" w:rsidR="00C36A43" w:rsidRPr="00C36A43" w:rsidRDefault="00C36A43" w:rsidP="00C36A4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36A4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22972" w14:textId="77777777" w:rsidR="00AA265E" w:rsidRDefault="00AA265E" w:rsidP="00C36A43">
      <w:pPr>
        <w:spacing w:after="0" w:line="240" w:lineRule="auto"/>
      </w:pPr>
      <w:r>
        <w:separator/>
      </w:r>
    </w:p>
  </w:footnote>
  <w:footnote w:type="continuationSeparator" w:id="0">
    <w:p w14:paraId="6A2914B9" w14:textId="77777777" w:rsidR="00AA265E" w:rsidRDefault="00AA265E" w:rsidP="00C36A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64750"/>
    <w:multiLevelType w:val="multilevel"/>
    <w:tmpl w:val="1318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58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4A6"/>
    <w:rsid w:val="000859DD"/>
    <w:rsid w:val="003B6C13"/>
    <w:rsid w:val="00600F02"/>
    <w:rsid w:val="00617779"/>
    <w:rsid w:val="00AA265E"/>
    <w:rsid w:val="00AD2EE4"/>
    <w:rsid w:val="00C36A43"/>
    <w:rsid w:val="00E41A2B"/>
    <w:rsid w:val="00E445EB"/>
    <w:rsid w:val="00EA04A6"/>
    <w:rsid w:val="00F8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E5427"/>
  <w15:chartTrackingRefBased/>
  <w15:docId w15:val="{25032779-DDE5-4898-A9DE-BF5840FEE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4A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36A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704</Words>
  <Characters>4019</Characters>
  <Application>Microsoft Office Word</Application>
  <DocSecurity>0</DocSecurity>
  <Lines>33</Lines>
  <Paragraphs>9</Paragraphs>
  <ScaleCrop>false</ScaleCrop>
  <Company>WBG</Company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John Stretton</dc:creator>
  <cp:keywords/>
  <dc:description/>
  <cp:lastModifiedBy>Stephen John Stretton</cp:lastModifiedBy>
  <cp:revision>4</cp:revision>
  <dcterms:created xsi:type="dcterms:W3CDTF">2026-10-01T20:53:00Z</dcterms:created>
  <dcterms:modified xsi:type="dcterms:W3CDTF">2026-10-02T19:26:00Z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61178a03,35f75fe8,63033139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2026-10-01T20:53:26Z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bfdebe3f-49b6-412d-8c22-5f2cd2927110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