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20E1" w14:textId="77777777" w:rsidR="00934620" w:rsidRDefault="00C40FD7">
      <w:pPr>
        <w:pStyle w:val="Heading1"/>
      </w:pPr>
      <w:bookmarkStart w:id="0" w:name="technical-note-on-cpat-results"/>
      <w:r>
        <w:t>Technical Note on CPAT Results</w:t>
      </w:r>
    </w:p>
    <w:p w14:paraId="62B0E821" w14:textId="77777777" w:rsidR="005F5AC1" w:rsidRDefault="00736B4E">
      <w:pPr>
        <w:spacing w:after="200"/>
      </w:pPr>
      <w:r>
        <w:rPr>
          <w:i/>
        </w:rPr>
        <w:t>Egypt carbon pricing options. Summary of the method, the ad hoc adjustments made to the CPAT results, and issues to resolve. Based on Model_Results_and_Matrix_V1_21_EGY.xlsb (dated 5 June 2026) and Egypt_Results_Final.docx. The original technical note follows as Appendix A.</w:t>
      </w:r>
    </w:p>
    <w:p w14:paraId="37C617B9" w14:textId="77777777" w:rsidR="005F5AC1" w:rsidRDefault="00736B4E">
      <w:pPr>
        <w:pStyle w:val="Heading2"/>
      </w:pPr>
      <w:r>
        <w:t>1. The CPAT model in brief</w:t>
      </w:r>
    </w:p>
    <w:p w14:paraId="4588F6F6" w14:textId="77777777" w:rsidR="005F5AC1" w:rsidRDefault="00736B4E">
      <w:r>
        <w:t xml:space="preserve">CPAT is the IMF–World Bank spreadsheet model. Fuel use in each sector responds to GDP and to retail fuel prices through long-run elasticities, split between a usage margin (how hard existing capital runs) and an efficiency margin (what capital is bought). A carbon price enters retail prices as price per tonne × emission factor × coverage. Energy CO₂ follows from fuel use with fixed emission factors; by default, industrial process emissions move in step with industrial energy CO₂. Revenue is price × covered </w:t>
      </w:r>
      <w:r>
        <w:t>fuel use; GDP feedback runs through fiscal multipliers; air pollution deaths through PM2.5 and ozone exposure functions. The Egypt runs (real 2026 dollars, reported for 2030) are EG1, a $20/t upstream levy on all fuels and sectors from 2028 with revenue to public investment; EG2, the same with per-capita transfers; EG3, a tax on industry from $5/t in 2028 to $50/t in 2034 ($20 in 2030); and EG4, an industrial feebate, which is unusable (item 8). Appendix A gives the equations.</w:t>
      </w:r>
    </w:p>
    <w:p w14:paraId="327724A5" w14:textId="77777777" w:rsidR="005F5AC1" w:rsidRDefault="00736B4E">
      <w:pPr>
        <w:pStyle w:val="Heading2"/>
      </w:pPr>
      <w:r>
        <w:t>2. How the results in Table 2 were built</w:t>
      </w:r>
    </w:p>
    <w:p w14:paraId="1FC58949" w14:textId="77777777" w:rsidR="005F5AC1" w:rsidRDefault="00736B4E">
      <w:r>
        <w:t>Only 2A (EG1), 2B (EG2) and 3A (EG3) come straight from CPAT: their 2030 GHG reductions and deaths avoided are model outputs. The rest is built on the PolicyMatrix tab.</w:t>
      </w:r>
    </w:p>
    <w:p w14:paraId="783089F6" w14:textId="77777777" w:rsidR="005F5AC1" w:rsidRDefault="00736B4E">
      <w:r>
        <w:rPr>
          <w:b/>
        </w:rPr>
        <w:t xml:space="preserve">Bases. </w:t>
      </w:r>
      <w:r>
        <w:t>Covered emissions are 2026 baseline levels: total GHG 488.7 Mt, energy CO₂ 258.8 Mt, CBAM-sector emissions 53.6 Mt (23.9 fuel, 29.8 process). Industry energy CO₂ alone is the 2030 level, 89.0 Mt.</w:t>
      </w:r>
    </w:p>
    <w:p w14:paraId="79299767" w14:textId="77777777" w:rsidR="005F5AC1" w:rsidRDefault="00736B4E">
      <w:r>
        <w:rPr>
          <w:b/>
        </w:rPr>
        <w:t xml:space="preserve">Revenue. </w:t>
      </w:r>
      <w:r>
        <w:t>$20 × covered base, before any demand response: $5.2 billion for 2A and 2B, $5.8 billion for 1A (adds CBAM process), $2.4 billion for 3A (industry plus CBAM process); zero for 3B and 3C, where value goes back to firms.</w:t>
      </w:r>
    </w:p>
    <w:p w14:paraId="4BA24021" w14:textId="77777777" w:rsidR="005F5AC1" w:rsidRDefault="00736B4E">
      <w:r>
        <w:rPr>
          <w:b/>
        </w:rPr>
        <w:t xml:space="preserve">CBAM metrics. </w:t>
      </w:r>
      <w:r>
        <w:t>Intensity in the CBAM sectors falls by a semi-elasticity × price: −5.5 percent for energy at $20, plus −2.1 percent for process where it is priced (1A, 3A–3C). Coverage is covered CBAM emissions ÷ 53.6 Mt (44.5 percent for the upstream levies, else 100). Obligations fall by the intensity change plus (1 + intensity change) × $20 × coverage ÷ $100; 3B gets no price credit.</w:t>
      </w:r>
    </w:p>
    <w:p w14:paraId="2A83199E" w14:textId="77777777" w:rsidR="005F5AC1" w:rsidRDefault="00736B4E">
      <w:r>
        <w:rPr>
          <w:b/>
        </w:rPr>
        <w:lastRenderedPageBreak/>
        <w:t xml:space="preserve">Derived bundles. </w:t>
      </w:r>
      <w:r>
        <w:t>1A = 2B plus 29.8 Mt × 2.1 percent = 0.6 Mt of process abatement. 3B = a typed-in −13.59 Mt × (2/3)/0.5 = −18.1 Mt. 3C = 3A plus a fund modeled as a $20/t shadow price: 5.5 more points of intensity reduction and 0.27 percent/$ × $20 × 53.6 Mt = −2.9 Mt. Deaths for 1A and 3C scale with emissions. Industrial output change = (1 + emissions change)/(1 + intensity change) − 1 for 3A–3C; for 1A, 2A and 2B it is set to 3B’s −8.3 percent.</w:t>
      </w:r>
    </w:p>
    <w:p w14:paraId="027A7DE5" w14:textId="77777777" w:rsidR="005F5AC1" w:rsidRDefault="00736B4E">
      <w:pPr>
        <w:pStyle w:val="Heading2"/>
      </w:pPr>
      <w:r>
        <w:t>3. Core assumptions in the ad hoc adjustments</w:t>
      </w:r>
    </w:p>
    <w:tbl>
      <w:tblPr>
        <w:tblW w:w="9360" w:type="dxa"/>
        <w:tblBorders>
          <w:top w:val="single" w:sz="8" w:space="0" w:color="000000"/>
          <w:bottom w:val="single" w:sz="8" w:space="0" w:color="000000"/>
          <w:insideH w:val="single" w:sz="4" w:space="0" w:color="BFBFBF"/>
        </w:tblBorders>
        <w:tblLayout w:type="fixed"/>
        <w:tblLook w:val="0020" w:firstRow="1" w:lastRow="0" w:firstColumn="0" w:lastColumn="0" w:noHBand="0" w:noVBand="0"/>
      </w:tblPr>
      <w:tblGrid>
        <w:gridCol w:w="1900"/>
        <w:gridCol w:w="4300"/>
        <w:gridCol w:w="3160"/>
      </w:tblGrid>
      <w:tr w:rsidR="005F5AC1" w14:paraId="6068275A" w14:textId="77777777">
        <w:trPr>
          <w:tblHeader/>
        </w:trPr>
        <w:tc>
          <w:tcPr>
            <w:tcW w:w="1900" w:type="dxa"/>
          </w:tcPr>
          <w:p w14:paraId="303C7636" w14:textId="77777777" w:rsidR="005F5AC1" w:rsidRDefault="00736B4E">
            <w:pPr>
              <w:spacing w:before="40" w:after="40" w:line="240" w:lineRule="auto"/>
            </w:pPr>
            <w:r>
              <w:rPr>
                <w:b/>
                <w:sz w:val="19"/>
                <w:szCs w:val="19"/>
              </w:rPr>
              <w:t>Assumption</w:t>
            </w:r>
          </w:p>
        </w:tc>
        <w:tc>
          <w:tcPr>
            <w:tcW w:w="4300" w:type="dxa"/>
          </w:tcPr>
          <w:p w14:paraId="1A8FBC0E" w14:textId="77777777" w:rsidR="005F5AC1" w:rsidRDefault="00736B4E">
            <w:pPr>
              <w:spacing w:before="40" w:after="40" w:line="240" w:lineRule="auto"/>
            </w:pPr>
            <w:r>
              <w:rPr>
                <w:b/>
                <w:sz w:val="19"/>
                <w:szCs w:val="19"/>
              </w:rPr>
              <w:t>Value used</w:t>
            </w:r>
          </w:p>
        </w:tc>
        <w:tc>
          <w:tcPr>
            <w:tcW w:w="3160" w:type="dxa"/>
          </w:tcPr>
          <w:p w14:paraId="172E25AD" w14:textId="77777777" w:rsidR="005F5AC1" w:rsidRDefault="00736B4E">
            <w:pPr>
              <w:spacing w:before="40" w:after="40" w:line="240" w:lineRule="auto"/>
            </w:pPr>
            <w:r>
              <w:rPr>
                <w:b/>
                <w:sz w:val="19"/>
                <w:szCs w:val="19"/>
              </w:rPr>
              <w:t>Where / basis</w:t>
            </w:r>
          </w:p>
        </w:tc>
      </w:tr>
      <w:tr w:rsidR="005F5AC1" w14:paraId="6CDA2EF1" w14:textId="77777777">
        <w:trPr>
          <w:cantSplit/>
        </w:trPr>
        <w:tc>
          <w:tcPr>
            <w:tcW w:w="1900" w:type="dxa"/>
          </w:tcPr>
          <w:p w14:paraId="16BA88CE" w14:textId="77777777" w:rsidR="005F5AC1" w:rsidRDefault="00736B4E">
            <w:pPr>
              <w:spacing w:before="40" w:after="40" w:line="240" w:lineRule="auto"/>
            </w:pPr>
            <w:r>
              <w:rPr>
                <w:sz w:val="19"/>
                <w:szCs w:val="19"/>
              </w:rPr>
              <w:t>Price and year</w:t>
            </w:r>
          </w:p>
        </w:tc>
        <w:tc>
          <w:tcPr>
            <w:tcW w:w="4300" w:type="dxa"/>
          </w:tcPr>
          <w:p w14:paraId="0D1F09E6" w14:textId="77777777" w:rsidR="005F5AC1" w:rsidRDefault="00736B4E">
            <w:pPr>
              <w:spacing w:before="40" w:after="40" w:line="240" w:lineRule="auto"/>
            </w:pPr>
            <w:r>
              <w:rPr>
                <w:sz w:val="19"/>
                <w:szCs w:val="19"/>
              </w:rPr>
              <w:t>$20/tCO₂ in 2030, all bundles; 2030 reductions on 2026 bases</w:t>
            </w:r>
          </w:p>
        </w:tc>
        <w:tc>
          <w:tcPr>
            <w:tcW w:w="3160" w:type="dxa"/>
          </w:tcPr>
          <w:p w14:paraId="7ACB85D5" w14:textId="77777777" w:rsidR="005F5AC1" w:rsidRDefault="00736B4E">
            <w:pPr>
              <w:spacing w:before="40" w:after="40" w:line="240" w:lineRule="auto"/>
            </w:pPr>
            <w:r>
              <w:rPr>
                <w:sz w:val="19"/>
                <w:szCs w:val="19"/>
              </w:rPr>
              <w:t>Matrix header; Dynamic Results rows 108–124</w:t>
            </w:r>
          </w:p>
        </w:tc>
      </w:tr>
      <w:tr w:rsidR="005F5AC1" w14:paraId="5D395447" w14:textId="77777777">
        <w:trPr>
          <w:cantSplit/>
        </w:trPr>
        <w:tc>
          <w:tcPr>
            <w:tcW w:w="1900" w:type="dxa"/>
          </w:tcPr>
          <w:p w14:paraId="0947C96B" w14:textId="77777777" w:rsidR="005F5AC1" w:rsidRDefault="00736B4E">
            <w:pPr>
              <w:spacing w:before="40" w:after="40" w:line="240" w:lineRule="auto"/>
            </w:pPr>
            <w:r>
              <w:rPr>
                <w:sz w:val="19"/>
                <w:szCs w:val="19"/>
              </w:rPr>
              <w:t>Energy intensity</w:t>
            </w:r>
          </w:p>
        </w:tc>
        <w:tc>
          <w:tcPr>
            <w:tcW w:w="4300" w:type="dxa"/>
          </w:tcPr>
          <w:p w14:paraId="2206B6B6" w14:textId="77777777" w:rsidR="005F5AC1" w:rsidRDefault="00736B4E">
            <w:pPr>
              <w:spacing w:before="40" w:after="40" w:line="240" w:lineRule="auto"/>
            </w:pPr>
            <w:r>
              <w:rPr>
                <w:sz w:val="19"/>
                <w:szCs w:val="19"/>
              </w:rPr>
              <w:t>−</w:t>
            </w:r>
            <w:r>
              <w:rPr>
                <w:sz w:val="19"/>
                <w:szCs w:val="19"/>
              </w:rPr>
              <w:t>0.549%/$, halved (−5.5% at $20): a 50:50 output/intensity split of the price response</w:t>
            </w:r>
          </w:p>
        </w:tc>
        <w:tc>
          <w:tcPr>
            <w:tcW w:w="3160" w:type="dxa"/>
          </w:tcPr>
          <w:p w14:paraId="769C175D" w14:textId="77777777" w:rsidR="005F5AC1" w:rsidRDefault="00736B4E">
            <w:pPr>
              <w:spacing w:before="40" w:after="40" w:line="240" w:lineRule="auto"/>
            </w:pPr>
            <w:r>
              <w:rPr>
                <w:sz w:val="19"/>
                <w:szCs w:val="19"/>
              </w:rPr>
              <w:t>Hardcoded, col. AF; derivation not in workbook (item 14)</w:t>
            </w:r>
          </w:p>
        </w:tc>
      </w:tr>
      <w:tr w:rsidR="005F5AC1" w14:paraId="18A0B3F3" w14:textId="77777777">
        <w:trPr>
          <w:cantSplit/>
        </w:trPr>
        <w:tc>
          <w:tcPr>
            <w:tcW w:w="1900" w:type="dxa"/>
          </w:tcPr>
          <w:p w14:paraId="7B630D9E" w14:textId="77777777" w:rsidR="005F5AC1" w:rsidRDefault="00736B4E">
            <w:pPr>
              <w:spacing w:before="40" w:after="40" w:line="240" w:lineRule="auto"/>
            </w:pPr>
            <w:r>
              <w:rPr>
                <w:sz w:val="19"/>
                <w:szCs w:val="19"/>
              </w:rPr>
              <w:t>Process intensity</w:t>
            </w:r>
          </w:p>
        </w:tc>
        <w:tc>
          <w:tcPr>
            <w:tcW w:w="4300" w:type="dxa"/>
          </w:tcPr>
          <w:p w14:paraId="220E60D5" w14:textId="77777777" w:rsidR="005F5AC1" w:rsidRDefault="00736B4E">
            <w:pPr>
              <w:spacing w:before="40" w:after="40" w:line="240" w:lineRule="auto"/>
            </w:pPr>
            <w:r>
              <w:rPr>
                <w:sz w:val="19"/>
                <w:szCs w:val="19"/>
              </w:rPr>
              <w:t>−</w:t>
            </w:r>
            <w:r>
              <w:rPr>
                <w:sz w:val="19"/>
                <w:szCs w:val="19"/>
              </w:rPr>
              <w:t>0.104%/$ (−2.1% at $20), all CBAM sectors</w:t>
            </w:r>
          </w:p>
        </w:tc>
        <w:tc>
          <w:tcPr>
            <w:tcW w:w="3160" w:type="dxa"/>
          </w:tcPr>
          <w:p w14:paraId="1CA59DBA" w14:textId="77777777" w:rsidR="005F5AC1" w:rsidRDefault="00736B4E">
            <w:pPr>
              <w:spacing w:before="40" w:after="40" w:line="240" w:lineRule="auto"/>
            </w:pPr>
            <w:r>
              <w:rPr>
                <w:sz w:val="19"/>
                <w:szCs w:val="19"/>
              </w:rPr>
              <w:t>Hardcoded, col. AH; IPCC A and C not recorded</w:t>
            </w:r>
          </w:p>
        </w:tc>
      </w:tr>
      <w:tr w:rsidR="005F5AC1" w14:paraId="4428E734" w14:textId="77777777">
        <w:trPr>
          <w:cantSplit/>
        </w:trPr>
        <w:tc>
          <w:tcPr>
            <w:tcW w:w="1900" w:type="dxa"/>
          </w:tcPr>
          <w:p w14:paraId="682440C6" w14:textId="77777777" w:rsidR="005F5AC1" w:rsidRDefault="00736B4E">
            <w:pPr>
              <w:spacing w:before="40" w:after="40" w:line="240" w:lineRule="auto"/>
            </w:pPr>
            <w:r>
              <w:rPr>
                <w:sz w:val="19"/>
                <w:szCs w:val="19"/>
              </w:rPr>
              <w:t>CBAM price and credit</w:t>
            </w:r>
          </w:p>
        </w:tc>
        <w:tc>
          <w:tcPr>
            <w:tcW w:w="4300" w:type="dxa"/>
          </w:tcPr>
          <w:p w14:paraId="51D5E16B" w14:textId="77777777" w:rsidR="005F5AC1" w:rsidRDefault="00736B4E">
            <w:pPr>
              <w:spacing w:before="40" w:after="40" w:line="240" w:lineRule="auto"/>
            </w:pPr>
            <w:r>
              <w:rPr>
                <w:sz w:val="19"/>
                <w:szCs w:val="19"/>
              </w:rPr>
              <w:t>$100/t certificate price; full $20 credited × covered share; no credit under free allocation (3B)</w:t>
            </w:r>
          </w:p>
        </w:tc>
        <w:tc>
          <w:tcPr>
            <w:tcW w:w="3160" w:type="dxa"/>
          </w:tcPr>
          <w:p w14:paraId="15359885" w14:textId="77777777" w:rsidR="005F5AC1" w:rsidRDefault="00736B4E">
            <w:pPr>
              <w:spacing w:before="40" w:after="40" w:line="240" w:lineRule="auto"/>
            </w:pPr>
            <w:r>
              <w:rPr>
                <w:sz w:val="19"/>
                <w:szCs w:val="19"/>
              </w:rPr>
              <w:t>Col. O formula</w:t>
            </w:r>
          </w:p>
        </w:tc>
      </w:tr>
      <w:tr w:rsidR="005F5AC1" w14:paraId="7EA5617A" w14:textId="77777777">
        <w:trPr>
          <w:cantSplit/>
        </w:trPr>
        <w:tc>
          <w:tcPr>
            <w:tcW w:w="1900" w:type="dxa"/>
          </w:tcPr>
          <w:p w14:paraId="703A9B44" w14:textId="77777777" w:rsidR="005F5AC1" w:rsidRDefault="00736B4E">
            <w:pPr>
              <w:spacing w:before="40" w:after="40" w:line="240" w:lineRule="auto"/>
            </w:pPr>
            <w:r>
              <w:rPr>
                <w:sz w:val="19"/>
                <w:szCs w:val="19"/>
              </w:rPr>
              <w:t>Revenue base</w:t>
            </w:r>
          </w:p>
        </w:tc>
        <w:tc>
          <w:tcPr>
            <w:tcW w:w="4300" w:type="dxa"/>
          </w:tcPr>
          <w:p w14:paraId="136376B1" w14:textId="77777777" w:rsidR="005F5AC1" w:rsidRDefault="00736B4E">
            <w:pPr>
              <w:spacing w:before="40" w:after="40" w:line="240" w:lineRule="auto"/>
            </w:pPr>
            <w:r>
              <w:rPr>
                <w:sz w:val="19"/>
                <w:szCs w:val="19"/>
              </w:rPr>
              <w:t>2026 baseline covered emissions, before the demand response</w:t>
            </w:r>
          </w:p>
        </w:tc>
        <w:tc>
          <w:tcPr>
            <w:tcW w:w="3160" w:type="dxa"/>
          </w:tcPr>
          <w:p w14:paraId="69CD28DC" w14:textId="77777777" w:rsidR="005F5AC1" w:rsidRDefault="00736B4E">
            <w:pPr>
              <w:spacing w:before="40" w:after="40" w:line="240" w:lineRule="auto"/>
            </w:pPr>
            <w:r>
              <w:rPr>
                <w:sz w:val="19"/>
                <w:szCs w:val="19"/>
              </w:rPr>
              <w:t>Cols. V, AB; CPAT’s own 2030 figure for EG1 is $6.2 billion</w:t>
            </w:r>
          </w:p>
        </w:tc>
      </w:tr>
      <w:tr w:rsidR="005F5AC1" w14:paraId="074D1CCC" w14:textId="77777777">
        <w:trPr>
          <w:cantSplit/>
        </w:trPr>
        <w:tc>
          <w:tcPr>
            <w:tcW w:w="1900" w:type="dxa"/>
          </w:tcPr>
          <w:p w14:paraId="29997231" w14:textId="77777777" w:rsidR="005F5AC1" w:rsidRDefault="00736B4E">
            <w:pPr>
              <w:spacing w:before="40" w:after="40" w:line="240" w:lineRule="auto"/>
            </w:pPr>
            <w:r>
              <w:rPr>
                <w:sz w:val="19"/>
                <w:szCs w:val="19"/>
              </w:rPr>
              <w:t>CBAM-sector base</w:t>
            </w:r>
          </w:p>
        </w:tc>
        <w:tc>
          <w:tcPr>
            <w:tcW w:w="4300" w:type="dxa"/>
          </w:tcPr>
          <w:p w14:paraId="7EBE98CA" w14:textId="77777777" w:rsidR="005F5AC1" w:rsidRDefault="00736B4E">
            <w:pPr>
              <w:spacing w:before="40" w:after="40" w:line="240" w:lineRule="auto"/>
            </w:pPr>
            <w:r>
              <w:rPr>
                <w:sz w:val="19"/>
                <w:szCs w:val="19"/>
              </w:rPr>
              <w:t>53.6 Mt (23.9 fuel, 29.8 process) in 2026, “estimated”</w:t>
            </w:r>
          </w:p>
        </w:tc>
        <w:tc>
          <w:tcPr>
            <w:tcW w:w="3160" w:type="dxa"/>
          </w:tcPr>
          <w:p w14:paraId="70F87929" w14:textId="77777777" w:rsidR="005F5AC1" w:rsidRDefault="00736B4E">
            <w:pPr>
              <w:spacing w:before="40" w:after="40" w:line="240" w:lineRule="auto"/>
            </w:pPr>
            <w:r>
              <w:rPr>
                <w:sz w:val="19"/>
                <w:szCs w:val="19"/>
              </w:rPr>
              <w:t>Dynamic Results rows 118–122; no source (item 16)</w:t>
            </w:r>
          </w:p>
        </w:tc>
      </w:tr>
      <w:tr w:rsidR="005F5AC1" w14:paraId="355145AC" w14:textId="77777777">
        <w:trPr>
          <w:cantSplit/>
        </w:trPr>
        <w:tc>
          <w:tcPr>
            <w:tcW w:w="1900" w:type="dxa"/>
          </w:tcPr>
          <w:p w14:paraId="34567E2D" w14:textId="77777777" w:rsidR="005F5AC1" w:rsidRDefault="00736B4E">
            <w:pPr>
              <w:spacing w:before="40" w:after="40" w:line="240" w:lineRule="auto"/>
            </w:pPr>
            <w:r>
              <w:rPr>
                <w:sz w:val="19"/>
                <w:szCs w:val="19"/>
              </w:rPr>
              <w:t>Fund (3C)</w:t>
            </w:r>
          </w:p>
        </w:tc>
        <w:tc>
          <w:tcPr>
            <w:tcW w:w="4300" w:type="dxa"/>
          </w:tcPr>
          <w:p w14:paraId="7533436F" w14:textId="77777777" w:rsidR="005F5AC1" w:rsidRDefault="00736B4E">
            <w:pPr>
              <w:spacing w:before="40" w:after="40" w:line="240" w:lineRule="auto"/>
            </w:pPr>
            <w:r>
              <w:rPr>
                <w:sz w:val="19"/>
                <w:szCs w:val="19"/>
              </w:rPr>
              <w:t>$20/t shadow price through the energy half-elasticity, on all 53.6 Mt; added to 3A; revenue zero</w:t>
            </w:r>
          </w:p>
        </w:tc>
        <w:tc>
          <w:tcPr>
            <w:tcW w:w="3160" w:type="dxa"/>
          </w:tcPr>
          <w:p w14:paraId="4AAEF747" w14:textId="77777777" w:rsidR="005F5AC1" w:rsidRDefault="00736B4E">
            <w:pPr>
              <w:spacing w:before="40" w:after="40" w:line="240" w:lineRule="auto"/>
            </w:pPr>
            <w:r>
              <w:rPr>
                <w:sz w:val="19"/>
                <w:szCs w:val="19"/>
              </w:rPr>
              <w:t>Cols. AM–AP</w:t>
            </w:r>
          </w:p>
        </w:tc>
      </w:tr>
      <w:tr w:rsidR="005F5AC1" w14:paraId="6BFF1B29" w14:textId="77777777">
        <w:trPr>
          <w:cantSplit/>
        </w:trPr>
        <w:tc>
          <w:tcPr>
            <w:tcW w:w="1900" w:type="dxa"/>
          </w:tcPr>
          <w:p w14:paraId="09EA9A06" w14:textId="77777777" w:rsidR="005F5AC1" w:rsidRDefault="00736B4E">
            <w:pPr>
              <w:spacing w:before="40" w:after="40" w:line="240" w:lineRule="auto"/>
            </w:pPr>
            <w:r>
              <w:rPr>
                <w:sz w:val="19"/>
                <w:szCs w:val="19"/>
              </w:rPr>
              <w:t>Deaths (1A, 3C)</w:t>
            </w:r>
          </w:p>
        </w:tc>
        <w:tc>
          <w:tcPr>
            <w:tcW w:w="4300" w:type="dxa"/>
          </w:tcPr>
          <w:p w14:paraId="0823970C" w14:textId="77777777" w:rsidR="005F5AC1" w:rsidRDefault="00736B4E">
            <w:pPr>
              <w:spacing w:before="40" w:after="40" w:line="240" w:lineRule="auto"/>
            </w:pPr>
            <w:r>
              <w:rPr>
                <w:sz w:val="19"/>
                <w:szCs w:val="19"/>
              </w:rPr>
              <w:t>Scaled by total emissions reduction, process CO₂ included</w:t>
            </w:r>
          </w:p>
        </w:tc>
        <w:tc>
          <w:tcPr>
            <w:tcW w:w="3160" w:type="dxa"/>
          </w:tcPr>
          <w:p w14:paraId="58666A0B" w14:textId="77777777" w:rsidR="005F5AC1" w:rsidRDefault="00736B4E">
            <w:pPr>
              <w:spacing w:before="40" w:after="40" w:line="240" w:lineRule="auto"/>
            </w:pPr>
            <w:r>
              <w:rPr>
                <w:sz w:val="19"/>
                <w:szCs w:val="19"/>
              </w:rPr>
              <w:t>Cols. Q, R (item 19)</w:t>
            </w:r>
          </w:p>
        </w:tc>
      </w:tr>
    </w:tbl>
    <w:p w14:paraId="4C02B2FF" w14:textId="77777777" w:rsidR="00D96241" w:rsidRDefault="00D96241">
      <w:pPr>
        <w:pStyle w:val="Heading1"/>
      </w:pPr>
    </w:p>
    <w:p w14:paraId="0B5FC2D0" w14:textId="77777777" w:rsidR="00D96241" w:rsidRDefault="00D96241">
      <w:pPr>
        <w:rPr>
          <w:rFonts w:asciiTheme="majorHAnsi" w:eastAsiaTheme="majorEastAsia" w:hAnsiTheme="majorHAnsi" w:cstheme="majorBidi"/>
          <w:color w:val="0F4761" w:themeColor="accent1" w:themeShade="BF"/>
          <w:sz w:val="40"/>
          <w:szCs w:val="40"/>
        </w:rPr>
      </w:pPr>
      <w:r>
        <w:br w:type="page"/>
      </w:r>
    </w:p>
    <w:p w14:paraId="5F3B1F28" w14:textId="1E99BFCC" w:rsidR="005F5AC1" w:rsidRDefault="00736B4E">
      <w:pPr>
        <w:pStyle w:val="Heading1"/>
      </w:pPr>
      <w:r>
        <w:lastRenderedPageBreak/>
        <w:t>Appendix A. The CPAT model and the intended method</w:t>
      </w:r>
    </w:p>
    <w:p w14:paraId="5B4557F0" w14:textId="77777777" w:rsidR="00934620" w:rsidRDefault="00C40FD7">
      <w:pPr>
        <w:pStyle w:val="Heading2"/>
      </w:pPr>
      <w:bookmarkStart w:id="1" w:name="purpose-and-scope"/>
      <w:r>
        <w:t>Purpose and scope</w:t>
      </w:r>
    </w:p>
    <w:p w14:paraId="0E4B8A4D" w14:textId="77777777" w:rsidR="00934620" w:rsidRDefault="00C40FD7">
      <w:r>
        <w:t>This appendix describes the Climate Policy Assessment Tool (CPAT), the spreadsheet model built jointly by the IMF and the World Bank, and the method intended for the results. It covers the core fuel demand equation, the way industrial output and process emissions are inferred from it, the revenue and fund calculations, and the main caveats. The description of CPAT draws on the public CPAT documentation (CPAT Team 2024) and the IMF working paper that introduced the model (Black and others 2023). Passages in square brackets record what the results workbook actually does where it departs from this method; item numbers refer to section 4 of the main note.</w:t>
      </w:r>
    </w:p>
    <w:p w14:paraId="030565F9" w14:textId="77777777" w:rsidR="00934620" w:rsidRDefault="00C40FD7">
      <w:pPr>
        <w:pStyle w:val="Heading2"/>
      </w:pPr>
      <w:bookmarkStart w:id="2" w:name="basic-model"/>
      <w:bookmarkEnd w:id="1"/>
      <w:r>
        <w:t>Basic model</w:t>
      </w:r>
    </w:p>
    <w:p w14:paraId="0125A534" w14:textId="77777777" w:rsidR="00934620" w:rsidRDefault="00C40FD7">
      <w:r>
        <w:t>CPAT’s mitigation module is a reduced-form model of fuel demand. Fuel use in each country, sector and fuel responds to real GDP and to fuel prices through a small set of elasticities, and the model runs to 2035. CPAT builds each retail fuel price as the supply cost plus VAT plus excise and other taxes. A new carbon price enters that last component as a charge per unit of energy, equal to the price per tonne of CO₂ times the emission factor of the fuel times the share of the fuel and sector covered by the policy:</w:t>
      </w:r>
    </w:p>
    <w:p w14:paraId="1C3F61A9" w14:textId="77777777" w:rsidR="00934620" w:rsidRDefault="00C40FD7">
      <m:oMathPara>
        <m:oMathParaPr>
          <m:jc m:val="center"/>
        </m:oMathParaPr>
        <m:oMath>
          <m:r>
            <w:rPr>
              <w:rFonts w:ascii="Cambria Math" w:hAnsi="Cambria Math"/>
            </w:rPr>
            <m:t>nc</m:t>
          </m:r>
          <m:sSub>
            <m:sSubPr>
              <m:ctrlPr>
                <w:rPr>
                  <w:rFonts w:ascii="Cambria Math" w:hAnsi="Cambria Math"/>
                </w:rPr>
              </m:ctrlPr>
            </m:sSubPr>
            <m:e>
              <m:r>
                <w:rPr>
                  <w:rFonts w:ascii="Cambria Math" w:hAnsi="Cambria Math"/>
                </w:rPr>
                <m:t>p</m:t>
              </m:r>
            </m:e>
            <m:sub>
              <m:r>
                <w:rPr>
                  <w:rFonts w:ascii="Cambria Math" w:hAnsi="Cambria Math"/>
                </w:rPr>
                <m:t>cgft</m:t>
              </m:r>
            </m:sub>
          </m:sSub>
          <m:r>
            <m:rPr>
              <m:sty m:val="p"/>
            </m:rPr>
            <w:rPr>
              <w:rFonts w:ascii="Cambria Math" w:hAnsi="Cambria Math"/>
            </w:rPr>
            <m:t>=</m:t>
          </m:r>
          <m:r>
            <w:rPr>
              <w:rFonts w:ascii="Cambria Math" w:hAnsi="Cambria Math"/>
            </w:rPr>
            <m:t>NC</m:t>
          </m:r>
          <m:sSub>
            <m:sSubPr>
              <m:ctrlPr>
                <w:rPr>
                  <w:rFonts w:ascii="Cambria Math" w:hAnsi="Cambria Math"/>
                </w:rPr>
              </m:ctrlPr>
            </m:sSubPr>
            <m:e>
              <m:r>
                <w:rPr>
                  <w:rFonts w:ascii="Cambria Math" w:hAnsi="Cambria Math"/>
                </w:rPr>
                <m:t>T</m:t>
              </m:r>
            </m:e>
            <m:sub>
              <m:r>
                <w:rPr>
                  <w:rFonts w:ascii="Cambria Math" w:hAnsi="Cambria Math"/>
                </w:rPr>
                <m:t>ct</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cgf</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cgft</m:t>
              </m:r>
            </m:sub>
          </m:sSub>
        </m:oMath>
      </m:oMathPara>
    </w:p>
    <w:p w14:paraId="64B1E3E6" w14:textId="77777777" w:rsidR="00934620" w:rsidRDefault="00C40FD7">
      <w:r>
        <w:t xml:space="preserve">The core of the module is the fuel use equation (CPAT Team 2024, section 3.3.3). Fuel use </w:t>
      </w:r>
      <m:oMath>
        <m:r>
          <w:rPr>
            <w:rFonts w:ascii="Cambria Math" w:hAnsi="Cambria Math"/>
          </w:rPr>
          <m:t>F</m:t>
        </m:r>
      </m:oMath>
      <w:r>
        <w:t xml:space="preserve"> in scenario </w:t>
      </w:r>
      <m:oMath>
        <m:r>
          <w:rPr>
            <w:rFonts w:ascii="Cambria Math" w:hAnsi="Cambria Math"/>
          </w:rPr>
          <m:t>o</m:t>
        </m:r>
      </m:oMath>
      <w:r>
        <w:t xml:space="preserve">, country </w:t>
      </w:r>
      <m:oMath>
        <m:r>
          <w:rPr>
            <w:rFonts w:ascii="Cambria Math" w:hAnsi="Cambria Math"/>
          </w:rPr>
          <m:t>c</m:t>
        </m:r>
      </m:oMath>
      <w:r>
        <w:t xml:space="preserve">, sector </w:t>
      </w:r>
      <m:oMath>
        <m:r>
          <w:rPr>
            <w:rFonts w:ascii="Cambria Math" w:hAnsi="Cambria Math"/>
          </w:rPr>
          <m:t>s</m:t>
        </m:r>
      </m:oMath>
      <w:r>
        <w:t xml:space="preserve"> and fuel </w:t>
      </w:r>
      <m:oMath>
        <m:r>
          <w:rPr>
            <w:rFonts w:ascii="Cambria Math" w:hAnsi="Cambria Math"/>
          </w:rPr>
          <m:t>f</m:t>
        </m:r>
      </m:oMath>
      <w:r>
        <w:t xml:space="preserve"> grows from one year to the next according to</w:t>
      </w:r>
    </w:p>
    <w:p w14:paraId="1780CDB7" w14:textId="77777777" w:rsidR="00934620" w:rsidRDefault="00736B4E">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ocsf</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F</m:t>
                  </m:r>
                </m:e>
                <m:sub>
                  <m:r>
                    <w:rPr>
                      <w:rFonts w:ascii="Cambria Math" w:hAnsi="Cambria Math"/>
                    </w:rPr>
                    <m:t>ocsf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sf</m:t>
                          </m:r>
                        </m:sub>
                      </m:sSub>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sup>
          </m:sSup>
          <m:sSub>
            <m:sSubPr>
              <m:ctrlPr>
                <w:rPr>
                  <w:rFonts w:ascii="Cambria Math" w:hAnsi="Cambria Math"/>
                </w:rPr>
              </m:ctrlPr>
            </m:sSubPr>
            <m:e>
              <m:r>
                <w:rPr>
                  <w:rFonts w:ascii="Cambria Math" w:hAnsi="Cambria Math"/>
                </w:rPr>
                <m:t>Ψ</m:t>
              </m:r>
            </m:e>
            <m:sub>
              <m:r>
                <w:rPr>
                  <w:rFonts w:ascii="Cambria Math" w:hAnsi="Cambria Math"/>
                </w:rPr>
                <m:t>ct</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e>
            <m:sup>
              <m:sSub>
                <m:sSubPr>
                  <m:ctrlPr>
                    <w:rPr>
                      <w:rFonts w:ascii="Cambria Math" w:hAnsi="Cambria Math"/>
                    </w:rPr>
                  </m:ctrlPr>
                </m:sSubPr>
                <m:e>
                  <m:r>
                    <w:rPr>
                      <w:rFonts w:ascii="Cambria Math" w:hAnsi="Cambria Math"/>
                    </w:rPr>
                    <m:t>ϵ</m:t>
                  </m:r>
                </m:e>
                <m:sub>
                  <m:r>
                    <w:rPr>
                      <w:rFonts w:ascii="Cambria Math" w:hAnsi="Cambria Math"/>
                    </w:rPr>
                    <m:t>Y</m:t>
                  </m:r>
                </m:sub>
              </m:sSub>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ocsf</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ocsf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e>
            <m:sup>
              <m:sSub>
                <m:sSubPr>
                  <m:ctrlPr>
                    <w:rPr>
                      <w:rFonts w:ascii="Cambria Math" w:hAnsi="Cambria Math"/>
                    </w:rPr>
                  </m:ctrlPr>
                </m:sSubPr>
                <m:e>
                  <m:r>
                    <w:rPr>
                      <w:rFonts w:ascii="Cambria Math" w:hAnsi="Cambria Math"/>
                    </w:rPr>
                    <m:t>ϵ</m:t>
                  </m:r>
                </m:e>
                <m:sub>
                  <m:r>
                    <w:rPr>
                      <w:rFonts w:ascii="Cambria Math" w:hAnsi="Cambria Math"/>
                    </w:rPr>
                    <m:t>U</m:t>
                  </m:r>
                </m:sub>
              </m:sSub>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ocsf</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ocsf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den>
                  </m:f>
                </m:e>
              </m:d>
            </m:e>
            <m:sup>
              <m:sSub>
                <m:sSubPr>
                  <m:ctrlPr>
                    <w:rPr>
                      <w:rFonts w:ascii="Cambria Math" w:hAnsi="Cambria Math"/>
                    </w:rPr>
                  </m:ctrlPr>
                </m:sSubPr>
                <m:e>
                  <m:r>
                    <w:rPr>
                      <w:rFonts w:ascii="Cambria Math" w:hAnsi="Cambria Math"/>
                    </w:rPr>
                    <m:t>ϵ</m:t>
                  </m: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e>
              </m:d>
            </m:sup>
          </m:sSup>
        </m:oMath>
      </m:oMathPara>
    </w:p>
    <w:p w14:paraId="1FEFE95A" w14:textId="77777777" w:rsidR="00934620" w:rsidRDefault="00C40FD7">
      <w:r>
        <w:t xml:space="preserve">where </w:t>
      </w:r>
      <m:oMath>
        <m:r>
          <w:rPr>
            <w:rFonts w:ascii="Cambria Math" w:hAnsi="Cambria Math"/>
          </w:rPr>
          <m:t>α</m:t>
        </m:r>
      </m:oMath>
      <w:r>
        <w:t xml:space="preserve"> is the autonomous rate of energy efficiency improvement (0.5 or 1 percent a year, depending on the sector), </w:t>
      </w:r>
      <m:oMath>
        <m:r>
          <w:rPr>
            <w:rFonts w:ascii="Cambria Math" w:hAnsi="Cambria Math"/>
          </w:rPr>
          <m:t>Ψ</m:t>
        </m:r>
      </m:oMath>
      <w:r>
        <w:t xml:space="preserve"> is a calibration factor for the Covid years, </w:t>
      </w:r>
      <m:oMath>
        <m:r>
          <w:rPr>
            <w:rFonts w:ascii="Cambria Math" w:hAnsi="Cambria Math"/>
          </w:rPr>
          <m:t>Y</m:t>
        </m:r>
      </m:oMath>
      <w:r>
        <w:t xml:space="preserve"> is total real GDP, </w:t>
      </w:r>
      <m:oMath>
        <m:r>
          <w:rPr>
            <w:rFonts w:ascii="Cambria Math" w:hAnsi="Cambria Math"/>
          </w:rPr>
          <m:t>p</m:t>
        </m:r>
      </m:oMath>
      <w:r>
        <w:t xml:space="preserve"> is the retail fuel price, </w:t>
      </w:r>
      <m:oMath>
        <m:sSub>
          <m:sSubPr>
            <m:ctrlPr>
              <w:rPr>
                <w:rFonts w:ascii="Cambria Math" w:hAnsi="Cambria Math"/>
              </w:rPr>
            </m:ctrlPr>
          </m:sSubPr>
          <m:e>
            <m:r>
              <w:rPr>
                <w:rFonts w:ascii="Cambria Math" w:hAnsi="Cambria Math"/>
              </w:rPr>
              <m:t>ϵ</m:t>
            </m:r>
          </m:e>
          <m:sub>
            <m:r>
              <w:rPr>
                <w:rFonts w:ascii="Cambria Math" w:hAnsi="Cambria Math"/>
              </w:rPr>
              <m:t>Y</m:t>
            </m:r>
          </m:sub>
        </m:sSub>
      </m:oMath>
      <w:r>
        <w:t xml:space="preserve"> is the income elasticity, </w:t>
      </w:r>
      <m:oMath>
        <m:sSub>
          <m:sSubPr>
            <m:ctrlPr>
              <w:rPr>
                <w:rFonts w:ascii="Cambria Math" w:hAnsi="Cambria Math"/>
              </w:rPr>
            </m:ctrlPr>
          </m:sSubPr>
          <m:e>
            <m:r>
              <w:rPr>
                <w:rFonts w:ascii="Cambria Math" w:hAnsi="Cambria Math"/>
              </w:rPr>
              <m:t>ϵ</m:t>
            </m:r>
          </m:e>
          <m:sub>
            <m:r>
              <w:rPr>
                <w:rFonts w:ascii="Cambria Math" w:hAnsi="Cambria Math"/>
              </w:rPr>
              <m:t>U</m:t>
            </m:r>
          </m:sub>
        </m:sSub>
      </m:oMath>
      <w:r>
        <w:t xml:space="preserve"> is the usage price elasticity and </w:t>
      </w:r>
      <m:oMath>
        <m:sSub>
          <m:sSubPr>
            <m:ctrlPr>
              <w:rPr>
                <w:rFonts w:ascii="Cambria Math" w:hAnsi="Cambria Math"/>
              </w:rPr>
            </m:ctrlPr>
          </m:sSubPr>
          <m:e>
            <m:r>
              <w:rPr>
                <w:rFonts w:ascii="Cambria Math" w:hAnsi="Cambria Math"/>
              </w:rPr>
              <m:t>ϵ</m:t>
            </m:r>
          </m:e>
          <m:sub>
            <m:r>
              <w:rPr>
                <w:rFonts w:ascii="Cambria Math" w:hAnsi="Cambria Math"/>
              </w:rPr>
              <m:t>F</m:t>
            </m:r>
          </m:sub>
        </m:sSub>
      </m:oMath>
      <w:r>
        <w:t xml:space="preserve"> is the efficiency price elasticity. Both elasticities of price are negative.</w:t>
      </w:r>
    </w:p>
    <w:p w14:paraId="1BE2AEF1" w14:textId="77777777" w:rsidR="00934620" w:rsidRDefault="00C40FD7">
      <w:r>
        <w:t xml:space="preserve">The equation splits the response to a price change into two margins. The usage term, with elasticity </w:t>
      </w:r>
      <m:oMath>
        <m:sSub>
          <m:sSubPr>
            <m:ctrlPr>
              <w:rPr>
                <w:rFonts w:ascii="Cambria Math" w:hAnsi="Cambria Math"/>
              </w:rPr>
            </m:ctrlPr>
          </m:sSubPr>
          <m:e>
            <m:r>
              <w:rPr>
                <w:rFonts w:ascii="Cambria Math" w:hAnsi="Cambria Math"/>
              </w:rPr>
              <m:t>ϵ</m:t>
            </m:r>
          </m:e>
          <m:sub>
            <m:r>
              <w:rPr>
                <w:rFonts w:ascii="Cambria Math" w:hAnsi="Cambria Math"/>
              </w:rPr>
              <m:t>U</m:t>
            </m:r>
          </m:sub>
        </m:sSub>
      </m:oMath>
      <w:r>
        <w:t xml:space="preserve">, measures how intensively existing energy-using capital is run: how far a truck is driven, or how many hours a kiln is fired. The efficiency term, with elasticity </w:t>
      </w:r>
      <m:oMath>
        <m:sSub>
          <m:sSubPr>
            <m:ctrlPr>
              <w:rPr>
                <w:rFonts w:ascii="Cambria Math" w:hAnsi="Cambria Math"/>
              </w:rPr>
            </m:ctrlPr>
          </m:sSubPr>
          <m:e>
            <m:r>
              <w:rPr>
                <w:rFonts w:ascii="Cambria Math" w:hAnsi="Cambria Math"/>
              </w:rPr>
              <m:t>ϵ</m:t>
            </m:r>
          </m:e>
          <m:sub>
            <m:r>
              <w:rPr>
                <w:rFonts w:ascii="Cambria Math" w:hAnsi="Cambria Math"/>
              </w:rPr>
              <m:t>F</m:t>
            </m:r>
          </m:sub>
        </m:sSub>
      </m:oMath>
      <w:r>
        <w:t xml:space="preserve">, measures changes in the stock of capital itself: more efficient equipment, or fewer energy-intensive assets. The efficiency term is raised to the power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e>
        </m:d>
      </m:oMath>
      <w:r>
        <w:t xml:space="preserve"> to capture rebound, since cheaper running costs on efficient equipment lead people to use it a little more. The </w:t>
      </w:r>
      <w:r>
        <w:lastRenderedPageBreak/>
        <w:t>documentation parameterizes both margins to the meta-analysis of about 2,000 elasticities by Labandeira, Labeaga and López-Otero (2017). All elasticities are long-run values, and the efficiency margin is raised by 0.1 in absolute terms for developing countries.</w:t>
      </w:r>
    </w:p>
    <w:p w14:paraId="091CDD95" w14:textId="77777777" w:rsidR="00934620" w:rsidRDefault="00C40FD7">
      <w:r>
        <w:t>Because the equation is multiplicative, and the baseline and policy scenarios share the same history up to the start of the policy, the ratio of policy to baseline fuel use in any year reduces to a simple expression. To a close approximation,</w:t>
      </w:r>
    </w:p>
    <w:p w14:paraId="336D5327" w14:textId="77777777" w:rsidR="00934620" w:rsidRDefault="00736B4E">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P</m:t>
                  </m:r>
                </m:sup>
              </m:sSubSup>
            </m:num>
            <m:den>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B</m:t>
                  </m:r>
                </m:sup>
              </m:sSub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P</m:t>
                          </m:r>
                        </m:sup>
                      </m:sSubSup>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m:t>
                          </m:r>
                        </m:sup>
                      </m:sSubSup>
                    </m:den>
                  </m:f>
                </m:e>
              </m:d>
            </m:e>
            <m:sup>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e>
              </m:d>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P</m:t>
                          </m:r>
                        </m:sup>
                      </m:sSubSup>
                    </m:num>
                    <m:den>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B</m:t>
                          </m:r>
                        </m:sup>
                      </m:sSubSup>
                    </m:den>
                  </m:f>
                </m:e>
              </m:d>
            </m:e>
            <m:sup>
              <m:sSub>
                <m:sSubPr>
                  <m:ctrlPr>
                    <w:rPr>
                      <w:rFonts w:ascii="Cambria Math" w:hAnsi="Cambria Math"/>
                    </w:rPr>
                  </m:ctrlPr>
                </m:sSubPr>
                <m:e>
                  <m:r>
                    <w:rPr>
                      <w:rFonts w:ascii="Cambria Math" w:hAnsi="Cambria Math"/>
                    </w:rPr>
                    <m:t>ϵ</m:t>
                  </m:r>
                </m:e>
                <m:sub>
                  <m:r>
                    <w:rPr>
                      <w:rFonts w:ascii="Cambria Math" w:hAnsi="Cambria Math"/>
                    </w:rPr>
                    <m:t>Y</m:t>
                  </m:r>
                </m:sub>
              </m:sSub>
            </m:sup>
          </m:sSup>
        </m:oMath>
      </m:oMathPara>
    </w:p>
    <w:p w14:paraId="1C45B8DD" w14:textId="77777777" w:rsidR="00934620" w:rsidRDefault="00C40FD7">
      <w:r>
        <w:t>The approximation holds exactly when the elasticities are constant over time; in CPAT the income elasticity drifts with income per head, but the drift is the same in both scenarios and the effect is small. The first term is the price response and the second is the feedback through GDP from fiscal multipliers.</w:t>
      </w:r>
    </w:p>
    <w:p w14:paraId="39D1AC9C" w14:textId="77777777" w:rsidR="00934620" w:rsidRDefault="00C40FD7">
      <w:r>
        <w:t>Energy-related emissions follow directly from fuel use. CPAT multiplies fuel use by an emission factor for each country, sector and fuel, taken by default from IIASA’s GAINS model, and scales base-year CO₂ and methane to the 2019 UNFCCC inventory. Since the emission factor is fixed, the proportional change in energy CO₂ from a given fuel equals the proportional change in its use.</w:t>
      </w:r>
    </w:p>
    <w:p w14:paraId="3BD7AA99" w14:textId="77777777" w:rsidR="00934620" w:rsidRDefault="00C40FD7">
      <w:r>
        <w:t>Table 1 shows the default price elasticities for industry in the public documentation. They are the values for developed countries, before the developing-country adjustment.</w:t>
      </w:r>
    </w:p>
    <w:p w14:paraId="5BB885D3" w14:textId="77777777" w:rsidR="00934620" w:rsidRDefault="00C40FD7">
      <w:r>
        <w:t>Table 1. Default industrial price elasticities in CPAT (developed countries)</w:t>
      </w:r>
    </w:p>
    <w:tbl>
      <w:tblPr>
        <w:tblW w:w="9360" w:type="dxa"/>
        <w:tblBorders>
          <w:top w:val="single" w:sz="8" w:space="0" w:color="000000"/>
          <w:bottom w:val="single" w:sz="8" w:space="0" w:color="000000"/>
          <w:insideH w:val="single" w:sz="4" w:space="0" w:color="BFBFBF"/>
        </w:tblBorders>
        <w:tblLook w:val="0020" w:firstRow="1" w:lastRow="0" w:firstColumn="0" w:lastColumn="0" w:noHBand="0" w:noVBand="0"/>
      </w:tblPr>
      <w:tblGrid>
        <w:gridCol w:w="2289"/>
        <w:gridCol w:w="2005"/>
        <w:gridCol w:w="2565"/>
        <w:gridCol w:w="2501"/>
      </w:tblGrid>
      <w:tr w:rsidR="00934620" w14:paraId="555BE4BC" w14:textId="77777777">
        <w:trPr>
          <w:tblHeader/>
        </w:trPr>
        <w:tc>
          <w:tcPr>
            <w:tcW w:w="0" w:type="auto"/>
          </w:tcPr>
          <w:p w14:paraId="50F2CC1D" w14:textId="77777777" w:rsidR="00934620" w:rsidRDefault="00C40FD7">
            <w:pPr>
              <w:spacing w:before="40" w:after="40"/>
            </w:pPr>
            <w:r>
              <w:t>Fuel</w:t>
            </w:r>
          </w:p>
        </w:tc>
        <w:tc>
          <w:tcPr>
            <w:tcW w:w="0" w:type="auto"/>
          </w:tcPr>
          <w:p w14:paraId="0D8D53EC" w14:textId="77777777" w:rsidR="00934620" w:rsidRDefault="00C40FD7">
            <w:pPr>
              <w:spacing w:before="40" w:after="40"/>
              <w:jc w:val="right"/>
            </w:pPr>
            <w:r>
              <w:t xml:space="preserve">Usage, </w:t>
            </w:r>
            <m:oMath>
              <m:sSub>
                <m:sSubPr>
                  <m:ctrlPr>
                    <w:rPr>
                      <w:rFonts w:ascii="Cambria Math" w:hAnsi="Cambria Math"/>
                    </w:rPr>
                  </m:ctrlPr>
                </m:sSubPr>
                <m:e>
                  <m:r>
                    <w:rPr>
                      <w:rFonts w:ascii="Cambria Math" w:hAnsi="Cambria Math"/>
                    </w:rPr>
                    <m:t>ϵ</m:t>
                  </m:r>
                </m:e>
                <m:sub>
                  <m:r>
                    <w:rPr>
                      <w:rFonts w:ascii="Cambria Math" w:hAnsi="Cambria Math"/>
                    </w:rPr>
                    <m:t>U</m:t>
                  </m:r>
                </m:sub>
              </m:sSub>
            </m:oMath>
          </w:p>
        </w:tc>
        <w:tc>
          <w:tcPr>
            <w:tcW w:w="0" w:type="auto"/>
          </w:tcPr>
          <w:p w14:paraId="44FD7745" w14:textId="77777777" w:rsidR="00934620" w:rsidRDefault="00C40FD7">
            <w:pPr>
              <w:spacing w:before="40" w:after="40"/>
              <w:jc w:val="right"/>
            </w:pPr>
            <w:r>
              <w:t xml:space="preserve">Efficiency, </w:t>
            </w:r>
            <m:oMath>
              <m:sSub>
                <m:sSubPr>
                  <m:ctrlPr>
                    <w:rPr>
                      <w:rFonts w:ascii="Cambria Math" w:hAnsi="Cambria Math"/>
                    </w:rPr>
                  </m:ctrlPr>
                </m:sSubPr>
                <m:e>
                  <m:r>
                    <w:rPr>
                      <w:rFonts w:ascii="Cambria Math" w:hAnsi="Cambria Math"/>
                    </w:rPr>
                    <m:t>ϵ</m:t>
                  </m:r>
                </m:e>
                <m:sub>
                  <m:r>
                    <w:rPr>
                      <w:rFonts w:ascii="Cambria Math" w:hAnsi="Cambria Math"/>
                    </w:rPr>
                    <m:t>F</m:t>
                  </m:r>
                </m:sub>
              </m:sSub>
            </m:oMath>
          </w:p>
        </w:tc>
        <w:tc>
          <w:tcPr>
            <w:tcW w:w="0" w:type="auto"/>
          </w:tcPr>
          <w:p w14:paraId="362C1CDC" w14:textId="77777777" w:rsidR="00934620" w:rsidRDefault="00C40FD7">
            <w:pPr>
              <w:spacing w:before="40" w:after="40"/>
              <w:jc w:val="right"/>
            </w:pPr>
            <w:r>
              <w:t>Implied total</w:t>
            </w:r>
          </w:p>
        </w:tc>
      </w:tr>
      <w:tr w:rsidR="00934620" w14:paraId="79FFCBC7" w14:textId="77777777">
        <w:tc>
          <w:tcPr>
            <w:tcW w:w="0" w:type="auto"/>
          </w:tcPr>
          <w:p w14:paraId="4162DEB5" w14:textId="77777777" w:rsidR="00934620" w:rsidRDefault="00C40FD7">
            <w:pPr>
              <w:spacing w:before="40" w:after="40"/>
            </w:pPr>
            <w:r>
              <w:t>Coal</w:t>
            </w:r>
          </w:p>
        </w:tc>
        <w:tc>
          <w:tcPr>
            <w:tcW w:w="0" w:type="auto"/>
          </w:tcPr>
          <w:p w14:paraId="09069A80" w14:textId="77777777" w:rsidR="00934620" w:rsidRDefault="00C40FD7">
            <w:pPr>
              <w:spacing w:before="40" w:after="40"/>
              <w:jc w:val="right"/>
            </w:pPr>
            <w:r>
              <w:t>−0.20</w:t>
            </w:r>
          </w:p>
        </w:tc>
        <w:tc>
          <w:tcPr>
            <w:tcW w:w="0" w:type="auto"/>
          </w:tcPr>
          <w:p w14:paraId="5D61E4AF" w14:textId="77777777" w:rsidR="00934620" w:rsidRDefault="00C40FD7">
            <w:pPr>
              <w:spacing w:before="40" w:after="40"/>
              <w:jc w:val="right"/>
            </w:pPr>
            <w:r>
              <w:t>−0.40</w:t>
            </w:r>
          </w:p>
        </w:tc>
        <w:tc>
          <w:tcPr>
            <w:tcW w:w="0" w:type="auto"/>
          </w:tcPr>
          <w:p w14:paraId="0F8EF2A8" w14:textId="77777777" w:rsidR="00934620" w:rsidRDefault="00C40FD7">
            <w:pPr>
              <w:spacing w:before="40" w:after="40"/>
              <w:jc w:val="right"/>
            </w:pPr>
            <w:r>
              <w:t>−0.52</w:t>
            </w:r>
          </w:p>
        </w:tc>
      </w:tr>
      <w:tr w:rsidR="00934620" w14:paraId="205A68B6" w14:textId="77777777">
        <w:tc>
          <w:tcPr>
            <w:tcW w:w="0" w:type="auto"/>
          </w:tcPr>
          <w:p w14:paraId="65398CB3" w14:textId="77777777" w:rsidR="00934620" w:rsidRDefault="00C40FD7">
            <w:pPr>
              <w:spacing w:before="40" w:after="40"/>
            </w:pPr>
            <w:r>
              <w:t>Natural gas</w:t>
            </w:r>
          </w:p>
        </w:tc>
        <w:tc>
          <w:tcPr>
            <w:tcW w:w="0" w:type="auto"/>
          </w:tcPr>
          <w:p w14:paraId="6BD78F28" w14:textId="77777777" w:rsidR="00934620" w:rsidRDefault="00C40FD7">
            <w:pPr>
              <w:spacing w:before="40" w:after="40"/>
              <w:jc w:val="right"/>
            </w:pPr>
            <w:r>
              <w:t>−0.40</w:t>
            </w:r>
          </w:p>
        </w:tc>
        <w:tc>
          <w:tcPr>
            <w:tcW w:w="0" w:type="auto"/>
          </w:tcPr>
          <w:p w14:paraId="479BF375" w14:textId="77777777" w:rsidR="00934620" w:rsidRDefault="00C40FD7">
            <w:pPr>
              <w:spacing w:before="40" w:after="40"/>
              <w:jc w:val="right"/>
            </w:pPr>
            <w:r>
              <w:t>−0.50</w:t>
            </w:r>
          </w:p>
        </w:tc>
        <w:tc>
          <w:tcPr>
            <w:tcW w:w="0" w:type="auto"/>
          </w:tcPr>
          <w:p w14:paraId="44D7A825" w14:textId="77777777" w:rsidR="00934620" w:rsidRDefault="00C40FD7">
            <w:pPr>
              <w:spacing w:before="40" w:after="40"/>
              <w:jc w:val="right"/>
            </w:pPr>
            <w:r>
              <w:t>−0.70</w:t>
            </w:r>
          </w:p>
        </w:tc>
      </w:tr>
      <w:tr w:rsidR="00934620" w14:paraId="07E60F5F" w14:textId="77777777">
        <w:tc>
          <w:tcPr>
            <w:tcW w:w="0" w:type="auto"/>
          </w:tcPr>
          <w:p w14:paraId="476FDCB8" w14:textId="77777777" w:rsidR="00934620" w:rsidRDefault="00C40FD7">
            <w:pPr>
              <w:spacing w:before="40" w:after="40"/>
            </w:pPr>
            <w:r>
              <w:t>Diesel</w:t>
            </w:r>
          </w:p>
        </w:tc>
        <w:tc>
          <w:tcPr>
            <w:tcW w:w="0" w:type="auto"/>
          </w:tcPr>
          <w:p w14:paraId="29734714" w14:textId="77777777" w:rsidR="00934620" w:rsidRDefault="00C40FD7">
            <w:pPr>
              <w:spacing w:before="40" w:after="40"/>
              <w:jc w:val="right"/>
            </w:pPr>
            <w:r>
              <w:t>−0.60</w:t>
            </w:r>
          </w:p>
        </w:tc>
        <w:tc>
          <w:tcPr>
            <w:tcW w:w="0" w:type="auto"/>
          </w:tcPr>
          <w:p w14:paraId="467A81A3" w14:textId="77777777" w:rsidR="00934620" w:rsidRDefault="00C40FD7">
            <w:pPr>
              <w:spacing w:before="40" w:after="40"/>
              <w:jc w:val="right"/>
            </w:pPr>
            <w:r>
              <w:t>−1.20</w:t>
            </w:r>
          </w:p>
        </w:tc>
        <w:tc>
          <w:tcPr>
            <w:tcW w:w="0" w:type="auto"/>
          </w:tcPr>
          <w:p w14:paraId="64CC2CF8" w14:textId="77777777" w:rsidR="00934620" w:rsidRDefault="00C40FD7">
            <w:pPr>
              <w:spacing w:before="40" w:after="40"/>
              <w:jc w:val="right"/>
            </w:pPr>
            <w:r>
              <w:t>−1.08</w:t>
            </w:r>
          </w:p>
        </w:tc>
      </w:tr>
      <w:tr w:rsidR="00934620" w14:paraId="7AF94011" w14:textId="77777777">
        <w:tc>
          <w:tcPr>
            <w:tcW w:w="0" w:type="auto"/>
          </w:tcPr>
          <w:p w14:paraId="1FE86ADB" w14:textId="77777777" w:rsidR="00934620" w:rsidRDefault="00C40FD7">
            <w:pPr>
              <w:spacing w:before="40" w:after="40"/>
            </w:pPr>
            <w:r>
              <w:t>Gasoline</w:t>
            </w:r>
          </w:p>
        </w:tc>
        <w:tc>
          <w:tcPr>
            <w:tcW w:w="0" w:type="auto"/>
          </w:tcPr>
          <w:p w14:paraId="32582801" w14:textId="77777777" w:rsidR="00934620" w:rsidRDefault="00C40FD7">
            <w:pPr>
              <w:spacing w:before="40" w:after="40"/>
              <w:jc w:val="right"/>
            </w:pPr>
            <w:r>
              <w:t>−0.30</w:t>
            </w:r>
          </w:p>
        </w:tc>
        <w:tc>
          <w:tcPr>
            <w:tcW w:w="0" w:type="auto"/>
          </w:tcPr>
          <w:p w14:paraId="7B037D09" w14:textId="77777777" w:rsidR="00934620" w:rsidRDefault="00C40FD7">
            <w:pPr>
              <w:spacing w:before="40" w:after="40"/>
              <w:jc w:val="right"/>
            </w:pPr>
            <w:r>
              <w:t>−0.70</w:t>
            </w:r>
          </w:p>
        </w:tc>
        <w:tc>
          <w:tcPr>
            <w:tcW w:w="0" w:type="auto"/>
          </w:tcPr>
          <w:p w14:paraId="4FE0B7D5" w14:textId="77777777" w:rsidR="00934620" w:rsidRDefault="00C40FD7">
            <w:pPr>
              <w:spacing w:before="40" w:after="40"/>
              <w:jc w:val="right"/>
            </w:pPr>
            <w:r>
              <w:t>−0.79</w:t>
            </w:r>
          </w:p>
        </w:tc>
      </w:tr>
      <w:tr w:rsidR="00934620" w14:paraId="0E89031D" w14:textId="77777777">
        <w:tc>
          <w:tcPr>
            <w:tcW w:w="0" w:type="auto"/>
          </w:tcPr>
          <w:p w14:paraId="471BB646" w14:textId="77777777" w:rsidR="00934620" w:rsidRDefault="00C40FD7">
            <w:pPr>
              <w:spacing w:before="40" w:after="40"/>
            </w:pPr>
            <w:r>
              <w:t>Biomass</w:t>
            </w:r>
          </w:p>
        </w:tc>
        <w:tc>
          <w:tcPr>
            <w:tcW w:w="0" w:type="auto"/>
          </w:tcPr>
          <w:p w14:paraId="0D2C7D11" w14:textId="77777777" w:rsidR="00934620" w:rsidRDefault="00C40FD7">
            <w:pPr>
              <w:spacing w:before="40" w:after="40"/>
              <w:jc w:val="right"/>
            </w:pPr>
            <w:r>
              <w:t>−0.20</w:t>
            </w:r>
          </w:p>
        </w:tc>
        <w:tc>
          <w:tcPr>
            <w:tcW w:w="0" w:type="auto"/>
          </w:tcPr>
          <w:p w14:paraId="7EC69C49" w14:textId="77777777" w:rsidR="00934620" w:rsidRDefault="00C40FD7">
            <w:pPr>
              <w:spacing w:before="40" w:after="40"/>
              <w:jc w:val="right"/>
            </w:pPr>
            <w:r>
              <w:t>−0.20</w:t>
            </w:r>
          </w:p>
        </w:tc>
        <w:tc>
          <w:tcPr>
            <w:tcW w:w="0" w:type="auto"/>
          </w:tcPr>
          <w:p w14:paraId="246695AE" w14:textId="77777777" w:rsidR="00934620" w:rsidRDefault="00C40FD7">
            <w:pPr>
              <w:spacing w:before="40" w:after="40"/>
              <w:jc w:val="right"/>
            </w:pPr>
            <w:r>
              <w:t>−0.36</w:t>
            </w:r>
          </w:p>
        </w:tc>
      </w:tr>
      <w:tr w:rsidR="00934620" w14:paraId="08135AB4" w14:textId="77777777">
        <w:tc>
          <w:tcPr>
            <w:tcW w:w="0" w:type="auto"/>
          </w:tcPr>
          <w:p w14:paraId="39492D47" w14:textId="77777777" w:rsidR="00934620" w:rsidRDefault="00C40FD7">
            <w:pPr>
              <w:spacing w:before="40" w:after="40"/>
            </w:pPr>
            <w:r>
              <w:t>Electricity</w:t>
            </w:r>
          </w:p>
        </w:tc>
        <w:tc>
          <w:tcPr>
            <w:tcW w:w="0" w:type="auto"/>
          </w:tcPr>
          <w:p w14:paraId="475ACA0B" w14:textId="77777777" w:rsidR="00934620" w:rsidRDefault="00C40FD7">
            <w:pPr>
              <w:spacing w:before="40" w:after="40"/>
              <w:jc w:val="right"/>
            </w:pPr>
            <w:r>
              <w:t>−0.20</w:t>
            </w:r>
          </w:p>
        </w:tc>
        <w:tc>
          <w:tcPr>
            <w:tcW w:w="0" w:type="auto"/>
          </w:tcPr>
          <w:p w14:paraId="0105EC41" w14:textId="77777777" w:rsidR="00934620" w:rsidRDefault="00C40FD7">
            <w:pPr>
              <w:spacing w:before="40" w:after="40"/>
              <w:jc w:val="right"/>
            </w:pPr>
            <w:r>
              <w:t>−0.20</w:t>
            </w:r>
          </w:p>
        </w:tc>
        <w:tc>
          <w:tcPr>
            <w:tcW w:w="0" w:type="auto"/>
          </w:tcPr>
          <w:p w14:paraId="5B452E70" w14:textId="77777777" w:rsidR="00934620" w:rsidRDefault="00C40FD7">
            <w:pPr>
              <w:spacing w:before="40" w:after="40"/>
              <w:jc w:val="right"/>
            </w:pPr>
            <w:r>
              <w:t>−0.36</w:t>
            </w:r>
          </w:p>
        </w:tc>
      </w:tr>
    </w:tbl>
    <w:p w14:paraId="698B6C6D" w14:textId="77777777" w:rsidR="00934620" w:rsidRDefault="00C40FD7">
      <w:r>
        <w:t xml:space="preserve">Source: CPAT Team (2024), table 3-1. The implied total is </w:t>
      </w:r>
      <m:oMath>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e>
        </m:d>
      </m:oMath>
      <w:r>
        <w:t>.</w:t>
      </w:r>
    </w:p>
    <w:p w14:paraId="5FF5BF1D" w14:textId="77777777" w:rsidR="00934620" w:rsidRDefault="00C40FD7">
      <w:pPr>
        <w:pStyle w:val="Heading2"/>
      </w:pPr>
      <w:bookmarkStart w:id="3" w:name="output"/>
      <w:bookmarkEnd w:id="2"/>
      <w:r>
        <w:lastRenderedPageBreak/>
        <w:t>Output</w:t>
      </w:r>
    </w:p>
    <w:p w14:paraId="71B19C6A" w14:textId="77777777" w:rsidR="00934620" w:rsidRDefault="00C40FD7">
      <w:r>
        <w:t>CPAT does not calculate industrial output. It has no output variable for industry, only fuel use. Output changes can nevertheless be inferred from the form of the fuel use equation, because the usage margin is the part of the price response that comes from running existing capital less hard, which in industry means producing less.</w:t>
      </w:r>
    </w:p>
    <w:p w14:paraId="45CA8964" w14:textId="77777777" w:rsidR="00934620" w:rsidRDefault="00C40FD7">
      <w:r>
        <w:t xml:space="preserve">We therefore read the usage term as the output response and the efficiency term as the response of energy intensity. For a price change </w:t>
      </w:r>
      <m:oMath>
        <m:r>
          <w:rPr>
            <w:rFonts w:ascii="Cambria Math" w:hAnsi="Cambria Math"/>
          </w:rPr>
          <m:t>Δ</m:t>
        </m:r>
        <m:r>
          <m:rPr>
            <m:sty m:val="p"/>
          </m:rPr>
          <w:rPr>
            <w:rFonts w:ascii="Cambria Math" w:hAnsi="Cambria Math"/>
          </w:rPr>
          <m:t>ln</m:t>
        </m:r>
        <m:r>
          <w:rPr>
            <w:rFonts w:ascii="Cambria Math" w:hAnsi="Cambria Math"/>
          </w:rPr>
          <m:t>p</m:t>
        </m:r>
      </m:oMath>
      <w:r>
        <w:t xml:space="preserve"> caused by the policy,</w:t>
      </w:r>
    </w:p>
    <w:p w14:paraId="060596FA" w14:textId="77777777" w:rsidR="00934620" w:rsidRDefault="00C40FD7">
      <m:oMathPara>
        <m:oMathParaPr>
          <m:jc m:val="center"/>
        </m:oMathParaPr>
        <m:oMath>
          <m:r>
            <w:rPr>
              <w:rFonts w:ascii="Cambria Math" w:hAnsi="Cambria Math"/>
            </w:rPr>
            <m:t>Δ</m:t>
          </m:r>
          <m:r>
            <m:rPr>
              <m:sty m:val="p"/>
            </m:rPr>
            <w:rPr>
              <w:rFonts w:ascii="Cambria Math" w:hAnsi="Cambria Math"/>
            </w:rPr>
            <m:t>ln</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r>
            <w:rPr>
              <w:rFonts w:ascii="Cambria Math" w:hAnsi="Cambria Math"/>
            </w:rPr>
            <m:t> Δ</m:t>
          </m:r>
          <m:r>
            <m:rPr>
              <m:sty m:val="p"/>
            </m:rPr>
            <w:rPr>
              <w:rFonts w:ascii="Cambria Math" w:hAnsi="Cambria Math"/>
            </w:rPr>
            <m:t>ln</m:t>
          </m:r>
          <m:r>
            <w:rPr>
              <w:rFonts w:ascii="Cambria Math" w:hAnsi="Cambria Math"/>
            </w:rPr>
            <m:t>p    Δ</m:t>
          </m:r>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Q</m:t>
                  </m:r>
                </m:den>
              </m:f>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U</m:t>
                  </m:r>
                </m:sub>
              </m:sSub>
            </m:e>
          </m:d>
          <m:r>
            <w:rPr>
              <w:rFonts w:ascii="Cambria Math" w:hAnsi="Cambria Math"/>
            </w:rPr>
            <m:t> Δ</m:t>
          </m:r>
          <m:r>
            <m:rPr>
              <m:sty m:val="p"/>
            </m:rPr>
            <w:rPr>
              <w:rFonts w:ascii="Cambria Math" w:hAnsi="Cambria Math"/>
            </w:rPr>
            <m:t>ln</m:t>
          </m:r>
          <m:r>
            <w:rPr>
              <w:rFonts w:ascii="Cambria Math" w:hAnsi="Cambria Math"/>
            </w:rPr>
            <m:t>p</m:t>
          </m:r>
        </m:oMath>
      </m:oMathPara>
    </w:p>
    <w:p w14:paraId="7B4C7C19" w14:textId="77777777" w:rsidR="00934620" w:rsidRDefault="00C40FD7">
      <w:r>
        <w:t>and the two add up to the total change in fuel use. Because emission factors are fixed, the second term is also the change in energy emissions intensity.</w:t>
      </w:r>
    </w:p>
    <w:p w14:paraId="4041CC42" w14:textId="77777777" w:rsidR="00934620" w:rsidRDefault="00C40FD7">
      <w:r>
        <w:t xml:space="preserve">This note allocates 50 percent of the price elasticity to output and 50 percent to emissions intensity, which means setting </w:t>
      </w:r>
      <m:oMath>
        <m:sSub>
          <m:sSubPr>
            <m:ctrlPr>
              <w:rPr>
                <w:rFonts w:ascii="Cambria Math" w:hAnsi="Cambria Math"/>
              </w:rPr>
            </m:ctrlPr>
          </m:sSubPr>
          <m:e>
            <m:r>
              <w:rPr>
                <w:rFonts w:ascii="Cambria Math" w:hAnsi="Cambria Math"/>
              </w:rPr>
              <m:t>ϵ</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F</m:t>
            </m:r>
          </m:sub>
        </m:sSub>
        <m:r>
          <m:rPr>
            <m:sty m:val="p"/>
          </m:rPr>
          <w:rPr>
            <w:rFonts w:ascii="Cambria Math" w:hAnsi="Cambria Math"/>
          </w:rPr>
          <m:t>=</m:t>
        </m:r>
        <m:r>
          <w:rPr>
            <w:rFonts w:ascii="Cambria Math" w:hAnsi="Cambria Math"/>
          </w:rPr>
          <m:t>ϵ</m:t>
        </m:r>
      </m:oMath>
      <w:r>
        <w:t>. Even with equal elasticities, output carries slightly more than half of the fuel response, because rebound shrinks the efficiency term. The share of the response due to output is</w:t>
      </w:r>
    </w:p>
    <w:p w14:paraId="6501315F" w14:textId="77777777" w:rsidR="00934620" w:rsidRDefault="00736B4E">
      <m:oMathPara>
        <m:oMathParaPr>
          <m:jc m:val="center"/>
        </m:oMathParaPr>
        <m:oMath>
          <m:f>
            <m:fPr>
              <m:ctrlPr>
                <w:rPr>
                  <w:rFonts w:ascii="Cambria Math" w:hAnsi="Cambria Math"/>
                </w:rPr>
              </m:ctrlPr>
            </m:fPr>
            <m:num>
              <m:r>
                <w:rPr>
                  <w:rFonts w:ascii="Cambria Math" w:hAnsi="Cambria Math"/>
                </w:rPr>
                <m:t>ϵ</m:t>
              </m:r>
            </m:num>
            <m:den>
              <m:r>
                <w:rPr>
                  <w:rFonts w:ascii="Cambria Math" w:hAnsi="Cambria Math"/>
                </w:rPr>
                <m:t>2ϵ</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m:rPr>
                  <m:sty m:val="p"/>
                </m:rPr>
                <w:rPr>
                  <w:rFonts w:ascii="Cambria Math" w:hAnsi="Cambria Math"/>
                </w:rPr>
                <m:t>+</m:t>
              </m:r>
              <m:r>
                <w:rPr>
                  <w:rFonts w:ascii="Cambria Math" w:hAnsi="Cambria Math"/>
                </w:rPr>
                <m:t>ϵ</m:t>
              </m:r>
            </m:den>
          </m:f>
        </m:oMath>
      </m:oMathPara>
    </w:p>
    <w:p w14:paraId="3905F205" w14:textId="77777777" w:rsidR="00934620" w:rsidRDefault="00C40FD7">
      <w:r>
        <w:t xml:space="preserve">which is about 59 percent when </w:t>
      </w:r>
      <m:oMath>
        <m:r>
          <w:rPr>
            <w:rFonts w:ascii="Cambria Math" w:hAnsi="Cambria Math"/>
          </w:rPr>
          <m:t>ϵ</m:t>
        </m:r>
        <m:r>
          <m:rPr>
            <m:sty m:val="p"/>
          </m:rPr>
          <w:rPr>
            <w:rFonts w:ascii="Cambria Math" w:hAnsi="Cambria Math"/>
          </w:rPr>
          <m:t>=-</m:t>
        </m:r>
        <m:r>
          <w:rPr>
            <w:rFonts w:ascii="Cambria Math" w:hAnsi="Cambria Math"/>
          </w:rPr>
          <m:t>0.3</m:t>
        </m:r>
      </m:oMath>
      <w:r>
        <w:t xml:space="preserve">. The public default values in Table 1 are not split equally for most fuels. For industrial coal, output carries </w:t>
      </w:r>
      <m:oMath>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0.52</m:t>
        </m:r>
      </m:oMath>
      <w:r>
        <w:t>, or about 38 percent, of the response. [In the workbook the split is imposed: the CBAM-sector intensity response is a hardcoded semi-elasticity of −0.549 percent per dollar, halved, not CPAT’s fuel-level elasticities (item 14).]</w:t>
      </w:r>
    </w:p>
    <w:p w14:paraId="34227306" w14:textId="77777777" w:rsidR="00934620" w:rsidRDefault="00C40FD7">
      <w:r>
        <w:t>Industry burns several fuels, and a carbon price raises their prices by different amounts, since coal carries more carbon per unit of energy than gas. An industry-wide output index must therefore combine the fuel-level usage responses. [The workbook does not weight by fuel; it applies one industry-wide semi-elasticity.] Electricity prices rise too, through CPAT’s power sector models, and should enter the index on the same footing.</w:t>
      </w:r>
    </w:p>
    <w:p w14:paraId="28A3726A" w14:textId="77777777" w:rsidR="00934620" w:rsidRDefault="00C40FD7">
      <w:r>
        <w:t>The inferred output response is best read as an upper bound. The usage margin includes operational savings that leave output unchanged, such as better maintenance or less idling, and treating the whole margin as output attributes these savings to lower production. The inference also says nothing about where lost output goes, a point taken up in the caveats.</w:t>
      </w:r>
    </w:p>
    <w:p w14:paraId="2169200E" w14:textId="77777777" w:rsidR="00934620" w:rsidRDefault="00C40FD7">
      <w:pPr>
        <w:pStyle w:val="Heading2"/>
      </w:pPr>
      <w:bookmarkStart w:id="4" w:name="X2b3925229d53e8ed46aa7497ad09ffcd297782c"/>
      <w:bookmarkEnd w:id="3"/>
      <w:r>
        <w:lastRenderedPageBreak/>
        <w:t>Process emissions, emission factors and semi-elasticities</w:t>
      </w:r>
    </w:p>
    <w:p w14:paraId="58FF80DE" w14:textId="77777777" w:rsidR="00934620" w:rsidRDefault="00C40FD7">
      <w:r>
        <w:t>CPAT’s own treatment of process emissions is too coarse for the CBAM sectors. The model projects emissions from industrial processes and product use at the growth rate of energy-related industrial CO₂ (CPAT Team 2024, section 3.5.5.1), so a carbon price cuts process emissions in the same proportion as fuel emissions. In cement and steel, process CO₂ is released by chemical reactions: heating limestone to make clinker, and stripping oxygen out of iron ore. These emissions scale with the tonnes of material produced and fall only if output falls or the process changes.</w:t>
      </w:r>
    </w:p>
    <w:p w14:paraId="5CFF9EF0" w14:textId="77777777" w:rsidR="00934620" w:rsidRDefault="00C40FD7">
      <w:r>
        <w:t>We therefore calculate process emissions outside CPAT, as output times a process emission factor:</w:t>
      </w:r>
    </w:p>
    <w:p w14:paraId="5581324E" w14:textId="77777777" w:rsidR="00934620" w:rsidRDefault="00736B4E">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proc</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sSubSup>
            <m:sSubSupPr>
              <m:ctrlPr>
                <w:rPr>
                  <w:rFonts w:ascii="Cambria Math" w:hAnsi="Cambria Math"/>
                </w:rPr>
              </m:ctrlPr>
            </m:sSubSup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proc</m:t>
              </m:r>
            </m:sup>
          </m:sSubSup>
        </m:oMath>
      </m:oMathPara>
    </w:p>
    <w:p w14:paraId="68655FE7" w14:textId="77777777" w:rsidR="00934620" w:rsidRDefault="00C40FD7">
      <w:r>
        <w:t>CPAT does not calculate output. [The workbook holds no output data or process emission factors. It works directly with CBAM-sector process emissions of 29.8 Mt in 2026 (source not recorded, item 16) and applies the semi-elasticity to them; the output channel is not modeled separately.]</w:t>
      </w:r>
    </w:p>
    <w:p w14:paraId="141D2146" w14:textId="77777777" w:rsidR="00934620" w:rsidRDefault="00C40FD7">
      <w:r>
        <w:t xml:space="preserve">The policy scenario changes process emissions through two channels. The output channel comes from CPAT, using the usage-margin inference in the previous section. The intensity channel comes from a semi-elasticity </w:t>
      </w:r>
      <m:oMath>
        <m:sSub>
          <m:sSubPr>
            <m:ctrlPr>
              <w:rPr>
                <w:rFonts w:ascii="Cambria Math" w:hAnsi="Cambria Math"/>
              </w:rPr>
            </m:ctrlPr>
          </m:sSubPr>
          <m:e>
            <m:r>
              <w:rPr>
                <w:rFonts w:ascii="Cambria Math" w:hAnsi="Cambria Math"/>
              </w:rPr>
              <m:t>β</m:t>
            </m:r>
          </m:e>
          <m:sub>
            <m:r>
              <w:rPr>
                <w:rFonts w:ascii="Cambria Math" w:hAnsi="Cambria Math"/>
              </w:rPr>
              <m:t>s</m:t>
            </m:r>
          </m:sub>
        </m:sSub>
      </m:oMath>
      <w:r>
        <w:t xml:space="preserve">, which gives the proportional change in the process emission factor per dollar of carbon price </w:t>
      </w:r>
      <m:oMath>
        <m:r>
          <w:rPr>
            <w:rFonts w:ascii="Cambria Math" w:hAnsi="Cambria Math"/>
          </w:rPr>
          <m:t>τ</m:t>
        </m:r>
      </m:oMath>
      <w:r>
        <w:t>:</w:t>
      </w:r>
    </w:p>
    <w:p w14:paraId="5384E884" w14:textId="77777777" w:rsidR="00934620" w:rsidRDefault="00C40FD7">
      <m:oMathPara>
        <m:oMathParaPr>
          <m:jc m:val="center"/>
        </m:oMathParaPr>
        <m:oMath>
          <m:r>
            <m:rPr>
              <m:sty m:val="p"/>
            </m:rPr>
            <w:rPr>
              <w:rFonts w:ascii="Cambria Math" w:hAnsi="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proc</m:t>
                      </m:r>
                      <m:r>
                        <m:rPr>
                          <m:sty m:val="p"/>
                        </m:rPr>
                        <w:rPr>
                          <w:rFonts w:ascii="Cambria Math" w:hAnsi="Cambria Math"/>
                        </w:rPr>
                        <m:t>,</m:t>
                      </m:r>
                      <m:r>
                        <w:rPr>
                          <w:rFonts w:ascii="Cambria Math" w:hAnsi="Cambria Math"/>
                        </w:rPr>
                        <m:t>P</m:t>
                      </m:r>
                    </m:sup>
                  </m:sSubSup>
                </m:num>
                <m:den>
                  <m:sSubSup>
                    <m:sSubSupPr>
                      <m:ctrlPr>
                        <w:rPr>
                          <w:rFonts w:ascii="Cambria Math" w:hAnsi="Cambria Math"/>
                        </w:rPr>
                      </m:ctrlPr>
                    </m:sSubSup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proc</m:t>
                      </m:r>
                      <m:r>
                        <m:rPr>
                          <m:sty m:val="p"/>
                        </m:rPr>
                        <w:rPr>
                          <w:rFonts w:ascii="Cambria Math" w:hAnsi="Cambria Math"/>
                        </w:rPr>
                        <m:t>,</m:t>
                      </m:r>
                      <m:r>
                        <w:rPr>
                          <w:rFonts w:ascii="Cambria Math" w:hAnsi="Cambria Math"/>
                        </w:rPr>
                        <m:t>B</m:t>
                      </m:r>
                    </m:sup>
                  </m:sSubSup>
                </m:den>
              </m:f>
            </m:e>
          </m:d>
          <m:r>
            <m:rPr>
              <m:sty m:val="p"/>
            </m:rPr>
            <w:rPr>
              <w:rFonts w:ascii="Cambria Math" w:hAnsi="Cambria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m:t>
                      </m:r>
                    </m:sup>
                  </m:sSubSup>
                </m:num>
                <m:den>
                  <m:sSubSup>
                    <m:sSubSupPr>
                      <m:ctrlPr>
                        <w:rPr>
                          <w:rFonts w:ascii="Cambria Math" w:hAnsi="Cambria Math"/>
                        </w:rPr>
                      </m:ctrlPr>
                    </m:sSubSupPr>
                    <m:e>
                      <m:r>
                        <w:rPr>
                          <w:rFonts w:ascii="Cambria Math" w:hAnsi="Cambria Math"/>
                        </w:rPr>
                        <m:t>Q</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B</m:t>
                      </m:r>
                    </m:sup>
                  </m:sSubSup>
                </m:den>
              </m:f>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t</m:t>
              </m:r>
            </m:sub>
          </m:sSub>
        </m:oMath>
      </m:oMathPara>
    </w:p>
    <w:p w14:paraId="440B789E" w14:textId="77777777" w:rsidR="00934620" w:rsidRDefault="00C40FD7">
      <w:r>
        <w:t>A semi-elasticity suits this case because the carbon price starts at zero, where an ordinary elasticity with respect to price is undefined, and because the exponential form keeps emissions positive at high prices.</w:t>
      </w:r>
    </w:p>
    <w:p w14:paraId="071F26E2" w14:textId="77777777" w:rsidR="00934620" w:rsidRDefault="00C40FD7">
      <w:r>
        <w:t xml:space="preserve">We derive approximate semi-elasticities from the marginal abatement cost information in the IPCC Sixth Assessment Report (IPCC 2022), which reports mitigation potential in industry by cost band in dollars per tonne. If a share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of process emissions can be abated at a cost of </w:t>
      </w:r>
      <m:oMath>
        <m:r>
          <w:rPr>
            <w:rFonts w:ascii="Cambria Math" w:hAnsi="Cambria Math"/>
          </w:rPr>
          <m:t>C</m:t>
        </m:r>
      </m:oMath>
      <w:r>
        <w:t xml:space="preserve"> dollars per tonne or less, the matching semi-elasticity is</w:t>
      </w:r>
    </w:p>
    <w:p w14:paraId="615154EF" w14:textId="77777777" w:rsidR="00934620" w:rsidRDefault="00736B4E">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num>
            <m:den>
              <m:r>
                <w:rPr>
                  <w:rFonts w:ascii="Cambria Math" w:hAnsi="Cambria Math"/>
                </w:rPr>
                <m:t>C</m:t>
              </m:r>
            </m:den>
          </m:f>
        </m:oMath>
      </m:oMathPara>
    </w:p>
    <w:p w14:paraId="40A17C56" w14:textId="77777777" w:rsidR="005F5AC1" w:rsidRDefault="00736B4E">
      <w:r>
        <w:t xml:space="preserve">[The values of A and C are not recorded in the workbook; it carries only the resulting semi-elasticity, −0.104 percent per dollar for all CBAM sectors, labeled a half elasticity.] These </w:t>
      </w:r>
      <w:r>
        <w:lastRenderedPageBreak/>
        <w:t>potentials are global and refer to 2030, so the resulting semi-elasticities are rough and should be treated as central values within a wide range.</w:t>
      </w:r>
    </w:p>
    <w:p w14:paraId="11D495A1" w14:textId="77777777" w:rsidR="00934620" w:rsidRDefault="00C40FD7">
      <w:r>
        <w:t>The separate process calculation must replace CPAT’s industrial process row. The documentation also notes that the IIASA emission factors CPAT uses by default include some process emissions, which the calibration to the 2019 inventory then corrects at the aggregate level (CPAT Team 2024, section 3.1.8.6). [Not done in the workbook: the CPAT totals used in the matrix still include CPAT’s scaled process row, and 1A adds the semi-elasticity cut on top (item 17).]</w:t>
      </w:r>
    </w:p>
    <w:p w14:paraId="237CFBA2" w14:textId="77777777" w:rsidR="00934620" w:rsidRDefault="00C40FD7">
      <w:pPr>
        <w:pStyle w:val="Heading2"/>
      </w:pPr>
      <w:bookmarkStart w:id="5" w:name="revenue"/>
      <w:bookmarkEnd w:id="4"/>
      <w:r>
        <w:t>Revenue</w:t>
      </w:r>
    </w:p>
    <w:p w14:paraId="0CCE4DE5" w14:textId="77777777" w:rsidR="00934620" w:rsidRDefault="00C40FD7">
      <w:r>
        <w:t>Revenues in this note are simple revenues, calculated as the carbon price times the covered emissions base:</w:t>
      </w:r>
    </w:p>
    <w:p w14:paraId="618F0E13" w14:textId="77777777" w:rsidR="00934620" w:rsidRDefault="00736B4E">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φ</m:t>
                  </m:r>
                </m:e>
                <m:sub>
                  <m:r>
                    <w:rPr>
                      <w:rFonts w:ascii="Cambria Math" w:hAnsi="Cambria Math"/>
                    </w:rPr>
                    <m:t>s</m:t>
                  </m:r>
                  <m:r>
                    <m:rPr>
                      <m:sty m:val="p"/>
                    </m:rPr>
                    <w:rPr>
                      <w:rFonts w:ascii="Cambria Math" w:hAnsi="Cambria Math"/>
                    </w:rPr>
                    <m:t>,</m:t>
                  </m:r>
                  <m:r>
                    <w:rPr>
                      <w:rFonts w:ascii="Cambria Math" w:hAnsi="Cambria Math"/>
                    </w:rPr>
                    <m:t>t</m:t>
                  </m:r>
                </m:sub>
              </m:sSub>
            </m:e>
          </m:nary>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P</m:t>
              </m:r>
            </m:sup>
          </m:sSubSup>
        </m:oMath>
      </m:oMathPara>
    </w:p>
    <w:p w14:paraId="68EA6CB9" w14:textId="77777777" w:rsidR="00934620" w:rsidRDefault="00C40FD7">
      <w:r>
        <w:t>The intended base is emissions in the policy scenario, after firms and households have responded to the price. [The workbook instead uses $20 times 2026 baseline covered emissions, before any response (items 4 and 10).]</w:t>
      </w:r>
    </w:p>
    <w:p w14:paraId="0459D75E" w14:textId="77777777" w:rsidR="00934620" w:rsidRDefault="00C40FD7">
      <w:r>
        <w:t xml:space="preserve">CPAT calculates carbon tax revenues in the same way. Its general formula multiplies fuel use by coverage and by the new carbon price per unit of energy, </w:t>
      </w:r>
      <m:oMath>
        <m:r>
          <w:rPr>
            <w:rFonts w:ascii="Cambria Math" w:hAnsi="Cambria Math"/>
          </w:rPr>
          <m:t>re</m:t>
        </m:r>
        <m:sSub>
          <m:sSubPr>
            <m:ctrlPr>
              <w:rPr>
                <w:rFonts w:ascii="Cambria Math" w:hAnsi="Cambria Math"/>
              </w:rPr>
            </m:ctrlPr>
          </m:sSubPr>
          <m:e>
            <m:r>
              <w:rPr>
                <w:rFonts w:ascii="Cambria Math" w:hAnsi="Cambria Math"/>
              </w:rPr>
              <m:t>v</m:t>
            </m:r>
          </m:e>
          <m:sub>
            <m:r>
              <w:rPr>
                <w:rFonts w:ascii="Cambria Math" w:hAnsi="Cambria Math"/>
              </w:rPr>
              <m:t>ocfgt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ocfgt</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cgft</m:t>
            </m:r>
          </m:sub>
        </m:sSub>
        <m:r>
          <m:rPr>
            <m:sty m:val="p"/>
          </m:rPr>
          <w:rPr>
            <w:rFonts w:ascii="Cambria Math" w:hAnsi="Cambria Math"/>
          </w:rPr>
          <m:t>×</m:t>
        </m:r>
        <m:r>
          <w:rPr>
            <w:rFonts w:ascii="Cambria Math" w:hAnsi="Cambria Math"/>
          </w:rPr>
          <m:t>nc</m:t>
        </m:r>
        <m:sSub>
          <m:sSubPr>
            <m:ctrlPr>
              <w:rPr>
                <w:rFonts w:ascii="Cambria Math" w:hAnsi="Cambria Math"/>
              </w:rPr>
            </m:ctrlPr>
          </m:sSubPr>
          <m:e>
            <m:r>
              <w:rPr>
                <w:rFonts w:ascii="Cambria Math" w:hAnsi="Cambria Math"/>
              </w:rPr>
              <m:t>p</m:t>
            </m:r>
          </m:e>
          <m:sub>
            <m:r>
              <w:rPr>
                <w:rFonts w:ascii="Cambria Math" w:hAnsi="Cambria Math"/>
              </w:rPr>
              <m:t>ocfgt</m:t>
            </m:r>
          </m:sub>
        </m:sSub>
      </m:oMath>
      <w:r>
        <w:t>, and reports the result in real 2021 dollars and as a share of GDP (CPAT Team 2024, section 3.6).</w:t>
      </w:r>
    </w:p>
    <w:p w14:paraId="041C1C84" w14:textId="77777777" w:rsidR="00934620" w:rsidRDefault="00C40FD7">
      <w:r>
        <w:t>CPAT also calculates a fuller measure, which we do not use. Full revenues compare all fiscal flows from energy in the baseline and policy scenarios: existing excises, VAT, existing carbon taxes and ETS permits, consumer and producer subsidies, and the cost of any renewable subsidies. The simple measure is easier to explain and to compare across countries, and it matches the process-emissions base, which lies outside CPAT and so cannot enter CPAT’s full revenue calculation.</w:t>
      </w:r>
    </w:p>
    <w:p w14:paraId="457EB7EA" w14:textId="77777777" w:rsidR="00934620" w:rsidRDefault="00C40FD7">
      <w:r>
        <w:t>The two measures can differ in either direction. A carbon price lowers fuel use, which shrinks the base of existing fuel excises and VAT, so where fuel taxes are already high the simple measure overstates the net gain to the budget. Where fuels are subsidized, lower consumption cuts the subsidy bill, so the simple measure understates the net gain. Where the price is set through an ETS with free allocation, revenue falls below the simple figure in proportion to the allowances given away; CPAT handles this with a revenue parameter for ETSs.</w:t>
      </w:r>
    </w:p>
    <w:p w14:paraId="29625C2F" w14:textId="77777777" w:rsidR="00934620" w:rsidRDefault="00C40FD7">
      <w:pPr>
        <w:pStyle w:val="Heading2"/>
      </w:pPr>
      <w:bookmarkStart w:id="6" w:name="fund"/>
      <w:bookmarkEnd w:id="5"/>
      <w:r>
        <w:lastRenderedPageBreak/>
        <w:t>Fund</w:t>
      </w:r>
    </w:p>
    <w:p w14:paraId="3D773830" w14:textId="77777777" w:rsidR="00934620" w:rsidRDefault="00C40FD7">
      <w:r>
        <w:t>[In the workbook the fund appears only in bundle 3C, as a $20 per tonne “assumed subsidy price” applied to all CBAM-sector emissions, financed by the carbon revenue, which is then reported as zero.] We calculate the emissions reduction associated with the fund using elasticities from CPAT.</w:t>
      </w:r>
    </w:p>
    <w:p w14:paraId="21B35D5C" w14:textId="77777777" w:rsidR="00934620" w:rsidRDefault="00C40FD7">
      <w:r>
        <w:t xml:space="preserve">[The workbook applies the fund additively to 3A, through the same halved energy semi-elasticity, rather than in sequence. A method consistent with CPAT’s structure follows.] CPAT models non-price policies, such as efficiency regulations and feebates, through a shadow price that enters the efficiency term of the fuel use equation but not the usage term (CPAT Team 2024, section 3.3.3). This reflects the fact that a regulation raises efficiency without raising the price that consumers pay. Spending from the fund on efficiency or cleaner processes works in the same way. It can be expressed as an equivalent shadow price per tonne and applied to the efficiency term alone, so that energy intensity falls while output is left unchanged. For process emissions, the same shadow price can be applied through the semi-elasticity </w:t>
      </w:r>
      <m:oMath>
        <m:sSub>
          <m:sSubPr>
            <m:ctrlPr>
              <w:rPr>
                <w:rFonts w:ascii="Cambria Math" w:hAnsi="Cambria Math"/>
              </w:rPr>
            </m:ctrlPr>
          </m:sSubPr>
          <m:e>
            <m:r>
              <w:rPr>
                <w:rFonts w:ascii="Cambria Math" w:hAnsi="Cambria Math"/>
              </w:rPr>
              <m:t>β</m:t>
            </m:r>
          </m:e>
          <m:sub>
            <m:r>
              <w:rPr>
                <w:rFonts w:ascii="Cambria Math" w:hAnsi="Cambria Math"/>
              </w:rPr>
              <m:t>s</m:t>
            </m:r>
          </m:sub>
        </m:sSub>
      </m:oMath>
      <w:r>
        <w:t>.</w:t>
      </w:r>
    </w:p>
    <w:p w14:paraId="53972FE8" w14:textId="77777777" w:rsidR="00934620" w:rsidRDefault="00C40FD7">
      <w:r>
        <w:t>The fund’s effect must be measured on top of the carbon price. Both act partly on the same margin, and adding their separate effects against a common baseline would count some abatement twice. The CPAT documentation suggests handling policy combinations in sequence: model one policy, then use its outcome as the baseline for the next (CPAT Team 2024, section 3.1.8.1). We take the carbon price scenario as the baseline for the fund.</w:t>
      </w:r>
    </w:p>
    <w:p w14:paraId="6A15BE75" w14:textId="77777777" w:rsidR="00934620" w:rsidRDefault="00C40FD7">
      <w:pPr>
        <w:pStyle w:val="Heading2"/>
      </w:pPr>
      <w:bookmarkStart w:id="7" w:name="caveats"/>
      <w:bookmarkEnd w:id="6"/>
      <w:r>
        <w:t>Caveats</w:t>
      </w:r>
    </w:p>
    <w:p w14:paraId="5F386CE9" w14:textId="77777777" w:rsidR="00934620" w:rsidRDefault="00C40FD7">
      <w:r>
        <w:rPr>
          <w:b/>
          <w:bCs/>
        </w:rPr>
        <w:t>No explicit output model.</w:t>
      </w:r>
      <w:r>
        <w:t xml:space="preserve"> CPAT models industry with a simple elasticity approach and does not explicitly model output or energy intensity. It does, however, split energy price elasticities into two components: a usage elasticity, which effectively captures the impact of fuel prices on output, and an efficiency elasticity, which captures the impact on emissions intensity. This split lets us separate the industrial output adjustment. As set out above, the inferred output response is an upper bound, and the share of the response it carries depends on the elasticity values chosen.</w:t>
      </w:r>
    </w:p>
    <w:p w14:paraId="12B721C1" w14:textId="77777777" w:rsidR="00934620" w:rsidRDefault="00C40FD7">
      <w:r>
        <w:rPr>
          <w:b/>
          <w:bCs/>
        </w:rPr>
        <w:t>Long-run elasticities in a single period.</w:t>
      </w:r>
      <w:r>
        <w:t xml:space="preserve"> All CPAT elasticities are long-run values, and the model assumes that their full effect takes place within one year (CPAT Team 2024, section 3.3.3). Results are therefore best suited to policies that are announced in advance and phased in over the medium term. For an abrupt price change, the model will overstate the response in the first few years.</w:t>
      </w:r>
    </w:p>
    <w:p w14:paraId="1696AD4D" w14:textId="77777777" w:rsidR="00934620" w:rsidRDefault="00C40FD7">
      <w:r>
        <w:rPr>
          <w:b/>
          <w:bCs/>
        </w:rPr>
        <w:lastRenderedPageBreak/>
        <w:t>No explicit technology pathways.</w:t>
      </w:r>
      <w:r>
        <w:t xml:space="preserve"> We do not model individual technologies. CPAT abstracts from large, non-linear responses such as rapid adoption of carbon capture and storage (CPAT Team 2024, section 3.1.8.1), and the same applies to switches such as hydrogen-based steelmaking. Technical change outside policy enters only as a constant rate of efficiency improvement. At high carbon prices, where such switches become profitable, the model may understate abatement.</w:t>
      </w:r>
    </w:p>
    <w:p w14:paraId="2D8321B0" w14:textId="77777777" w:rsidR="00934620" w:rsidRDefault="00C40FD7">
      <w:r>
        <w:rPr>
          <w:b/>
          <w:bCs/>
        </w:rPr>
        <w:t>No trade model.</w:t>
      </w:r>
      <w:r>
        <w:t xml:space="preserve"> CPAT does not model trade between countries or emissions leakage. The documentation notes that this rules out explicit analysis of border carbon adjustments (CPAT Team 2024, section 3.1.8.3). For this work, it means CBAM exposure is calculated outside the model, and an inferred fall in output cannot be split between lost exports and lower domestic demand, or matched to higher production elsewhere.</w:t>
      </w:r>
    </w:p>
    <w:p w14:paraId="1AB0380E" w14:textId="77777777" w:rsidR="00934620" w:rsidRDefault="00C40FD7">
      <w:r>
        <w:rPr>
          <w:b/>
          <w:bCs/>
        </w:rPr>
        <w:t>Fixed world fuel prices.</w:t>
      </w:r>
      <w:r>
        <w:t xml:space="preserve"> CPAT takes international fuel prices as given and does not model upward-sloping supply curves. Where many large economies act at once, world prices would fall and offset part of the domestic price rise. The documentation argues that the effect is modest for the model’s parameterization, since results are broadly in line with larger energy models that do capture it.</w:t>
      </w:r>
    </w:p>
    <w:p w14:paraId="75631FC3" w14:textId="77777777" w:rsidR="00934620" w:rsidRDefault="00C40FD7">
      <w:r>
        <w:rPr>
          <w:b/>
          <w:bCs/>
        </w:rPr>
        <w:t>Process emissions via semi-elasticities.</w:t>
      </w:r>
      <w:r>
        <w:t xml:space="preserve"> Process emissions impacts are calculated using semi-elasticities derived from the marginal abatement cost information in the latest IPCC report. These are global potentials for 2030, not country-specific curves, and the output data behind the process calculation are rough. Results for process emissions carry more uncertainty than those for energy emissions.</w:t>
      </w:r>
    </w:p>
    <w:p w14:paraId="76C68242" w14:textId="77777777" w:rsidR="00934620" w:rsidRDefault="00C40FD7">
      <w:r>
        <w:rPr>
          <w:b/>
          <w:bCs/>
        </w:rPr>
        <w:t>Emission factors.</w:t>
      </w:r>
      <w:r>
        <w:t xml:space="preserve"> CPAT’s default emission factors come from IIASA and include some process and fugitive emissions, which the model corrects by calibrating to the 2019 inventory. The documentation itself describes this approach as unsatisfactory (CPAT Team 2024, section 3.1.8.6). Where process emissions are calculated separately, care is needed to avoid counting them twice.</w:t>
      </w:r>
    </w:p>
    <w:p w14:paraId="38801916" w14:textId="77777777" w:rsidR="00934620" w:rsidRDefault="00C40FD7">
      <w:r>
        <w:rPr>
          <w:b/>
          <w:bCs/>
        </w:rPr>
        <w:t>Revenue.</w:t>
      </w:r>
      <w:r>
        <w:t xml:space="preserve"> Revenue figures are calculated outside CPAT as simple revenues. They exclude the effects of the policy on existing fuel taxes, VAT and subsidies, which CPAT’s full revenue measure captures, and so can overstate or understate the net fiscal gain.</w:t>
      </w:r>
    </w:p>
    <w:p w14:paraId="254F2541" w14:textId="77777777" w:rsidR="00934620" w:rsidRDefault="00C40FD7">
      <w:r>
        <w:rPr>
          <w:b/>
          <w:bCs/>
        </w:rPr>
        <w:t>Validation.</w:t>
      </w:r>
      <w:r>
        <w:t xml:space="preserve"> CPAT has been checked against econometric estimates, other energy models, ex post studies of carbon pricing and historical data. Its price and income elasticities fall in the same range as the econometric estimates, with the main exceptions in road transport and services rather than industry, and its baseline projections broadly follow historical trends (CPAT Team 2024, section 3.1.6).</w:t>
      </w:r>
    </w:p>
    <w:p w14:paraId="6854F44B" w14:textId="77777777" w:rsidR="00934620" w:rsidRDefault="00C40FD7">
      <w:pPr>
        <w:pStyle w:val="Heading2"/>
      </w:pPr>
      <w:bookmarkStart w:id="8" w:name="references"/>
      <w:bookmarkEnd w:id="7"/>
      <w:r>
        <w:lastRenderedPageBreak/>
        <w:t>References</w:t>
      </w:r>
    </w:p>
    <w:p w14:paraId="1E2CDE9A" w14:textId="77777777" w:rsidR="00934620" w:rsidRDefault="00C40FD7">
      <w:r>
        <w:t>Black, Simon, and others. 2023. “The IMF–World Bank Climate Policy Assessment Tool (CPAT): A Model to Help Countries Mitigate Climate Change.” IMF Working Paper 23/128. Washington, DC: International Monetary Fund.</w:t>
      </w:r>
    </w:p>
    <w:p w14:paraId="3A648F5D" w14:textId="77777777" w:rsidR="00934620" w:rsidRDefault="00C40FD7">
      <w:r>
        <w:t xml:space="preserve">CPAT Team (World Bank and International Monetary Fund). 2024. </w:t>
      </w:r>
      <w:r>
        <w:rPr>
          <w:i/>
          <w:iCs/>
        </w:rPr>
        <w:t>CPAT Documentation.</w:t>
      </w:r>
      <w:r>
        <w:t xml:space="preserve"> https://cpmodel.github.io/cpat_public/</w:t>
      </w:r>
    </w:p>
    <w:p w14:paraId="3EDCBF52" w14:textId="77777777" w:rsidR="00934620" w:rsidRDefault="00C40FD7">
      <w:r>
        <w:t xml:space="preserve">IPCC (Intergovernmental Panel on Climate Change). 2022. </w:t>
      </w:r>
      <w:r>
        <w:rPr>
          <w:i/>
          <w:iCs/>
        </w:rPr>
        <w:t>Climate Change 2022: Mitigation of Climate Change.</w:t>
      </w:r>
      <w:r>
        <w:t xml:space="preserve"> Contribution of Working Group III to the Sixth Assessment Report. Cambridge: Cambridge University Press.</w:t>
      </w:r>
    </w:p>
    <w:p w14:paraId="35A49324" w14:textId="77777777" w:rsidR="00934620" w:rsidRDefault="00C40FD7">
      <w:r>
        <w:t xml:space="preserve">Labandeira, Xavier, José M. Labeaga, and Xiral López-Otero. 2017. “A Meta-Analysis on the Price Elasticity of Energy Demand.” </w:t>
      </w:r>
      <w:r>
        <w:rPr>
          <w:i/>
          <w:iCs/>
        </w:rPr>
        <w:t>Energy Policy</w:t>
      </w:r>
      <w:r>
        <w:t xml:space="preserve"> 102: 549–68.</w:t>
      </w:r>
      <w:bookmarkEnd w:id="0"/>
      <w:bookmarkEnd w:id="8"/>
    </w:p>
    <w:sectPr w:rsidR="00934620">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5803" w14:textId="77777777" w:rsidR="00736B4E" w:rsidRDefault="00736B4E" w:rsidP="00B13A8B">
      <w:pPr>
        <w:spacing w:after="0" w:line="240" w:lineRule="auto"/>
      </w:pPr>
      <w:r>
        <w:separator/>
      </w:r>
    </w:p>
  </w:endnote>
  <w:endnote w:type="continuationSeparator" w:id="0">
    <w:p w14:paraId="6FECC96C" w14:textId="77777777" w:rsidR="00736B4E" w:rsidRDefault="00736B4E" w:rsidP="00B13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1DA9" w14:textId="7CEDD670" w:rsidR="00B13A8B" w:rsidRDefault="003B5799">
    <w:pPr>
      <w:pStyle w:val="Footer"/>
    </w:pPr>
    <w:r>
      <w:rPr>
        <w:noProof/>
      </w:rPr>
      <mc:AlternateContent>
        <mc:Choice Requires="wps">
          <w:drawing>
            <wp:anchor distT="0" distB="0" distL="0" distR="0" simplePos="0" relativeHeight="251659264" behindDoc="0" locked="0" layoutInCell="1" allowOverlap="1" wp14:anchorId="4B486F36" wp14:editId="66138541">
              <wp:simplePos x="635" y="635"/>
              <wp:positionH relativeFrom="page">
                <wp:align>right</wp:align>
              </wp:positionH>
              <wp:positionV relativeFrom="page">
                <wp:align>bottom</wp:align>
              </wp:positionV>
              <wp:extent cx="1170305" cy="370205"/>
              <wp:effectExtent l="0" t="0" r="0" b="0"/>
              <wp:wrapNone/>
              <wp:docPr id="55942912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1F967DF" w14:textId="4812A283"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486F36"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fill o:detectmouseclick="t"/>
              <v:textbox style="mso-fit-shape-to-text:t" inset="0,0,20pt,15pt">
                <w:txbxContent>
                  <w:p w14:paraId="31F967DF" w14:textId="4812A283"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9DA3" w14:textId="16F9738A" w:rsidR="00B13A8B" w:rsidRDefault="003B5799">
    <w:pPr>
      <w:pStyle w:val="Footer"/>
    </w:pPr>
    <w:r>
      <w:rPr>
        <w:noProof/>
      </w:rPr>
      <mc:AlternateContent>
        <mc:Choice Requires="wps">
          <w:drawing>
            <wp:anchor distT="0" distB="0" distL="0" distR="0" simplePos="0" relativeHeight="251660288" behindDoc="0" locked="0" layoutInCell="1" allowOverlap="1" wp14:anchorId="7AD22CF3" wp14:editId="21734B3A">
              <wp:simplePos x="635" y="635"/>
              <wp:positionH relativeFrom="page">
                <wp:align>right</wp:align>
              </wp:positionH>
              <wp:positionV relativeFrom="page">
                <wp:align>bottom</wp:align>
              </wp:positionV>
              <wp:extent cx="1170305" cy="370205"/>
              <wp:effectExtent l="0" t="0" r="0" b="0"/>
              <wp:wrapNone/>
              <wp:docPr id="164859276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3E0127B" w14:textId="7631E554"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D22CF3"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fill o:detectmouseclick="t"/>
              <v:textbox style="mso-fit-shape-to-text:t" inset="0,0,20pt,15pt">
                <w:txbxContent>
                  <w:p w14:paraId="73E0127B" w14:textId="7631E554"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4EDC" w14:textId="483CBA4E" w:rsidR="00B13A8B" w:rsidRDefault="003B5799">
    <w:pPr>
      <w:pStyle w:val="Footer"/>
    </w:pPr>
    <w:r>
      <w:rPr>
        <w:noProof/>
      </w:rPr>
      <mc:AlternateContent>
        <mc:Choice Requires="wps">
          <w:drawing>
            <wp:anchor distT="0" distB="0" distL="0" distR="0" simplePos="0" relativeHeight="251658240" behindDoc="0" locked="0" layoutInCell="1" allowOverlap="1" wp14:anchorId="5CC427DD" wp14:editId="23E37A2D">
              <wp:simplePos x="635" y="635"/>
              <wp:positionH relativeFrom="page">
                <wp:align>right</wp:align>
              </wp:positionH>
              <wp:positionV relativeFrom="page">
                <wp:align>bottom</wp:align>
              </wp:positionV>
              <wp:extent cx="1170305" cy="370205"/>
              <wp:effectExtent l="0" t="0" r="0" b="0"/>
              <wp:wrapNone/>
              <wp:docPr id="214724606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39CD030" w14:textId="21EB87DF"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C427DD"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fill o:detectmouseclick="t"/>
              <v:textbox style="mso-fit-shape-to-text:t" inset="0,0,20pt,15pt">
                <w:txbxContent>
                  <w:p w14:paraId="339CD030" w14:textId="21EB87DF" w:rsidR="003B5799" w:rsidRPr="003B5799" w:rsidRDefault="003B5799" w:rsidP="003B5799">
                    <w:pPr>
                      <w:spacing w:after="0"/>
                      <w:rPr>
                        <w:rFonts w:ascii="Aptos" w:eastAsia="Aptos" w:hAnsi="Aptos" w:cs="Aptos"/>
                        <w:noProof/>
                        <w:color w:val="000000"/>
                        <w:sz w:val="20"/>
                        <w:szCs w:val="20"/>
                      </w:rPr>
                    </w:pPr>
                    <w:r w:rsidRPr="003B5799">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4B84" w14:textId="77777777" w:rsidR="00736B4E" w:rsidRDefault="00736B4E" w:rsidP="00B13A8B">
      <w:pPr>
        <w:spacing w:after="0" w:line="240" w:lineRule="auto"/>
      </w:pPr>
      <w:r>
        <w:separator/>
      </w:r>
    </w:p>
  </w:footnote>
  <w:footnote w:type="continuationSeparator" w:id="0">
    <w:p w14:paraId="71F83197" w14:textId="77777777" w:rsidR="00736B4E" w:rsidRDefault="00736B4E" w:rsidP="00B13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1502B"/>
    <w:multiLevelType w:val="hybridMultilevel"/>
    <w:tmpl w:val="B164D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083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8B"/>
    <w:rsid w:val="00025F9B"/>
    <w:rsid w:val="000315B8"/>
    <w:rsid w:val="000D5031"/>
    <w:rsid w:val="00111EAF"/>
    <w:rsid w:val="00304E66"/>
    <w:rsid w:val="00363ADA"/>
    <w:rsid w:val="003B5799"/>
    <w:rsid w:val="003E594D"/>
    <w:rsid w:val="00465D8D"/>
    <w:rsid w:val="00502205"/>
    <w:rsid w:val="00550ACE"/>
    <w:rsid w:val="00595ED3"/>
    <w:rsid w:val="005E668E"/>
    <w:rsid w:val="005F5AC1"/>
    <w:rsid w:val="00736B4E"/>
    <w:rsid w:val="00835789"/>
    <w:rsid w:val="00934620"/>
    <w:rsid w:val="00A40619"/>
    <w:rsid w:val="00A81F93"/>
    <w:rsid w:val="00AD2EE4"/>
    <w:rsid w:val="00AF4233"/>
    <w:rsid w:val="00B13A8B"/>
    <w:rsid w:val="00B35DEA"/>
    <w:rsid w:val="00BA4848"/>
    <w:rsid w:val="00BF15B9"/>
    <w:rsid w:val="00C1697F"/>
    <w:rsid w:val="00C40FD7"/>
    <w:rsid w:val="00CC6339"/>
    <w:rsid w:val="00D96241"/>
    <w:rsid w:val="00E04D41"/>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B6B2"/>
  <w15:chartTrackingRefBased/>
  <w15:docId w15:val="{B3DB84A2-794F-4EF2-807A-D3512BAC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A8B"/>
    <w:rPr>
      <w:rFonts w:eastAsiaTheme="majorEastAsia" w:cstheme="majorBidi"/>
      <w:color w:val="272727" w:themeColor="text1" w:themeTint="D8"/>
    </w:rPr>
  </w:style>
  <w:style w:type="paragraph" w:styleId="Title">
    <w:name w:val="Title"/>
    <w:basedOn w:val="Normal"/>
    <w:next w:val="Normal"/>
    <w:link w:val="TitleChar"/>
    <w:uiPriority w:val="10"/>
    <w:qFormat/>
    <w:rsid w:val="00B1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A8B"/>
    <w:pPr>
      <w:spacing w:before="160"/>
      <w:jc w:val="center"/>
    </w:pPr>
    <w:rPr>
      <w:i/>
      <w:iCs/>
      <w:color w:val="404040" w:themeColor="text1" w:themeTint="BF"/>
    </w:rPr>
  </w:style>
  <w:style w:type="character" w:customStyle="1" w:styleId="QuoteChar">
    <w:name w:val="Quote Char"/>
    <w:basedOn w:val="DefaultParagraphFont"/>
    <w:link w:val="Quote"/>
    <w:uiPriority w:val="29"/>
    <w:rsid w:val="00B13A8B"/>
    <w:rPr>
      <w:i/>
      <w:iCs/>
      <w:color w:val="404040" w:themeColor="text1" w:themeTint="BF"/>
    </w:rPr>
  </w:style>
  <w:style w:type="paragraph" w:styleId="ListParagraph">
    <w:name w:val="List Paragraph"/>
    <w:basedOn w:val="Normal"/>
    <w:uiPriority w:val="34"/>
    <w:qFormat/>
    <w:rsid w:val="00B13A8B"/>
    <w:pPr>
      <w:ind w:left="720"/>
      <w:contextualSpacing/>
    </w:pPr>
  </w:style>
  <w:style w:type="character" w:styleId="IntenseEmphasis">
    <w:name w:val="Intense Emphasis"/>
    <w:basedOn w:val="DefaultParagraphFont"/>
    <w:uiPriority w:val="21"/>
    <w:qFormat/>
    <w:rsid w:val="00B13A8B"/>
    <w:rPr>
      <w:i/>
      <w:iCs/>
      <w:color w:val="0F4761" w:themeColor="accent1" w:themeShade="BF"/>
    </w:rPr>
  </w:style>
  <w:style w:type="paragraph" w:styleId="IntenseQuote">
    <w:name w:val="Intense Quote"/>
    <w:basedOn w:val="Normal"/>
    <w:next w:val="Normal"/>
    <w:link w:val="IntenseQuoteChar"/>
    <w:uiPriority w:val="30"/>
    <w:qFormat/>
    <w:rsid w:val="00B1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A8B"/>
    <w:rPr>
      <w:i/>
      <w:iCs/>
      <w:color w:val="0F4761" w:themeColor="accent1" w:themeShade="BF"/>
    </w:rPr>
  </w:style>
  <w:style w:type="character" w:styleId="IntenseReference">
    <w:name w:val="Intense Reference"/>
    <w:basedOn w:val="DefaultParagraphFont"/>
    <w:uiPriority w:val="32"/>
    <w:qFormat/>
    <w:rsid w:val="00B13A8B"/>
    <w:rPr>
      <w:b/>
      <w:bCs/>
      <w:smallCaps/>
      <w:color w:val="0F4761" w:themeColor="accent1" w:themeShade="BF"/>
      <w:spacing w:val="5"/>
    </w:rPr>
  </w:style>
  <w:style w:type="paragraph" w:styleId="Footer">
    <w:name w:val="footer"/>
    <w:basedOn w:val="Normal"/>
    <w:link w:val="FooterChar"/>
    <w:uiPriority w:val="99"/>
    <w:unhideWhenUsed/>
    <w:rsid w:val="00B13A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3173</Words>
  <Characters>18089</Characters>
  <Application>Microsoft Office Word</Application>
  <DocSecurity>0</DocSecurity>
  <Lines>150</Lines>
  <Paragraphs>42</Paragraphs>
  <ScaleCrop>false</ScaleCrop>
  <Company>WBG</Company>
  <LinksUpToDate>false</LinksUpToDate>
  <CharactersWithSpaces>21220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19</cp:revision>
  <dcterms:created xsi:type="dcterms:W3CDTF">2026-09-15T19:44:00Z</dcterms:created>
  <dcterms:modified xsi:type="dcterms:W3CDTF">2026-10-02T16:01:00Z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7ffc5ff0,21583606,6243877c</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2026-10-02T16:01:30Z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bbf05fb2-aecf-4da7-9a7e-baf1857bbef5</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