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exposure: integrated methodology</w:t>
      </w:r>
    </w:p>
    <w:p>
      <w:r>
        <w:rPr>
          <w:b/>
        </w:rPr>
        <w:t>Final version 1.0 (2026-10-04).</w:t>
      </w:r>
      <w:r>
        <w:t xml:space="preserve"> Final Table 2 = the CBAM carve-out (§5.0). This is the main methodology document for the Egypt thread. It draws together the ad hoc results and their review, the rebuilt Table 2 (AdHoc rebuild v0.3), the CPAT industry kernel (v0.1–v0.17; final release v1.0), the emission factors and the process-emission semi-elasticities. Detailed derivations sit in the source documents listed in Appendix C. Where this document and a source disagree, this document governs.</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Question</w:t>
            </w:r>
          </w:p>
        </w:tc>
        <w:tc>
          <w:tcPr>
            <w:tcW w:type="dxa" w:w="5040"/>
          </w:tcPr>
          <w:p>
            <w:pPr>
              <w:spacing w:after="0"/>
            </w:pPr>
            <w:r>
              <w:rPr>
                <w:b/>
              </w:rPr>
            </w:r>
            <w:r>
              <w:rPr>
                <w:b/>
                <w:sz w:val="16"/>
              </w:rPr>
              <w:t xml:space="preserve">What do six carbon-pricing bundles do for Egypt's revenue, emissions, health and </w:t>
            </w:r>
            <w:r>
              <w:rPr>
                <w:b/>
                <w:sz w:val="16"/>
              </w:rPr>
              <w:t>exposure to the EU CBAM</w:t>
            </w:r>
            <w:r>
              <w:rPr>
                <w:b/>
                <w:sz w:val="16"/>
              </w:rPr>
              <w:t>?</w:t>
            </w:r>
          </w:p>
        </w:tc>
      </w:tr>
      <w:tr>
        <w:tc>
          <w:tcPr>
            <w:tcW w:type="dxa" w:w="5040"/>
          </w:tcPr>
          <w:p>
            <w:pPr>
              <w:spacing w:after="0"/>
            </w:pPr>
            <w:r/>
            <w:r>
              <w:rPr>
                <w:sz w:val="16"/>
              </w:rPr>
              <w:t>Reporting year and price</w:t>
            </w:r>
          </w:p>
        </w:tc>
        <w:tc>
          <w:tcPr>
            <w:tcW w:type="dxa" w:w="5040"/>
          </w:tcPr>
          <w:p>
            <w:pPr>
              <w:spacing w:after="0"/>
            </w:pPr>
            <w:r/>
            <w:r>
              <w:rPr>
                <w:sz w:val="16"/>
              </w:rPr>
              <w:t>2030; USD 20/tCO₂e in 2030 for every bundle (real 2026 USD in CPAT)</w:t>
            </w:r>
          </w:p>
        </w:tc>
      </w:tr>
      <w:tr>
        <w:tc>
          <w:tcPr>
            <w:tcW w:type="dxa" w:w="5040"/>
          </w:tcPr>
          <w:p>
            <w:pPr>
              <w:spacing w:after="0"/>
            </w:pPr>
            <w:r/>
            <w:r>
              <w:rPr>
                <w:sz w:val="16"/>
              </w:rPr>
              <w:t>Core tools</w:t>
            </w:r>
          </w:p>
        </w:tc>
        <w:tc>
          <w:tcPr>
            <w:tcW w:type="dxa" w:w="5040"/>
          </w:tcPr>
          <w:p>
            <w:pPr>
              <w:spacing w:after="0"/>
            </w:pPr>
            <w:r/>
            <w:r>
              <w:rPr>
                <w:sz w:val="16"/>
              </w:rPr>
              <w:t xml:space="preserve">CPAT (IMF–World Bank) for national energy, revenue and health; the </w:t>
            </w:r>
            <w:r>
              <w:rPr>
                <w:b/>
                <w:sz w:val="16"/>
              </w:rPr>
              <w:t>CPAT industry kernel</w:t>
            </w:r>
            <w:r>
              <w:rPr>
                <w:sz w:val="16"/>
              </w:rPr>
              <w:t xml:space="preserve"> for the eight CBAM goods; an off-kernel </w:t>
            </w:r>
            <w:r>
              <w:rPr>
                <w:b/>
                <w:sz w:val="16"/>
              </w:rPr>
              <w:t>Table 2 rebuild</w:t>
            </w:r>
            <w:r>
              <w:rPr>
                <w:sz w:val="16"/>
              </w:rPr>
              <w:t xml:space="preserve"> that combines the two</w:t>
            </w:r>
          </w:p>
        </w:tc>
      </w:tr>
      <w:tr>
        <w:tc>
          <w:tcPr>
            <w:tcW w:type="dxa" w:w="5040"/>
          </w:tcPr>
          <w:p>
            <w:pPr>
              <w:spacing w:after="0"/>
            </w:pPr>
            <w:r/>
            <w:r>
              <w:rPr>
                <w:sz w:val="16"/>
              </w:rPr>
              <w:t>Appendices</w:t>
            </w:r>
          </w:p>
        </w:tc>
        <w:tc>
          <w:tcPr>
            <w:tcW w:type="dxa" w:w="5040"/>
          </w:tcPr>
          <w:p>
            <w:pPr>
              <w:spacing w:after="0"/>
            </w:pPr>
            <w:r/>
            <w:r>
              <w:rPr>
                <w:b/>
                <w:sz w:val="16"/>
              </w:rPr>
              <w:t>A</w:t>
            </w:r>
            <w:r>
              <w:rPr>
                <w:sz w:val="16"/>
              </w:rPr>
              <w:t xml:space="preserve">: emission factors split four ways (fc, fp, np, no). </w:t>
            </w:r>
            <w:r>
              <w:rPr>
                <w:b/>
                <w:sz w:val="16"/>
              </w:rPr>
              <w:t>B</w:t>
            </w:r>
            <w:r>
              <w:rPr>
                <w:sz w:val="16"/>
              </w:rPr>
              <w:t xml:space="preserve">: process-emission semi-elasticities. </w:t>
            </w:r>
            <w:r>
              <w:rPr>
                <w:b/>
                <w:sz w:val="16"/>
              </w:rPr>
              <w:t>C</w:t>
            </w:r>
            <w:r>
              <w:rPr>
                <w:sz w:val="16"/>
              </w:rPr>
              <w:t xml:space="preserve">: file map. </w:t>
            </w:r>
            <w:r>
              <w:rPr>
                <w:b/>
                <w:sz w:val="16"/>
              </w:rPr>
              <w:t>D</w:t>
            </w:r>
            <w:r>
              <w:rPr>
                <w:sz w:val="16"/>
              </w:rPr>
              <w:t>: glossary</w:t>
            </w:r>
          </w:p>
        </w:tc>
      </w:tr>
      <w:tr>
        <w:tc>
          <w:tcPr>
            <w:tcW w:type="dxa" w:w="5040"/>
          </w:tcPr>
          <w:p>
            <w:pPr>
              <w:spacing w:after="0"/>
            </w:pPr>
            <w:r/>
            <w:r>
              <w:rPr>
                <w:sz w:val="16"/>
              </w:rPr>
              <w:t>Status</w:t>
            </w:r>
          </w:p>
        </w:tc>
        <w:tc>
          <w:tcPr>
            <w:tcW w:type="dxa" w:w="5040"/>
          </w:tcPr>
          <w:p>
            <w:pPr>
              <w:spacing w:after="0"/>
            </w:pPr>
            <w:r/>
            <w:r>
              <w:rPr>
                <w:sz w:val="16"/>
              </w:rPr>
              <w:t xml:space="preserve">The method is complete. Some inputs are flagged *VERIFY*. The Task D semi-elasticities (T1), the EF v0.1 values (T5) and the national composition (Task M) are </w:t>
            </w:r>
            <w:r>
              <w:rPr>
                <w:b/>
                <w:sz w:val="16"/>
              </w:rPr>
              <w:t>loaded in kernel v0.16</w:t>
            </w:r>
            <w:r>
              <w:rPr>
                <w:sz w:val="16"/>
              </w:rPr>
              <w:t>, and the Table 2 rebuild v0.3 uses the same EFs and β. Both models now deflate P* to USD 122 (2024) and scale EG3 to full industrial coverage by 1/κ (approximation). The final Table 2 (§5.0) does not use the 1/κ scaling. Open: T3, a true full-coverage EG3 CPAT run, the VERIFY list. See §8</w:t>
            </w:r>
          </w:p>
        </w:tc>
      </w:tr>
      <w:tr>
        <w:tc>
          <w:tcPr>
            <w:tcW w:type="dxa" w:w="5040"/>
          </w:tcPr>
          <w:p>
            <w:pPr>
              <w:spacing w:after="0"/>
            </w:pPr>
            <w:r/>
            <w:r>
              <w:rPr>
                <w:sz w:val="16"/>
              </w:rPr>
              <w:t>Final v1.0</w:t>
            </w:r>
          </w:p>
        </w:tc>
        <w:tc>
          <w:tcPr>
            <w:tcW w:type="dxa" w:w="5040"/>
          </w:tcPr>
          <w:p>
            <w:pPr>
              <w:spacing w:after="0"/>
            </w:pPr>
            <w:r/>
            <w:r>
              <w:rPr>
                <w:sz w:val="16"/>
              </w:rPr>
              <w:t>Draft v1.3 proofread and released as v1.0, with kernel v1.0, carve-out v1.0 and results text v1.1</w:t>
            </w:r>
          </w:p>
        </w:tc>
      </w:tr>
      <w:tr>
        <w:tc>
          <w:tcPr>
            <w:tcW w:type="dxa" w:w="5040"/>
          </w:tcPr>
          <w:p>
            <w:pPr>
              <w:spacing w:after="0"/>
            </w:pPr>
            <w:r/>
            <w:r>
              <w:rPr>
                <w:sz w:val="16"/>
              </w:rPr>
              <w:t>Changes in draft v1.3</w:t>
            </w:r>
          </w:p>
        </w:tc>
        <w:tc>
          <w:tcPr>
            <w:tcW w:type="dxa" w:w="5040"/>
          </w:tcPr>
          <w:p>
            <w:pPr>
              <w:spacing w:after="0"/>
            </w:pPr>
            <w:r/>
            <w:r>
              <w:rPr>
                <w:sz w:val="16"/>
              </w:rPr>
              <w:t>New §5.0: final Table 2 is the CBAM carve-out (O = CBAM-product embedded-intensity change): original CPAT runs everywhere; only the CBAM block replaced, with CPAT's own fuel-intensity response</w:t>
            </w:r>
          </w:p>
        </w:tc>
      </w:tr>
      <w:tr>
        <w:tc>
          <w:tcPr>
            <w:tcW w:type="dxa" w:w="5040"/>
          </w:tcPr>
          <w:p>
            <w:pPr>
              <w:spacing w:after="0"/>
            </w:pPr>
            <w:r/>
            <w:r>
              <w:rPr>
                <w:sz w:val="16"/>
              </w:rPr>
              <w:t>Changes in draft v1.2</w:t>
            </w:r>
          </w:p>
        </w:tc>
        <w:tc>
          <w:tcPr>
            <w:tcW w:type="dxa" w:w="5040"/>
          </w:tcPr>
          <w:p>
            <w:pPr>
              <w:spacing w:after="0"/>
            </w:pPr>
            <w:r/>
            <w:r>
              <w:rPr>
                <w:sz w:val="16"/>
              </w:rPr>
              <w:t>P* deflated to 122 (USD2024); EG3 scaled by 1/κ in both models; kernel: 3C fund capped at post-abatement revenue (fixed point) and block fuel CO₂ above the sector total reallocated from non-kernel industry; §5, §5.1, §6–8, B.5 and App. C updated to rebuild v0.3 / kernel v0.16</w:t>
            </w:r>
          </w:p>
        </w:tc>
      </w:tr>
      <w:tr>
        <w:tc>
          <w:tcPr>
            <w:tcW w:type="dxa" w:w="5040"/>
          </w:tcPr>
          <w:p>
            <w:pPr>
              <w:spacing w:after="0"/>
            </w:pPr>
            <w:r/>
            <w:r>
              <w:rPr>
                <w:sz w:val="16"/>
              </w:rPr>
              <w:t>Changes in draft v1.1</w:t>
            </w:r>
          </w:p>
        </w:tc>
        <w:tc>
          <w:tcPr>
            <w:tcW w:type="dxa" w:w="5040"/>
          </w:tcPr>
          <w:p>
            <w:pPr>
              <w:spacing w:after="0"/>
            </w:pPr>
            <w:r/>
            <w:r>
              <w:rPr>
                <w:sz w:val="16"/>
              </w:rPr>
              <w:t>§5 results = rebuild v0.2 (Egypt EF v0.1, AN blended β); new §5.1 final prototype results (kernel v0.15); §6 version table to v0.15; §7–8 status; A.3 kernel column = v0.15; B.5 routing as applied; App. C file map</w:t>
            </w:r>
          </w:p>
        </w:tc>
      </w:tr>
    </w:tbl>
    <w:p/>
    <w:p>
      <w:r>
        <w:t>---</w:t>
      </w:r>
    </w:p>
    <w:p>
      <w:pPr>
        <w:pStyle w:val="Heading2"/>
      </w:pPr>
      <w:r>
        <w:t>1. Purpose and scope</w:t>
      </w:r>
    </w:p>
    <w:p>
      <w:r>
        <w:t>The work assesses six policy bundles for Egypt, with CBAM-sector industry treated in detail. Each bundle is a CPAT scenario plus adjustments made outside CPAT.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after="0"/>
            </w:pPr>
            <w:r>
              <w:rPr>
                <w:b/>
              </w:rPr>
            </w:r>
            <w:r>
              <w:rPr>
                <w:b/>
                <w:sz w:val="16"/>
              </w:rPr>
              <w:t>Code</w:t>
            </w:r>
          </w:p>
        </w:tc>
        <w:tc>
          <w:tcPr>
            <w:tcW w:type="dxa" w:w="2016"/>
          </w:tcPr>
          <w:p>
            <w:pPr>
              <w:spacing w:after="0"/>
            </w:pPr>
            <w:r>
              <w:rPr>
                <w:b/>
              </w:rPr>
            </w:r>
            <w:r>
              <w:rPr>
                <w:b/>
                <w:sz w:val="16"/>
              </w:rPr>
              <w:t>Bundle</w:t>
            </w:r>
          </w:p>
        </w:tc>
        <w:tc>
          <w:tcPr>
            <w:tcW w:type="dxa" w:w="2016"/>
          </w:tcPr>
          <w:p>
            <w:pPr>
              <w:spacing w:after="0"/>
            </w:pPr>
            <w:r>
              <w:rPr>
                <w:b/>
              </w:rPr>
            </w:r>
            <w:r>
              <w:rPr>
                <w:b/>
                <w:sz w:val="16"/>
              </w:rPr>
              <w:t>CPAT run</w:t>
            </w:r>
          </w:p>
        </w:tc>
        <w:tc>
          <w:tcPr>
            <w:tcW w:type="dxa" w:w="2016"/>
          </w:tcPr>
          <w:p>
            <w:pPr>
              <w:spacing w:after="0"/>
            </w:pPr>
            <w:r>
              <w:rPr>
                <w:b/>
              </w:rPr>
            </w:r>
            <w:r>
              <w:rPr>
                <w:b/>
                <w:sz w:val="16"/>
              </w:rPr>
              <w:t>What is priced</w:t>
            </w:r>
          </w:p>
        </w:tc>
        <w:tc>
          <w:tcPr>
            <w:tcW w:type="dxa" w:w="2016"/>
          </w:tcPr>
          <w:p>
            <w:pPr>
              <w:spacing w:after="0"/>
            </w:pPr>
            <w:r>
              <w:rPr>
                <w:b/>
              </w:rPr>
            </w:r>
            <w:r>
              <w:rPr>
                <w:b/>
                <w:sz w:val="16"/>
              </w:rPr>
              <w:t>Use of revenue</w:t>
            </w:r>
          </w:p>
        </w:tc>
      </w:tr>
      <w:tr>
        <w:tc>
          <w:tcPr>
            <w:tcW w:type="dxa" w:w="2016"/>
          </w:tcPr>
          <w:p>
            <w:pPr>
              <w:spacing w:after="0"/>
            </w:pPr>
            <w:r/>
            <w:r>
              <w:rPr>
                <w:sz w:val="16"/>
              </w:rPr>
              <w:t>1A</w:t>
            </w:r>
          </w:p>
        </w:tc>
        <w:tc>
          <w:tcPr>
            <w:tcW w:type="dxa" w:w="2016"/>
          </w:tcPr>
          <w:p>
            <w:pPr>
              <w:spacing w:after="0"/>
            </w:pPr>
            <w:r/>
            <w:r>
              <w:rPr>
                <w:sz w:val="16"/>
              </w:rPr>
              <w:t>Comprehensive levy</w:t>
            </w:r>
          </w:p>
        </w:tc>
        <w:tc>
          <w:tcPr>
            <w:tcW w:type="dxa" w:w="2016"/>
          </w:tcPr>
          <w:p>
            <w:pPr>
              <w:spacing w:after="0"/>
            </w:pPr>
            <w:r/>
            <w:r>
              <w:rPr>
                <w:sz w:val="16"/>
              </w:rPr>
              <w:t>EG1</w:t>
            </w:r>
          </w:p>
        </w:tc>
        <w:tc>
          <w:tcPr>
            <w:tcW w:type="dxa" w:w="2016"/>
          </w:tcPr>
          <w:p>
            <w:pPr>
              <w:spacing w:after="0"/>
            </w:pPr>
            <w:r/>
            <w:r>
              <w:rPr>
                <w:sz w:val="16"/>
              </w:rPr>
              <w:t>Energy CO₂, all sectors + CBAM process emissions</w:t>
            </w:r>
          </w:p>
        </w:tc>
        <w:tc>
          <w:tcPr>
            <w:tcW w:type="dxa" w:w="2016"/>
          </w:tcPr>
          <w:p>
            <w:pPr>
              <w:spacing w:after="0"/>
            </w:pPr>
            <w:r/>
            <w:r>
              <w:rPr>
                <w:sz w:val="16"/>
              </w:rPr>
              <w:t>Public investment</w:t>
            </w:r>
          </w:p>
        </w:tc>
      </w:tr>
      <w:tr>
        <w:tc>
          <w:tcPr>
            <w:tcW w:type="dxa" w:w="2016"/>
          </w:tcPr>
          <w:p>
            <w:pPr>
              <w:spacing w:after="0"/>
            </w:pPr>
            <w:r/>
            <w:r>
              <w:rPr>
                <w:sz w:val="16"/>
              </w:rPr>
              <w:t>2A</w:t>
            </w:r>
          </w:p>
        </w:tc>
        <w:tc>
          <w:tcPr>
            <w:tcW w:type="dxa" w:w="2016"/>
          </w:tcPr>
          <w:p>
            <w:pPr>
              <w:spacing w:after="0"/>
            </w:pPr>
            <w:r/>
            <w:r>
              <w:rPr>
                <w:sz w:val="16"/>
              </w:rPr>
              <w:t>Upstream levy</w:t>
            </w:r>
          </w:p>
        </w:tc>
        <w:tc>
          <w:tcPr>
            <w:tcW w:type="dxa" w:w="2016"/>
          </w:tcPr>
          <w:p>
            <w:pPr>
              <w:spacing w:after="0"/>
            </w:pPr>
            <w:r/>
            <w:r>
              <w:rPr>
                <w:sz w:val="16"/>
              </w:rPr>
              <w:t>EG1</w:t>
            </w:r>
          </w:p>
        </w:tc>
        <w:tc>
          <w:tcPr>
            <w:tcW w:type="dxa" w:w="2016"/>
          </w:tcPr>
          <w:p>
            <w:pPr>
              <w:spacing w:after="0"/>
            </w:pPr>
            <w:r/>
            <w:r>
              <w:rPr>
                <w:sz w:val="16"/>
              </w:rPr>
              <w:t>Energy CO₂, all sectors</w:t>
            </w:r>
          </w:p>
        </w:tc>
        <w:tc>
          <w:tcPr>
            <w:tcW w:type="dxa" w:w="2016"/>
          </w:tcPr>
          <w:p>
            <w:pPr>
              <w:spacing w:after="0"/>
            </w:pPr>
            <w:r/>
            <w:r>
              <w:rPr>
                <w:sz w:val="16"/>
              </w:rPr>
              <w:t>Public investment</w:t>
            </w:r>
          </w:p>
        </w:tc>
      </w:tr>
      <w:tr>
        <w:tc>
          <w:tcPr>
            <w:tcW w:type="dxa" w:w="2016"/>
          </w:tcPr>
          <w:p>
            <w:pPr>
              <w:spacing w:after="0"/>
            </w:pPr>
            <w:r/>
            <w:r>
              <w:rPr>
                <w:sz w:val="16"/>
              </w:rPr>
              <w:t>2B</w:t>
            </w:r>
          </w:p>
        </w:tc>
        <w:tc>
          <w:tcPr>
            <w:tcW w:type="dxa" w:w="2016"/>
          </w:tcPr>
          <w:p>
            <w:pPr>
              <w:spacing w:after="0"/>
            </w:pPr>
            <w:r/>
            <w:r>
              <w:rPr>
                <w:sz w:val="16"/>
              </w:rPr>
              <w:t>Upstream levy</w:t>
            </w:r>
          </w:p>
        </w:tc>
        <w:tc>
          <w:tcPr>
            <w:tcW w:type="dxa" w:w="2016"/>
          </w:tcPr>
          <w:p>
            <w:pPr>
              <w:spacing w:after="0"/>
            </w:pPr>
            <w:r/>
            <w:r>
              <w:rPr>
                <w:sz w:val="16"/>
              </w:rPr>
              <w:t>EG2</w:t>
            </w:r>
          </w:p>
        </w:tc>
        <w:tc>
          <w:tcPr>
            <w:tcW w:type="dxa" w:w="2016"/>
          </w:tcPr>
          <w:p>
            <w:pPr>
              <w:spacing w:after="0"/>
            </w:pPr>
            <w:r/>
            <w:r>
              <w:rPr>
                <w:sz w:val="16"/>
              </w:rPr>
              <w:t>Energy CO₂, all sectors</w:t>
            </w:r>
          </w:p>
        </w:tc>
        <w:tc>
          <w:tcPr>
            <w:tcW w:type="dxa" w:w="2016"/>
          </w:tcPr>
          <w:p>
            <w:pPr>
              <w:spacing w:after="0"/>
            </w:pPr>
            <w:r/>
            <w:r>
              <w:rPr>
                <w:sz w:val="16"/>
              </w:rPr>
              <w:t>Per-capita transfers</w:t>
            </w:r>
          </w:p>
        </w:tc>
      </w:tr>
      <w:tr>
        <w:tc>
          <w:tcPr>
            <w:tcW w:type="dxa" w:w="2016"/>
          </w:tcPr>
          <w:p>
            <w:pPr>
              <w:spacing w:after="0"/>
            </w:pPr>
            <w:r/>
            <w:r>
              <w:rPr>
                <w:sz w:val="16"/>
              </w:rPr>
              <w:t>3A</w:t>
            </w:r>
          </w:p>
        </w:tc>
        <w:tc>
          <w:tcPr>
            <w:tcW w:type="dxa" w:w="2016"/>
          </w:tcPr>
          <w:p>
            <w:pPr>
              <w:spacing w:after="0"/>
            </w:pPr>
            <w:r/>
            <w:r>
              <w:rPr>
                <w:sz w:val="16"/>
              </w:rPr>
              <w:t>Downstream industry price</w:t>
            </w:r>
          </w:p>
        </w:tc>
        <w:tc>
          <w:tcPr>
            <w:tcW w:type="dxa" w:w="2016"/>
          </w:tcPr>
          <w:p>
            <w:pPr>
              <w:spacing w:after="0"/>
            </w:pPr>
            <w:r/>
            <w:r>
              <w:rPr>
                <w:sz w:val="16"/>
              </w:rPr>
              <w:t>EG3</w:t>
            </w:r>
          </w:p>
        </w:tc>
        <w:tc>
          <w:tcPr>
            <w:tcW w:type="dxa" w:w="2016"/>
          </w:tcPr>
          <w:p>
            <w:pPr>
              <w:spacing w:after="0"/>
            </w:pPr>
            <w:r/>
            <w:r>
              <w:rPr>
                <w:sz w:val="16"/>
              </w:rPr>
              <w:t>Industrial energy CO₂ + CBAM process emissions</w:t>
            </w:r>
          </w:p>
        </w:tc>
        <w:tc>
          <w:tcPr>
            <w:tcW w:type="dxa" w:w="2016"/>
          </w:tcPr>
          <w:p>
            <w:pPr>
              <w:spacing w:after="0"/>
            </w:pPr>
            <w:r/>
            <w:r>
              <w:rPr>
                <w:sz w:val="16"/>
              </w:rPr>
              <w:t>Households</w:t>
            </w:r>
          </w:p>
        </w:tc>
      </w:tr>
      <w:tr>
        <w:tc>
          <w:tcPr>
            <w:tcW w:type="dxa" w:w="2016"/>
          </w:tcPr>
          <w:p>
            <w:pPr>
              <w:spacing w:after="0"/>
            </w:pPr>
            <w:r/>
            <w:r>
              <w:rPr>
                <w:sz w:val="16"/>
              </w:rPr>
              <w:t>3B</w:t>
            </w:r>
          </w:p>
        </w:tc>
        <w:tc>
          <w:tcPr>
            <w:tcW w:type="dxa" w:w="2016"/>
          </w:tcPr>
          <w:p>
            <w:pPr>
              <w:spacing w:after="0"/>
            </w:pPr>
            <w:r/>
            <w:r>
              <w:rPr>
                <w:sz w:val="16"/>
              </w:rPr>
              <w:t>as 3A + free allocation</w:t>
            </w:r>
          </w:p>
        </w:tc>
        <w:tc>
          <w:tcPr>
            <w:tcW w:type="dxa" w:w="2016"/>
          </w:tcPr>
          <w:p>
            <w:pPr>
              <w:spacing w:after="0"/>
            </w:pPr>
            <w:r/>
            <w:r>
              <w:rPr>
                <w:sz w:val="16"/>
              </w:rPr>
              <w:t>EG3 + output-based rebate θ = 1</w:t>
            </w:r>
          </w:p>
        </w:tc>
        <w:tc>
          <w:tcPr>
            <w:tcW w:type="dxa" w:w="2016"/>
          </w:tcPr>
          <w:p>
            <w:pPr>
              <w:spacing w:after="0"/>
            </w:pPr>
            <w:r/>
            <w:r>
              <w:rPr>
                <w:sz w:val="16"/>
              </w:rPr>
              <w:t>as 3A</w:t>
            </w:r>
          </w:p>
        </w:tc>
        <w:tc>
          <w:tcPr>
            <w:tcW w:type="dxa" w:w="2016"/>
          </w:tcPr>
          <w:p>
            <w:pPr>
              <w:spacing w:after="0"/>
            </w:pPr>
            <w:r/>
            <w:r>
              <w:rPr>
                <w:sz w:val="16"/>
              </w:rPr>
              <w:t>Returned to CBAM producers per unit of output</w:t>
            </w:r>
          </w:p>
        </w:tc>
      </w:tr>
      <w:tr>
        <w:tc>
          <w:tcPr>
            <w:tcW w:type="dxa" w:w="2016"/>
          </w:tcPr>
          <w:p>
            <w:pPr>
              <w:spacing w:after="0"/>
            </w:pPr>
            <w:r/>
            <w:r>
              <w:rPr>
                <w:sz w:val="16"/>
              </w:rPr>
              <w:t>3C</w:t>
            </w:r>
          </w:p>
        </w:tc>
        <w:tc>
          <w:tcPr>
            <w:tcW w:type="dxa" w:w="2016"/>
          </w:tcPr>
          <w:p>
            <w:pPr>
              <w:spacing w:after="0"/>
            </w:pPr>
            <w:r/>
            <w:r>
              <w:rPr>
                <w:sz w:val="16"/>
              </w:rPr>
              <w:t>as 3A + abatement fund</w:t>
            </w:r>
          </w:p>
        </w:tc>
        <w:tc>
          <w:tcPr>
            <w:tcW w:type="dxa" w:w="2016"/>
          </w:tcPr>
          <w:p>
            <w:pPr>
              <w:spacing w:after="0"/>
            </w:pPr>
            <w:r/>
            <w:r>
              <w:rPr>
                <w:sz w:val="16"/>
              </w:rPr>
              <w:t>EG3 + fund φ = 1</w:t>
            </w:r>
          </w:p>
        </w:tc>
        <w:tc>
          <w:tcPr>
            <w:tcW w:type="dxa" w:w="2016"/>
          </w:tcPr>
          <w:p>
            <w:pPr>
              <w:spacing w:after="0"/>
            </w:pPr>
            <w:r/>
            <w:r>
              <w:rPr>
                <w:sz w:val="16"/>
              </w:rPr>
              <w:t>as 3A</w:t>
            </w:r>
          </w:p>
        </w:tc>
        <w:tc>
          <w:tcPr>
            <w:tcW w:type="dxa" w:w="2016"/>
          </w:tcPr>
          <w:p>
            <w:pPr>
              <w:spacing w:after="0"/>
            </w:pPr>
            <w:r/>
            <w:r>
              <w:rPr>
                <w:sz w:val="16"/>
              </w:rPr>
              <w:t>Fund for industrial abatement</w:t>
            </w:r>
          </w:p>
        </w:tc>
      </w:tr>
    </w:tbl>
    <w:p/>
    <w:p>
      <w:r>
        <w:t xml:space="preserve">Price paths: </w:t>
      </w:r>
      <w:r>
        <w:rPr>
          <w:b/>
        </w:rPr>
        <w:t>EG1/EG2</w:t>
      </w:r>
      <w:r>
        <w:t xml:space="preserve"> USD 20 flat from 2028; </w:t>
      </w:r>
      <w:r>
        <w:rPr>
          <w:b/>
        </w:rPr>
        <w:t>EG3</w:t>
      </w:r>
      <w:r>
        <w:t xml:space="preserve"> USD 5 in 2028 rising to USD 50 in 2034 (USD 20 in 2030). EG4 (an industrial feebate) is excluded because the run is misconfigured (MajorIssues #8).</w:t>
      </w:r>
    </w:p>
    <w:p>
      <w:r>
        <w:rPr>
          <w:b/>
        </w:rPr>
        <w:t>Outputs reported (Table 2):</w:t>
      </w:r>
    </w:p>
    <w:p>
      <w:pPr>
        <w:pStyle w:val="ListBullet"/>
      </w:pPr>
      <w:r>
        <w:t>coverage (% of national GHG);</w:t>
      </w:r>
    </w:p>
    <w:p>
      <w:pPr>
        <w:pStyle w:val="ListBullet"/>
      </w:pPr>
      <w:r>
        <w:t>total emission reduction (Mt, and % of GHG);</w:t>
      </w:r>
    </w:p>
    <w:p>
      <w:pPr>
        <w:pStyle w:val="ListBullet"/>
      </w:pPr>
      <w:r>
        <w:t>coverage of CBAM-sector emissions;</w:t>
      </w:r>
    </w:p>
    <w:p>
      <w:pPr>
        <w:pStyle w:val="ListBullet"/>
      </w:pPr>
      <w:r>
        <w:t>change in CBAM-sector emission intensity;</w:t>
      </w:r>
    </w:p>
    <w:p>
      <w:pPr>
        <w:pStyle w:val="ListBullet"/>
      </w:pPr>
      <w:r>
        <w:t>change in CBAM obligations;</w:t>
      </w:r>
    </w:p>
    <w:p>
      <w:pPr>
        <w:pStyle w:val="ListBullet"/>
      </w:pPr>
      <w:r>
        <w:t>carbon revenue;</w:t>
      </w:r>
    </w:p>
    <w:p>
      <w:pPr>
        <w:pStyle w:val="ListBullet"/>
      </w:pPr>
      <w:r>
        <w:t>air-pollution deaths avoided;</w:t>
      </w:r>
    </w:p>
    <w:p>
      <w:pPr>
        <w:pStyle w:val="ListBullet"/>
      </w:pPr>
      <w:r>
        <w:t>change in output of CBAM goods.</w:t>
      </w:r>
    </w:p>
    <w:p>
      <w:r>
        <w:rPr>
          <w:b/>
        </w:rPr>
        <w:t>CBAM goods covered</w:t>
      </w:r>
      <w:r>
        <w:t xml:space="preserve"> (eight products and routes, kernel </w:t>
      </w:r>
      <w:r>
        <w:rPr>
          <w:rFonts w:ascii="Consolas" w:hAnsi="Consolas" w:eastAsia="Consolas"/>
        </w:rPr>
        <w:t>Manual inputs</w:t>
      </w:r>
      <w:r>
        <w:t xml:space="preserve"> rows 30–37):</w:t>
      </w:r>
    </w:p>
    <w:p>
      <w:pPr>
        <w:pStyle w:val="ListBullet"/>
      </w:pPr>
      <w:r>
        <w:t>steel by three routes: DRI-EAF, scrap-EAF, and BF-BOF (BF-BOF is a reference only);</w:t>
      </w:r>
    </w:p>
    <w:p>
      <w:pPr>
        <w:pStyle w:val="ListBullet"/>
      </w:pPr>
      <w:r>
        <w:t>grey clinker;</w:t>
      </w:r>
    </w:p>
    <w:p>
      <w:pPr>
        <w:pStyle w:val="ListBullet"/>
      </w:pPr>
      <w:r>
        <w:t>ammonia;</w:t>
      </w:r>
    </w:p>
    <w:p>
      <w:pPr>
        <w:pStyle w:val="ListBullet"/>
      </w:pPr>
      <w:r>
        <w:t>urea;</w:t>
      </w:r>
    </w:p>
    <w:p>
      <w:pPr>
        <w:pStyle w:val="ListBullet"/>
      </w:pPr>
      <w:r>
        <w:t>ammonium nitrate (AN);</w:t>
      </w:r>
    </w:p>
    <w:p>
      <w:pPr>
        <w:pStyle w:val="ListBullet"/>
      </w:pPr>
      <w:r>
        <w:t>primary aluminium.</w:t>
      </w:r>
    </w:p>
    <w:p>
      <w:r>
        <w:t>---</w:t>
      </w:r>
    </w:p>
    <w:p>
      <w:pPr>
        <w:pStyle w:val="Heading2"/>
      </w:pPr>
      <w:r>
        <w:t>2. How the method developed</w:t>
      </w:r>
    </w:p>
    <w:p>
      <w:pPr>
        <w:pStyle w:val="ListNumber"/>
      </w:pPr>
      <w:r>
        <w:rPr>
          <w:b/>
        </w:rPr>
        <w:t>Initial results (2026-06).</w:t>
      </w:r>
      <w:r>
        <w:t xml:space="preserve"> Table 2 in </w:t>
      </w:r>
      <w:r>
        <w:rPr>
          <w:rFonts w:ascii="Consolas" w:hAnsi="Consolas" w:eastAsia="Consolas"/>
        </w:rPr>
        <w:t>EgyptResultsInitial.docx</w:t>
      </w:r>
      <w:r>
        <w:t xml:space="preserve"> was built in an ad hoc workbook (</w:t>
      </w:r>
      <w:r>
        <w:rPr>
          <w:rFonts w:ascii="Consolas" w:hAnsi="Consolas" w:eastAsia="Consolas"/>
        </w:rPr>
        <w:t>AdHocCalculations.xlsb</w:t>
      </w:r>
      <w:r>
        <w:t xml:space="preserve"> / </w:t>
      </w:r>
      <w:r>
        <w:rPr>
          <w:rFonts w:ascii="Consolas" w:hAnsi="Consolas" w:eastAsia="Consolas"/>
        </w:rPr>
        <w:t>Model_Results_and_Matrix_V1_21_EGY.xlsb</w:t>
      </w:r>
      <w:r>
        <w:t>) on top of three CPAT runs. A review (</w:t>
      </w:r>
      <w:r>
        <w:rPr>
          <w:rFonts w:ascii="Consolas" w:hAnsi="Consolas" w:eastAsia="Consolas"/>
        </w:rPr>
        <w:t>TechnicalNoteonCPATResults_expanded_v2.docx</w:t>
      </w:r>
      <w:r>
        <w:t xml:space="preserve">, </w:t>
      </w:r>
      <w:r>
        <w:rPr>
          <w:rFonts w:ascii="Consolas" w:hAnsi="Consolas" w:eastAsia="Consolas"/>
        </w:rPr>
        <w:t>MajorIssues.docx</w:t>
      </w:r>
      <w:r>
        <w:t xml:space="preserve">) found </w:t>
      </w:r>
      <w:r>
        <w:rPr>
          <w:b/>
        </w:rPr>
        <w:t>19 issues</w:t>
      </w:r>
      <w:r>
        <w:t>. The most consequential:</w:t>
      </w:r>
    </w:p>
    <w:p>
      <w:pPr>
        <w:pStyle w:val="ListBullet"/>
      </w:pPr>
      <w:r>
        <w:rPr>
          <w:b/>
        </w:rPr>
        <w:t>Process emissions counted twice (#17).</w:t>
      </w:r>
      <w:r>
        <w:t xml:space="preserve"> CPAT already scales IPPU with industrial energy CO₂, so 31–38% of each "energy-only" reduction is process. 1A then added a semi-elasticity cut on top.</w:t>
      </w:r>
    </w:p>
    <w:p>
      <w:pPr>
        <w:pStyle w:val="ListBullet"/>
      </w:pPr>
      <w:r>
        <w:rPr>
          <w:b/>
        </w:rPr>
        <w:t>Untraceable parameters.</w:t>
      </w:r>
      <w:r>
        <w:t xml:space="preserve"> The −0.549%/$ energy "half elasticity" (#14), the 53.6 Mt CBAM base (#16) and 3B's typed-in −13.59 × (2/3)/0.5 (#15) have no recorded source.</w:t>
      </w:r>
    </w:p>
    <w:p>
      <w:pPr>
        <w:pStyle w:val="ListBullet"/>
      </w:pPr>
      <w:r>
        <w:rPr>
          <w:b/>
        </w:rPr>
        <w:t>Inconsistent bases.</w:t>
      </w:r>
      <w:r>
        <w:t xml:space="preserve"> Base years are mixed (2026/2030, #4). Three different denominators are used for "% of emissions" (#11), and coverage shares are typed in (#12).</w:t>
      </w:r>
    </w:p>
    <w:p>
      <w:pPr>
        <w:pStyle w:val="ListBullet"/>
      </w:pPr>
      <w:r>
        <w:rPr>
          <w:b/>
        </w:rPr>
        <w:t>Wrong scenario base.</w:t>
      </w:r>
      <w:r>
        <w:t xml:space="preserve"> 1A was built on EG2 rather than EG1 (#3).</w:t>
      </w:r>
    </w:p>
    <w:p>
      <w:pPr>
        <w:pStyle w:val="ListNumber"/>
      </w:pPr>
      <w:r>
        <w:rPr>
          <w:b/>
        </w:rPr>
        <w:t>Diagnosis (TASK-2a).</w:t>
      </w:r>
      <w:r>
        <w:t xml:space="preserve"> The ad hoc calculations were written out as pseudocode and each step was mapped to the issue list.</w:t>
      </w:r>
    </w:p>
    <w:p>
      <w:pPr>
        <w:pStyle w:val="ListNumber"/>
      </w:pPr>
      <w:r>
        <w:rPr>
          <w:b/>
        </w:rPr>
        <w:t>Two-track repair.</w:t>
      </w:r>
    </w:p>
    <w:p>
      <w:pPr>
        <w:pStyle w:val="ListBullet"/>
      </w:pPr>
      <w:r>
        <w:rPr>
          <w:b/>
        </w:rPr>
        <w:t>Track 1, the Table 2 rebuild (TASK-2b).</w:t>
      </w:r>
      <w:r>
        <w:t xml:space="preserve"> A live workbook replaces the ad hoc layer. It has one base year (2030), one denominator, computed coverage, and a bottom-up CBAM block. CPAT's IPPU scaling is removed and replaced by the block's process response (§5).</w:t>
      </w:r>
    </w:p>
    <w:p>
      <w:pPr>
        <w:pStyle w:val="ListBullet"/>
      </w:pPr>
      <w:r>
        <w:rPr>
          <w:b/>
        </w:rPr>
        <w:t>Track 2, the CPAT industry kernel (Tasks A–M).</w:t>
      </w:r>
      <w:r>
        <w:t xml:space="preserve"> The industry part of CPAT is re-implemented as a standalone, AI-coded Excel kernel. It keeps legacy CPAT column positions, and its CBAM block reproduces legacy </w:t>
      </w:r>
      <w:r>
        <w:rPr>
          <w:rFonts w:ascii="Consolas" w:hAnsi="Consolas" w:eastAsia="Consolas"/>
        </w:rPr>
        <w:t>Mitigation</w:t>
      </w:r>
      <w:r>
        <w:t xml:space="preserve"> rows 12198–12353. The kernel is then extended task by task (§6). It is the intended long-term home of the method. The rebuild is the bridge until </w:t>
      </w:r>
      <w:r>
        <w:rPr>
          <w:b/>
        </w:rPr>
        <w:t>Task M</w:t>
      </w:r>
      <w:r>
        <w:t xml:space="preserve"> ports the national composition into the kernel.</w:t>
      </w:r>
    </w:p>
    <w:p>
      <w:pPr>
        <w:pStyle w:val="ListNumber"/>
      </w:pPr>
      <w:r>
        <w:rPr>
          <w:b/>
        </w:rPr>
        <w:t>Parameter evidence.</w:t>
      </w:r>
      <w:r>
        <w:t xml:space="preserve"> Two pieces of work fill the parameter gaps flagged in the review:</w:t>
      </w:r>
    </w:p>
    <w:p>
      <w:pPr>
        <w:pStyle w:val="ListBullet"/>
      </w:pPr>
      <w:r>
        <w:t>IPCC-based process semi-elasticities (Task D, Appendix B);</w:t>
      </w:r>
    </w:p>
    <w:p>
      <w:pPr>
        <w:pStyle w:val="ListBullet"/>
      </w:pPr>
      <w:r>
        <w:t>Egypt-specific emission factors split four ways (Task EF, Appendix A).</w:t>
      </w:r>
    </w:p>
    <w:p>
      <w:r>
        <w:t>---</w:t>
      </w:r>
    </w:p>
    <w:p>
      <w:pPr>
        <w:pStyle w:val="Heading2"/>
      </w:pPr>
      <w:r>
        <w:t>3. CPAT: what is used and how it is read</w:t>
      </w:r>
    </w:p>
    <w:p>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r>
        <w:t>F₁/F₀ ≈ (P₁/P₀)^(ε_U + ε_F(1+ε_U)) × (Y₁/Y₀)^η</w:t>
      </w:r>
    </w:p>
    <w:p>
      <w:r>
        <w:t xml:space="preserve">Energy CO₂ = F × EF, with the EF held fixed. Industrial IPPU is projected by CPAT at the growth rate of industrial energy CO₂ (CPAT Team 2024, §3.5.5.1). </w:t>
      </w:r>
      <w:r>
        <w:rPr>
          <w:b/>
        </w:rPr>
        <w:t>This is the proportional IPPU row that this method removes.</w:t>
      </w:r>
    </w:p>
    <w:p>
      <w:r>
        <w:rPr>
          <w:b/>
        </w:rPr>
        <w:t>Output inferred from the usage margin.</w:t>
      </w:r>
      <w:r>
        <w:t xml:space="preserve"> CPAT has no industrial output variable. The usage term is read as the output response, and the efficiency term as the response of energy intensity. The intensity share of the fuel response is</w:t>
      </w:r>
    </w:p>
    <w:p>
      <w:r>
        <w:t>s_int = ε_F(1+ε_U) / (ε_U + ε_F(1+ε_U))</w:t>
      </w:r>
    </w:p>
    <w:p>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r>
        <w:rPr>
          <w:b/>
        </w:rPr>
        <w:t>Other CPAT quantities used</w:t>
      </w:r>
      <w:r>
        <w:t xml:space="preserve"> (the bundle's own scenario, 2030):</w:t>
      </w:r>
    </w:p>
    <w:p>
      <w:pPr>
        <w:pStyle w:val="ListBullet"/>
      </w:pPr>
      <w:r>
        <w:t>ΔGHG;</w:t>
      </w:r>
    </w:p>
    <w:p>
      <w:pPr>
        <w:pStyle w:val="ListBullet"/>
      </w:pPr>
      <w:r>
        <w:t>ΔIPPU;</w:t>
      </w:r>
    </w:p>
    <w:p>
      <w:pPr>
        <w:pStyle w:val="ListBullet"/>
      </w:pPr>
      <w:r>
        <w:t>ΔEnergy CO₂ and ΔIndustry CO₂;</w:t>
      </w:r>
    </w:p>
    <w:p>
      <w:pPr>
        <w:pStyle w:val="ListBullet"/>
      </w:pPr>
      <w:r>
        <w:t>carbon-tax receipts by fuel (after the demand response);</w:t>
      </w:r>
    </w:p>
    <w:p>
      <w:pPr>
        <w:pStyle w:val="ListBullet"/>
      </w:pPr>
      <w:r>
        <w:t>deaths avoided;</w:t>
      </w:r>
    </w:p>
    <w:p>
      <w:pPr>
        <w:pStyle w:val="ListBullet"/>
      </w:pPr>
      <w:r>
        <w:t>Δ net new revenue.</w:t>
      </w:r>
    </w:p>
    <w:p>
      <w:r>
        <w:rPr>
          <w:b/>
        </w:rPr>
        <w:t>Non-price policies.</w:t>
      </w:r>
      <w:r>
        <w:t xml:space="preserve"> These enter as a *shadow price* on the efficiency term only. The fund (3C) uses this mechanism, applied *after* the carbon price (CPAT Team 2024, §3.1.8.1).</w:t>
      </w:r>
    </w:p>
    <w:p>
      <w:r>
        <w:rPr>
          <w:b/>
        </w:rPr>
        <w:t>Known CPAT limits that matter here.</w:t>
      </w:r>
      <w:r>
        <w:t xml:space="preserve"> CPAT has:</w:t>
      </w:r>
    </w:p>
    <w:p>
      <w:pPr>
        <w:pStyle w:val="ListBullet"/>
      </w:pPr>
      <w:r>
        <w:t>no explicit output model;</w:t>
      </w:r>
    </w:p>
    <w:p>
      <w:pPr>
        <w:pStyle w:val="ListBullet"/>
      </w:pPr>
      <w:r>
        <w:t>long-run elasticities that take full effect within one year;</w:t>
      </w:r>
    </w:p>
    <w:p>
      <w:pPr>
        <w:pStyle w:val="ListBullet"/>
      </w:pPr>
      <w:r>
        <w:t>no technology switches such as CCS or H₂-DRI;</w:t>
      </w:r>
    </w:p>
    <w:p>
      <w:pPr>
        <w:pStyle w:val="ListBullet"/>
      </w:pPr>
      <w:r>
        <w:t>no trade model, so CBAM exposure is computed outside CPAT;</w:t>
      </w:r>
    </w:p>
    <w:p>
      <w:pPr>
        <w:pStyle w:val="ListBullet"/>
      </w:pPr>
      <w:r>
        <w:t>fixed world fuel prices;</w:t>
      </w:r>
    </w:p>
    <w:p>
      <w:pPr>
        <w:pStyle w:val="ListBullet"/>
      </w:pPr>
      <w:r>
        <w:t>default IIASA emission factors that include some process emissions, corrected only at the aggregate level (§3.1.8.6).</w:t>
      </w:r>
    </w:p>
    <w:p>
      <w:r>
        <w:t>---</w:t>
      </w:r>
    </w:p>
    <w:p>
      <w:pPr>
        <w:pStyle w:val="Heading2"/>
      </w:pPr>
      <w:r>
        <w:t>4. The CBAM product block</w:t>
      </w:r>
    </w:p>
    <w:p>
      <w:r>
        <w:t xml:space="preserve">For each product *i* (one row per product; equations as in the kernel and the rebuild </w:t>
      </w:r>
      <w:r>
        <w:rPr>
          <w:rFonts w:ascii="Consolas" w:hAnsi="Consolas" w:eastAsia="Consolas"/>
        </w:rPr>
        <w:t>CBAM_Products</w:t>
      </w:r>
      <w:r>
        <w:t xml:space="preserve"> sheet), with τ the carbon price on fuels and τ_p = τ × (process flag) the price on process emissions:</w:t>
      </w:r>
    </w:p>
    <w:p>
      <w:r>
        <w:rPr>
          <w:b/>
        </w:rPr>
        <w:t>4.1 Emission factors (Appendix A).</w:t>
      </w:r>
      <w:r>
        <w:t xml:space="preserve"> Direct emissions per tonne are split four ways:</w:t>
      </w:r>
    </w:p>
    <w:p>
      <w:pPr>
        <w:pStyle w:val="ListBullet"/>
      </w:pPr>
      <w:r>
        <w:rPr>
          <w:b/>
        </w:rPr>
        <w:t>fc</w:t>
      </w:r>
      <w:r>
        <w:t>: fuel combustion;</w:t>
      </w:r>
    </w:p>
    <w:p>
      <w:pPr>
        <w:pStyle w:val="ListBullet"/>
      </w:pPr>
      <w:r>
        <w:rPr>
          <w:b/>
        </w:rPr>
        <w:t>fp</w:t>
      </w:r>
      <w:r>
        <w:t>: fuel used as reductant or feedstock;</w:t>
      </w:r>
    </w:p>
    <w:p>
      <w:pPr>
        <w:pStyle w:val="ListBullet"/>
      </w:pPr>
      <w:r>
        <w:rPr>
          <w:b/>
        </w:rPr>
        <w:t>np</w:t>
      </w:r>
      <w:r>
        <w:t>: non-fuel process CO₂ (carbonates, electrodes, anodes);</w:t>
      </w:r>
    </w:p>
    <w:p>
      <w:pPr>
        <w:pStyle w:val="ListBullet"/>
      </w:pPr>
      <w:r>
        <w:rPr>
          <w:b/>
        </w:rPr>
        <w:t>no</w:t>
      </w:r>
      <w:r>
        <w:t>: non-CO₂ gases (N₂O, PFC).</w:t>
      </w:r>
    </w:p>
    <w:p>
      <w:r>
        <w:t xml:space="preserve">Each category has its own coverage switch for each bundle (kernel </w:t>
      </w:r>
      <w:r>
        <w:rPr>
          <w:rFonts w:ascii="Consolas" w:hAnsi="Consolas" w:eastAsia="Consolas"/>
        </w:rPr>
        <w:t>Scenarios</w:t>
      </w:r>
      <w:r>
        <w:t xml:space="preserve"> M:P). Upstream levies price the </w:t>
      </w:r>
      <w:r>
        <w:rPr>
          <w:b/>
        </w:rPr>
        <w:t>fuel group F = fc + fp</w:t>
      </w:r>
      <w:r>
        <w:t xml:space="preserve">. Downstream charges can also price the </w:t>
      </w:r>
      <w:r>
        <w:rPr>
          <w:b/>
        </w:rPr>
        <w:t>process group G = max(np,0) + max(no,0)</w:t>
      </w:r>
      <w:r>
        <w:t>.</w:t>
      </w:r>
    </w:p>
    <w:p>
      <w:r>
        <w:rPr>
          <w:b/>
        </w:rPr>
        <w:t>4.2 Costs and rebates.</w:t>
      </w:r>
    </w:p>
    <w:p>
      <w:pPr>
        <w:pStyle w:val="ListBullet"/>
      </w:pPr>
      <w:r>
        <w:t>Fuel cost: k_f = τF_i.</w:t>
      </w:r>
    </w:p>
    <w:p>
      <w:pPr>
        <w:pStyle w:val="ListBullet"/>
      </w:pPr>
      <w:r>
        <w:t>Process cost: k_p = τ_p G_i.</w:t>
      </w:r>
    </w:p>
    <w:p>
      <w:pPr>
        <w:pStyle w:val="ListBullet"/>
      </w:pPr>
      <w:r>
        <w:t>Output-based rebate: m_i = min(θτ, τ)F_i + min(θτ, τ_p)·flag·G_i.</w:t>
      </w:r>
    </w:p>
    <w:p>
      <w:pPr>
        <w:pStyle w:val="ListBullet"/>
      </w:pPr>
      <w:r>
        <w:t>Net cost increase: Δp_i = (k_f + k_p − m_i)/P_i, where P_i is the product price.</w:t>
      </w:r>
    </w:p>
    <w:p>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r>
        <w:rPr>
          <w:b/>
        </w:rPr>
        <w:t>4.4 Intensity responses.</w:t>
      </w:r>
      <w:r>
        <w:t xml:space="preserve"> These are applied to the *full* price, plus the fund shadow price σ_eff = φσ with σ = 20 $/t:</w:t>
      </w:r>
    </w:p>
    <w:p>
      <w:pPr>
        <w:pStyle w:val="ListBullet"/>
      </w:pPr>
      <w:r>
        <w:rPr>
          <w:b/>
        </w:rPr>
        <w:t>Fuel group.</w:t>
      </w:r>
      <w:r>
        <w:t xml:space="preserve"> x_f = exp(b_f(τ + σ_eff)), so ER_f = E_f(x_f − 1). This is the CPAT efficiency margin.</w:t>
      </w:r>
    </w:p>
    <w:p>
      <w:pPr>
        <w:pStyle w:val="ListBullet"/>
      </w:pPr>
      <w:r>
        <w:rPr>
          <w:b/>
        </w:rPr>
        <w:t>Process group.</w:t>
      </w:r>
      <w:r>
        <w:t xml:space="preserve"> ER_p = −E_p(1 − exp(−β_i(τ_p + σ_eff))), where β_i is the </w:t>
      </w:r>
      <w:r>
        <w:rPr>
          <w:b/>
        </w:rPr>
        <w:t>process semi-elasticity</w:t>
      </w:r>
      <w:r>
        <w:t xml:space="preserve"> (Appendix B). In kernel v0.9+ this is generalised to ER(P) = ER_max(1 − e^(−βP)), separately for np and no.</w:t>
      </w:r>
    </w:p>
    <w:p>
      <w:r>
        <w:rPr>
          <w:b/>
        </w:rPr>
        <w:t>4.5 Emissions, revenue and CBAM metrics.</w:t>
      </w:r>
    </w:p>
    <w:p>
      <w:pPr>
        <w:pStyle w:val="ListBullet"/>
      </w:pPr>
      <w:r>
        <w:rPr>
          <w:b/>
        </w:rPr>
        <w:t>Emissions.</w:t>
      </w:r>
      <w:r>
        <w:t xml:space="preserve"> E_f = Q_i F_i/1000 and E_p = Q_i G_i/1000 (Mt). The post-policy total is E_i = E_f + ER_f + E_p + ER_p.</w:t>
      </w:r>
    </w:p>
    <w:p>
      <w:pPr>
        <w:pStyle w:val="ListBullet"/>
      </w:pPr>
      <w:r>
        <w:rPr>
          <w:b/>
        </w:rPr>
        <w:t>Revenue.</w:t>
      </w:r>
      <w:r>
        <w:t xml:space="preserve"> rev_i = (E_f + ER_f)τ + (E_p + ER_p)τ_p, measured after the response (fixes MajorIssues #4 and #10). Rebates are deducted.</w:t>
      </w:r>
    </w:p>
    <w:p>
      <w:pPr>
        <w:pStyle w:val="ListBullet"/>
      </w:pPr>
      <w:r>
        <w:rPr>
          <w:b/>
        </w:rPr>
        <w:t>Embedded intensity.</w:t>
      </w:r>
      <w:r>
        <w:t xml:space="preserve"> EI_i = 1000E_i/Q_i.</w:t>
      </w:r>
    </w:p>
    <w:p>
      <w:pPr>
        <w:pStyle w:val="ListBullet"/>
      </w:pPr>
      <w:r>
        <w:rPr>
          <w:b/>
        </w:rPr>
        <w:t>Coverage.</w:t>
      </w:r>
      <w:r>
        <w:t xml:space="preserve"> cbcov = Σcovered/Σ(E_f + E_p).</w:t>
      </w:r>
    </w:p>
    <w:p>
      <w:pPr>
        <w:pStyle w:val="ListBullet"/>
      </w:pPr>
      <w:r>
        <w:rPr>
          <w:b/>
        </w:rPr>
        <w:t>Intensity change.</w:t>
      </w:r>
      <w:r>
        <w:t xml:space="preserve"> cbintch = ΣE_i/Σ(E_f + E_p) − 1. An EU-export-weighted variant is also reported (cbintchx).</w:t>
      </w:r>
    </w:p>
    <w:p>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pPr>
        <w:pStyle w:val="ListBullet"/>
      </w:pPr>
      <w:r>
        <w:rPr>
          <w:b/>
        </w:rPr>
        <w:t>Conventions.</w:t>
      </w:r>
      <w:r>
        <w:t xml:space="preserve"> P_EU = USD 100 (placeholder). The CBAM phase-in factor CBF and the deduction scaling S are set by a selector:</w:t>
      </w:r>
    </w:p>
    <w:p>
      <w:r>
        <w:t>| Convention | CBF | S | Use | |---|---|---|---| | NOPHASE | 1 | 1 | default in the rebuild | | FULL | 0.485 in 2030 | 1 | kernel headline | | SCALED | 0.485 | 0.485 | alternative |</w:t>
      </w:r>
    </w:p>
    <w:p>
      <w:r>
        <w:rPr>
          <w:b/>
        </w:rPr>
        <w:t>4.6 Channels kept separate (no double counting).</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Channel</w:t>
            </w:r>
          </w:p>
        </w:tc>
        <w:tc>
          <w:tcPr>
            <w:tcW w:type="dxa" w:w="3360"/>
          </w:tcPr>
          <w:p>
            <w:pPr>
              <w:spacing w:after="0"/>
            </w:pPr>
            <w:r>
              <w:rPr>
                <w:b/>
              </w:rPr>
            </w:r>
            <w:r>
              <w:rPr>
                <w:b/>
                <w:sz w:val="16"/>
              </w:rPr>
              <w:t>Driver</w:t>
            </w:r>
          </w:p>
        </w:tc>
        <w:tc>
          <w:tcPr>
            <w:tcW w:type="dxa" w:w="3360"/>
          </w:tcPr>
          <w:p>
            <w:pPr>
              <w:spacing w:after="0"/>
            </w:pPr>
            <w:r>
              <w:rPr>
                <w:b/>
              </w:rPr>
            </w:r>
            <w:r>
              <w:rPr>
                <w:b/>
                <w:sz w:val="16"/>
              </w:rPr>
              <w:t>Acts on</w:t>
            </w:r>
          </w:p>
        </w:tc>
      </w:tr>
      <w:tr>
        <w:tc>
          <w:tcPr>
            <w:tcW w:type="dxa" w:w="3360"/>
          </w:tcPr>
          <w:p>
            <w:pPr>
              <w:spacing w:after="0"/>
            </w:pPr>
            <w:r/>
            <w:r>
              <w:rPr>
                <w:sz w:val="16"/>
              </w:rPr>
              <w:t>Output</w:t>
            </w:r>
          </w:p>
        </w:tc>
        <w:tc>
          <w:tcPr>
            <w:tcW w:type="dxa" w:w="3360"/>
          </w:tcPr>
          <w:p>
            <w:pPr>
              <w:spacing w:after="0"/>
            </w:pPr>
            <w:r/>
            <w:r>
              <w:rPr>
                <w:sz w:val="16"/>
              </w:rPr>
              <w:t>net price (after rebate)</w:t>
            </w:r>
          </w:p>
        </w:tc>
        <w:tc>
          <w:tcPr>
            <w:tcW w:type="dxa" w:w="3360"/>
          </w:tcPr>
          <w:p>
            <w:pPr>
              <w:spacing w:after="0"/>
            </w:pPr>
            <w:r/>
            <w:r>
              <w:rPr>
                <w:sz w:val="16"/>
              </w:rPr>
              <w:t>Q, hence all four categories</w:t>
            </w:r>
          </w:p>
        </w:tc>
      </w:tr>
      <w:tr>
        <w:tc>
          <w:tcPr>
            <w:tcW w:type="dxa" w:w="3360"/>
          </w:tcPr>
          <w:p>
            <w:pPr>
              <w:spacing w:after="0"/>
            </w:pPr>
            <w:r/>
            <w:r>
              <w:rPr>
                <w:sz w:val="16"/>
              </w:rPr>
              <w:t>Fuel intensity</w:t>
            </w:r>
          </w:p>
        </w:tc>
        <w:tc>
          <w:tcPr>
            <w:tcW w:type="dxa" w:w="3360"/>
          </w:tcPr>
          <w:p>
            <w:pPr>
              <w:spacing w:after="0"/>
            </w:pPr>
            <w:r/>
            <w:r>
              <w:rPr>
                <w:sz w:val="16"/>
              </w:rPr>
              <w:t>full price + fund shadow price</w:t>
            </w:r>
          </w:p>
        </w:tc>
        <w:tc>
          <w:tcPr>
            <w:tcW w:type="dxa" w:w="3360"/>
          </w:tcPr>
          <w:p>
            <w:pPr>
              <w:spacing w:after="0"/>
            </w:pPr>
            <w:r/>
            <w:r>
              <w:rPr>
                <w:sz w:val="16"/>
              </w:rPr>
              <w:t>fc + fp, via b_f</w:t>
            </w:r>
          </w:p>
        </w:tc>
      </w:tr>
      <w:tr>
        <w:tc>
          <w:tcPr>
            <w:tcW w:type="dxa" w:w="3360"/>
          </w:tcPr>
          <w:p>
            <w:pPr>
              <w:spacing w:after="0"/>
            </w:pPr>
            <w:r/>
            <w:r>
              <w:rPr>
                <w:sz w:val="16"/>
              </w:rPr>
              <w:t>Process intensity</w:t>
            </w:r>
          </w:p>
        </w:tc>
        <w:tc>
          <w:tcPr>
            <w:tcW w:type="dxa" w:w="3360"/>
          </w:tcPr>
          <w:p>
            <w:pPr>
              <w:spacing w:after="0"/>
            </w:pPr>
            <w:r/>
            <w:r>
              <w:rPr>
                <w:sz w:val="16"/>
              </w:rPr>
              <w:t>process price + fund shadow price</w:t>
            </w:r>
          </w:p>
        </w:tc>
        <w:tc>
          <w:tcPr>
            <w:tcW w:type="dxa" w:w="3360"/>
          </w:tcPr>
          <w:p>
            <w:pPr>
              <w:spacing w:after="0"/>
            </w:pPr>
            <w:r/>
            <w:r>
              <w:rPr>
                <w:sz w:val="16"/>
              </w:rPr>
              <w:t>np, no via β (Appendix B)</w:t>
            </w:r>
          </w:p>
        </w:tc>
      </w:tr>
      <w:tr>
        <w:tc>
          <w:tcPr>
            <w:tcW w:type="dxa" w:w="3360"/>
          </w:tcPr>
          <w:p>
            <w:pPr>
              <w:spacing w:after="0"/>
            </w:pPr>
            <w:r/>
            <w:r>
              <w:rPr>
                <w:sz w:val="16"/>
              </w:rPr>
              <w:t>CPAT's IPPU row</w:t>
            </w:r>
          </w:p>
        </w:tc>
        <w:tc>
          <w:tcPr>
            <w:tcW w:type="dxa" w:w="3360"/>
          </w:tcPr>
          <w:p>
            <w:pPr>
              <w:spacing w:after="0"/>
            </w:pPr>
            <w:r/>
            <w:r>
              <w:rPr>
                <w:sz w:val="16"/>
              </w:rPr>
              <w:t>—</w:t>
            </w:r>
          </w:p>
        </w:tc>
        <w:tc>
          <w:tcPr>
            <w:tcW w:type="dxa" w:w="3360"/>
          </w:tcPr>
          <w:p>
            <w:pPr>
              <w:spacing w:after="0"/>
            </w:pPr>
            <w:r/>
            <w:r>
              <w:rPr>
                <w:b/>
                <w:sz w:val="16"/>
              </w:rPr>
              <w:t>removed</w:t>
            </w:r>
            <w:r>
              <w:rPr>
                <w:sz w:val="16"/>
              </w:rPr>
              <w:t xml:space="preserve"> (</w:t>
            </w:r>
            <w:r>
              <w:rPr>
                <w:rFonts w:ascii="Consolas" w:hAnsi="Consolas" w:eastAsia="Consolas"/>
                <w:sz w:val="16"/>
              </w:rPr>
              <w:t>IppuOther</w:t>
            </w:r>
            <w:r>
              <w:rPr>
                <w:sz w:val="16"/>
              </w:rPr>
              <w:t xml:space="preserve"> = NONE)</w:t>
            </w:r>
          </w:p>
        </w:tc>
      </w:tr>
    </w:tbl>
    <w:p/>
    <w:p>
      <w:r>
        <w:t>---</w:t>
      </w:r>
    </w:p>
    <w:p>
      <w:pPr>
        <w:pStyle w:val="Heading2"/>
      </w:pPr>
      <w:r>
        <w:t>5. National composition (Table 2)</w:t>
      </w:r>
    </w:p>
    <w:p>
      <w:r>
        <w:rPr>
          <w:b/>
        </w:rPr>
        <w:t>The final results are in §5.0.</w:t>
      </w:r>
      <w:r>
        <w:t xml:space="preserve"> The rest of §5 and §5.1 document the superseded rebuild and prototype results; they are kept for reference.</w:t>
      </w:r>
    </w:p>
    <w:p>
      <w:r>
        <w:t>This is implemented in the rebuild (TASK-2b). It is to be ported to the kernel as Task M. Every percentage uses one base: CPAT's 2030 baseline GHG (594.2 Mt).</w:t>
      </w:r>
    </w:p>
    <w:p>
      <w:pPr>
        <w:pStyle w:val="ListBullet"/>
      </w:pPr>
      <w:r>
        <w:rPr>
          <w:b/>
        </w:rPr>
        <w:t>Coverage</w:t>
      </w:r>
      <w:r>
        <w:t xml:space="preserve"> J = (E_f⁰ + flag·E_p^base)/GHG₀.</w:t>
      </w:r>
    </w:p>
    <w:p>
      <w:pPr>
        <w:pStyle w:val="ListBullet"/>
      </w:pPr>
      <w:r>
        <w:t>E_f⁰ is energy CO₂ for the economy-wide bundles.</w:t>
      </w:r>
    </w:p>
    <w:p>
      <w:pPr>
        <w:pStyle w:val="ListBullet"/>
      </w:pPr>
      <w:r>
        <w:t>E_f⁰ is κ·IndCO₂₀ for the industry bundles, where κ = the share of industrial energy CO₂ actually priced in the CPAT run. κ(EG3) = 0.537 because aluminium and other manufacturing are not covered in that run; κ = 1 for EG1 and EG2.</w:t>
      </w:r>
    </w:p>
    <w:p>
      <w:pPr>
        <w:pStyle w:val="ListBullet"/>
      </w:pPr>
      <w:r>
        <w:rPr>
          <w:b/>
        </w:rPr>
        <w:t>Full-coverage scaling (rebuild v0.3 / kernel v0.16).</w:t>
      </w:r>
      <w:r>
        <w:t xml:space="preserve"> Bundles 3A–3C are meant to price all industry, so CPAT's EG3 industry energy CO₂ change, receipts and deaths are divided by κ (0.537 in 2030), and coverage uses κ = 1. This is a linear approximation pending a true full-coverage EG3 CPAT run.</w:t>
      </w:r>
    </w:p>
    <w:p>
      <w:pPr>
        <w:pStyle w:val="ListBullet"/>
      </w:pPr>
      <w:r>
        <w:rPr>
          <w:b/>
        </w:rPr>
        <w:t>Total reduction</w:t>
      </w:r>
      <w:r>
        <w:t xml:space="preserve"> K = ΔGHG − ΔIPPU + IPPU_other + ΣER_p + Σemrq_proc + D_obr + F_fund. The terms:</w:t>
      </w:r>
    </w:p>
    <w:p>
      <w:pPr>
        <w:pStyle w:val="ListBullet"/>
      </w:pPr>
      <w:r>
        <w:t>IPPU_other = 0: CPAT's proportional IPPU response is removed (#17).</w:t>
      </w:r>
    </w:p>
    <w:p>
      <w:pPr>
        <w:pStyle w:val="ListBullet"/>
      </w:pPr>
      <w:r>
        <w:t>ΣER_p: process-intensity response from the block.</w:t>
      </w:r>
    </w:p>
    <w:p>
      <w:pPr>
        <w:pStyle w:val="ListBullet"/>
      </w:pPr>
      <w:r>
        <w:t>Σemrq_proc: output-channel process reduction.</w:t>
      </w:r>
    </w:p>
    <w:p>
      <w:pPr>
        <w:pStyle w:val="ListBullet"/>
      </w:pPr>
      <w:r>
        <w:t>D_obr = −(1 − s_int)·w·ΔIndCO₂ when θ &gt; 0. Free allocation neutralises the output share of CPAT's industrial fuel response. Here w = E_f^base/(κ·IndCO₂₀) = 0.57.</w:t>
      </w:r>
    </w:p>
    <w:p>
      <w:pPr>
        <w:pStyle w:val="ListBullet"/>
      </w:pPr>
      <w:r>
        <w:t>F_fund = κ·IndCO₂₁(exp(b_f σ_eff) − 1) when φ &gt; 0. This is the fund's fuel-intensity abatement outside the block.</w:t>
      </w:r>
    </w:p>
    <w:p>
      <w:pPr>
        <w:pStyle w:val="ListBullet"/>
      </w:pPr>
      <w:r>
        <w:rPr>
          <w:b/>
        </w:rPr>
        <w:t>Revenue</w:t>
      </w:r>
      <w:r>
        <w:t xml:space="preserve"> P = (1 − φ)·(CPAT fuel carbon receipts after the response + Σ block process revenue − rebates).</w:t>
      </w:r>
    </w:p>
    <w:p>
      <w:pPr>
        <w:pStyle w:val="ListBullet"/>
      </w:pPr>
      <w:r>
        <w:rPr>
          <w:b/>
        </w:rPr>
        <w:t>Deaths.</w:t>
      </w:r>
      <w:r>
        <w:t xml:space="preserve"> CPAT deaths for the bundle's own scenario, rescaled by *energy* CO₂ only for the industry bundles. Process CO₂ carries no PM2.5 benefit (#19).</w:t>
      </w:r>
    </w:p>
    <w:p>
      <w:pPr>
        <w:pStyle w:val="ListBullet"/>
      </w:pPr>
      <w:r>
        <w:rPr>
          <w:b/>
        </w:rPr>
        <w:t>Decomposition check.</w:t>
      </w:r>
      <w:r>
        <w:t xml:space="preserve"> The decomposition columns AF–AM sum to K (check = 0).</w:t>
      </w:r>
    </w:p>
    <w:p>
      <w:r>
        <w:rPr>
          <w:b/>
        </w:rPr>
        <w:t>Rebuilt results, 2030</w:t>
      </w:r>
      <w:r>
        <w:t xml:space="preserve"> (AdHoc rebuild v0.3, REBUILD mode, NOPHASE, </w:t>
      </w:r>
      <w:r>
        <w:rPr>
          <w:rFonts w:ascii="Consolas" w:hAnsi="Consolas" w:eastAsia="Consolas"/>
        </w:rPr>
        <w:t>EFSet</w:t>
      </w:r>
      <w:r>
        <w:t xml:space="preserve"> = EGY_EF_V01; original Table 2 in brackets). These use the Egypt CBAM EF v0.1 values (Appendix A; block baseline 62.42 Mt in 2030) and the Task D central β set, with the AN N₂O row blended at 50% abatement (ER at $100 = 0.6179), anchored at P* = USD 122 (USD 100 in 2019 dollars deflated to 2024), and EG3 scaled by 1/κ:</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 (72)</w:t>
            </w:r>
          </w:p>
        </w:tc>
        <w:tc>
          <w:tcPr>
            <w:tcW w:type="dxa" w:w="1440"/>
          </w:tcPr>
          <w:p>
            <w:pPr>
              <w:spacing w:after="0"/>
            </w:pPr>
            <w:r/>
            <w:r>
              <w:rPr>
                <w:sz w:val="16"/>
              </w:rPr>
              <w:t>57 (65)</w:t>
            </w:r>
          </w:p>
        </w:tc>
        <w:tc>
          <w:tcPr>
            <w:tcW w:type="dxa" w:w="1440"/>
          </w:tcPr>
          <w:p>
            <w:pPr>
              <w:spacing w:after="0"/>
            </w:pPr>
            <w:r/>
            <w:r>
              <w:rPr>
                <w:sz w:val="16"/>
              </w:rPr>
              <w:t>57 (65)</w:t>
            </w:r>
          </w:p>
        </w:tc>
        <w:tc>
          <w:tcPr>
            <w:tcW w:type="dxa" w:w="1440"/>
          </w:tcPr>
          <w:p>
            <w:pPr>
              <w:spacing w:after="0"/>
            </w:pPr>
            <w:r/>
            <w:r>
              <w:rPr>
                <w:sz w:val="16"/>
              </w:rPr>
              <w:t>21 (20)</w:t>
            </w:r>
          </w:p>
        </w:tc>
        <w:tc>
          <w:tcPr>
            <w:tcW w:type="dxa" w:w="1440"/>
          </w:tcPr>
          <w:p>
            <w:pPr>
              <w:spacing w:after="0"/>
            </w:pPr>
            <w:r/>
            <w:r>
              <w:rPr>
                <w:sz w:val="16"/>
              </w:rPr>
              <w:t>21 (20)</w:t>
            </w:r>
          </w:p>
        </w:tc>
        <w:tc>
          <w:tcPr>
            <w:tcW w:type="dxa" w:w="1440"/>
          </w:tcPr>
          <w:p>
            <w:pPr>
              <w:spacing w:after="0"/>
            </w:pPr>
            <w:r/>
            <w:r>
              <w:rPr>
                <w:sz w:val="16"/>
              </w:rPr>
              <w:t>21 (20)</w:t>
            </w:r>
          </w:p>
        </w:tc>
      </w:tr>
      <w:tr>
        <w:tc>
          <w:tcPr>
            <w:tcW w:type="dxa" w:w="1440"/>
          </w:tcPr>
          <w:p>
            <w:pPr>
              <w:spacing w:after="0"/>
            </w:pPr>
            <w:r/>
            <w:r>
              <w:rPr>
                <w:sz w:val="16"/>
              </w:rPr>
              <w:t>Reduction, Mt</w:t>
            </w:r>
          </w:p>
        </w:tc>
        <w:tc>
          <w:tcPr>
            <w:tcW w:type="dxa" w:w="1440"/>
          </w:tcPr>
          <w:p>
            <w:pPr>
              <w:spacing w:after="0"/>
            </w:pPr>
            <w:r/>
            <w:r>
              <w:rPr>
                <w:sz w:val="16"/>
              </w:rPr>
              <w:t>−31.4 (−41.6)</w:t>
            </w:r>
          </w:p>
        </w:tc>
        <w:tc>
          <w:tcPr>
            <w:tcW w:type="dxa" w:w="1440"/>
          </w:tcPr>
          <w:p>
            <w:pPr>
              <w:spacing w:after="0"/>
            </w:pPr>
            <w:r/>
            <w:r>
              <w:rPr>
                <w:sz w:val="16"/>
              </w:rPr>
              <w:t>−27.8 (−38.9)</w:t>
            </w:r>
          </w:p>
        </w:tc>
        <w:tc>
          <w:tcPr>
            <w:tcW w:type="dxa" w:w="1440"/>
          </w:tcPr>
          <w:p>
            <w:pPr>
              <w:spacing w:after="0"/>
            </w:pPr>
            <w:r/>
            <w:r>
              <w:rPr>
                <w:sz w:val="16"/>
              </w:rPr>
              <w:t>−29.3 (−41.0)</w:t>
            </w:r>
          </w:p>
        </w:tc>
        <w:tc>
          <w:tcPr>
            <w:tcW w:type="dxa" w:w="1440"/>
          </w:tcPr>
          <w:p>
            <w:pPr>
              <w:spacing w:after="0"/>
            </w:pPr>
            <w:r/>
            <w:r>
              <w:rPr>
                <w:sz w:val="16"/>
              </w:rPr>
              <w:t>−25.1 (−21.5)</w:t>
            </w:r>
          </w:p>
        </w:tc>
        <w:tc>
          <w:tcPr>
            <w:tcW w:type="dxa" w:w="1440"/>
          </w:tcPr>
          <w:p>
            <w:pPr>
              <w:spacing w:after="0"/>
            </w:pPr>
            <w:r/>
            <w:r>
              <w:rPr>
                <w:sz w:val="16"/>
              </w:rPr>
              <w:t>−19.6 (−18.1)</w:t>
            </w:r>
          </w:p>
        </w:tc>
        <w:tc>
          <w:tcPr>
            <w:tcW w:type="dxa" w:w="1440"/>
          </w:tcPr>
          <w:p>
            <w:pPr>
              <w:spacing w:after="0"/>
            </w:pPr>
            <w:r/>
            <w:r>
              <w:rPr>
                <w:sz w:val="16"/>
              </w:rPr>
              <w:t>−30.6 (−24.5)</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 (44.5)</w:t>
            </w:r>
          </w:p>
        </w:tc>
        <w:tc>
          <w:tcPr>
            <w:tcW w:type="dxa" w:w="1440"/>
          </w:tcPr>
          <w:p>
            <w:pPr>
              <w:spacing w:after="0"/>
            </w:pPr>
            <w:r/>
            <w:r>
              <w:rPr>
                <w:sz w:val="16"/>
              </w:rPr>
              <w:t>44.2 (44.5)</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−5.8 (−7.6)</w:t>
            </w:r>
          </w:p>
        </w:tc>
        <w:tc>
          <w:tcPr>
            <w:tcW w:type="dxa" w:w="1440"/>
          </w:tcPr>
          <w:p>
            <w:pPr>
              <w:spacing w:after="0"/>
            </w:pPr>
            <w:r/>
            <w:r>
              <w:rPr>
                <w:sz w:val="16"/>
              </w:rPr>
              <w:t>−2.2 (−5.5)</w:t>
            </w:r>
          </w:p>
        </w:tc>
        <w:tc>
          <w:tcPr>
            <w:tcW w:type="dxa" w:w="1440"/>
          </w:tcPr>
          <w:p>
            <w:pPr>
              <w:spacing w:after="0"/>
            </w:pPr>
            <w:r/>
            <w:r>
              <w:rPr>
                <w:sz w:val="16"/>
              </w:rPr>
              <w:t>−2.2 (−5.5)</w:t>
            </w:r>
          </w:p>
        </w:tc>
        <w:tc>
          <w:tcPr>
            <w:tcW w:type="dxa" w:w="1440"/>
          </w:tcPr>
          <w:p>
            <w:pPr>
              <w:spacing w:after="0"/>
            </w:pPr>
            <w:r/>
            <w:r>
              <w:rPr>
                <w:sz w:val="16"/>
              </w:rPr>
              <w:t>−5.8 (−7.6)</w:t>
            </w:r>
          </w:p>
        </w:tc>
        <w:tc>
          <w:tcPr>
            <w:tcW w:type="dxa" w:w="1440"/>
          </w:tcPr>
          <w:p>
            <w:pPr>
              <w:spacing w:after="0"/>
            </w:pPr>
            <w:r/>
            <w:r>
              <w:rPr>
                <w:sz w:val="16"/>
              </w:rPr>
              <w:t>−5.8 (−7.6)</w:t>
            </w:r>
          </w:p>
        </w:tc>
        <w:tc>
          <w:tcPr>
            <w:tcW w:type="dxa" w:w="1440"/>
          </w:tcPr>
          <w:p>
            <w:pPr>
              <w:spacing w:after="0"/>
            </w:pPr>
            <w:r/>
            <w:r>
              <w:rPr>
                <w:sz w:val="16"/>
              </w:rPr>
              <w:t>−11.2 (−13.1)</w:t>
            </w:r>
          </w:p>
        </w:tc>
      </w:tr>
      <w:tr>
        <w:tc>
          <w:tcPr>
            <w:tcW w:type="dxa" w:w="1440"/>
          </w:tcPr>
          <w:p>
            <w:pPr>
              <w:spacing w:after="0"/>
            </w:pPr>
            <w:r/>
            <w:r>
              <w:rPr>
                <w:sz w:val="16"/>
              </w:rPr>
              <w:t>CBAM obligation per unit, %</w:t>
            </w:r>
          </w:p>
        </w:tc>
        <w:tc>
          <w:tcPr>
            <w:tcW w:type="dxa" w:w="1440"/>
          </w:tcPr>
          <w:p>
            <w:pPr>
              <w:spacing w:after="0"/>
            </w:pPr>
            <w:r/>
            <w:r>
              <w:rPr>
                <w:sz w:val="16"/>
              </w:rPr>
              <w:t>−24.3 (−26.1)</w:t>
            </w:r>
          </w:p>
        </w:tc>
        <w:tc>
          <w:tcPr>
            <w:tcW w:type="dxa" w:w="1440"/>
          </w:tcPr>
          <w:p>
            <w:pPr>
              <w:spacing w:after="0"/>
            </w:pPr>
            <w:r/>
            <w:r>
              <w:rPr>
                <w:sz w:val="16"/>
              </w:rPr>
              <w:t>−12.5 (−13.9)</w:t>
            </w:r>
          </w:p>
        </w:tc>
        <w:tc>
          <w:tcPr>
            <w:tcW w:type="dxa" w:w="1440"/>
          </w:tcPr>
          <w:p>
            <w:pPr>
              <w:spacing w:after="0"/>
            </w:pPr>
            <w:r/>
            <w:r>
              <w:rPr>
                <w:sz w:val="16"/>
              </w:rPr>
              <w:t>−12.5 (−13.9)</w:t>
            </w:r>
          </w:p>
        </w:tc>
        <w:tc>
          <w:tcPr>
            <w:tcW w:type="dxa" w:w="1440"/>
          </w:tcPr>
          <w:p>
            <w:pPr>
              <w:spacing w:after="0"/>
            </w:pPr>
            <w:r/>
            <w:r>
              <w:rPr>
                <w:sz w:val="16"/>
              </w:rPr>
              <w:t>−24.3 (−26.1)</w:t>
            </w:r>
          </w:p>
        </w:tc>
        <w:tc>
          <w:tcPr>
            <w:tcW w:type="dxa" w:w="1440"/>
          </w:tcPr>
          <w:p>
            <w:pPr>
              <w:spacing w:after="0"/>
            </w:pPr>
            <w:r/>
            <w:r>
              <w:rPr>
                <w:sz w:val="16"/>
              </w:rPr>
              <w:t>−5.4 (−7.6)</w:t>
            </w:r>
          </w:p>
        </w:tc>
        <w:tc>
          <w:tcPr>
            <w:tcW w:type="dxa" w:w="1440"/>
          </w:tcPr>
          <w:p>
            <w:pPr>
              <w:spacing w:after="0"/>
            </w:pPr>
            <w:r/>
            <w:r>
              <w:rPr>
                <w:sz w:val="16"/>
              </w:rPr>
              <w:t>−28.4 (−30.4)</w:t>
            </w:r>
          </w:p>
        </w:tc>
      </w:tr>
      <w:tr>
        <w:tc>
          <w:tcPr>
            <w:tcW w:type="dxa" w:w="1440"/>
          </w:tcPr>
          <w:p>
            <w:pPr>
              <w:spacing w:after="0"/>
            </w:pPr>
            <w:r/>
            <w:r>
              <w:rPr>
                <w:sz w:val="16"/>
              </w:rPr>
              <w:t>Revenue, USD bn</w:t>
            </w:r>
          </w:p>
        </w:tc>
        <w:tc>
          <w:tcPr>
            <w:tcW w:type="dxa" w:w="1440"/>
          </w:tcPr>
          <w:p>
            <w:pPr>
              <w:spacing w:after="0"/>
            </w:pPr>
            <w:r/>
            <w:r>
              <w:rPr>
                <w:sz w:val="16"/>
              </w:rPr>
              <w:t>6.84 (5.8)</w:t>
            </w:r>
          </w:p>
        </w:tc>
        <w:tc>
          <w:tcPr>
            <w:tcW w:type="dxa" w:w="1440"/>
          </w:tcPr>
          <w:p>
            <w:pPr>
              <w:spacing w:after="0"/>
            </w:pPr>
            <w:r/>
            <w:r>
              <w:rPr>
                <w:sz w:val="16"/>
              </w:rPr>
              <w:t>6.23 (5.2)</w:t>
            </w:r>
          </w:p>
        </w:tc>
        <w:tc>
          <w:tcPr>
            <w:tcW w:type="dxa" w:w="1440"/>
          </w:tcPr>
          <w:p>
            <w:pPr>
              <w:spacing w:after="0"/>
            </w:pPr>
            <w:r/>
            <w:r>
              <w:rPr>
                <w:sz w:val="16"/>
              </w:rPr>
              <w:t>6.19 (5.2)</w:t>
            </w:r>
          </w:p>
        </w:tc>
        <w:tc>
          <w:tcPr>
            <w:tcW w:type="dxa" w:w="1440"/>
          </w:tcPr>
          <w:p>
            <w:pPr>
              <w:spacing w:after="0"/>
            </w:pPr>
            <w:r/>
            <w:r>
              <w:rPr>
                <w:sz w:val="16"/>
              </w:rPr>
              <w:t>2.34 (1.1)</w:t>
            </w:r>
          </w:p>
        </w:tc>
        <w:tc>
          <w:tcPr>
            <w:tcW w:type="dxa" w:w="1440"/>
          </w:tcPr>
          <w:p>
            <w:pPr>
              <w:spacing w:after="0"/>
            </w:pPr>
            <w:r/>
            <w:r>
              <w:rPr>
                <w:sz w:val="16"/>
              </w:rPr>
              <w:t>1.13 (0)</w:t>
            </w:r>
          </w:p>
        </w:tc>
        <w:tc>
          <w:tcPr>
            <w:tcW w:type="dxa" w:w="1440"/>
          </w:tcPr>
          <w:p>
            <w:pPr>
              <w:spacing w:after="0"/>
            </w:pPr>
            <w:r/>
            <w:r>
              <w:rPr>
                <w:sz w:val="16"/>
              </w:rPr>
              <w:t>0 (0)</w:t>
            </w:r>
          </w:p>
        </w:tc>
      </w:tr>
      <w:tr>
        <w:tc>
          <w:tcPr>
            <w:tcW w:type="dxa" w:w="1440"/>
          </w:tcPr>
          <w:p>
            <w:pPr>
              <w:spacing w:after="0"/>
            </w:pPr>
            <w:r/>
            <w:r>
              <w:rPr>
                <w:sz w:val="16"/>
              </w:rPr>
              <w:t>Deaths avoided</w:t>
            </w:r>
          </w:p>
        </w:tc>
        <w:tc>
          <w:tcPr>
            <w:tcW w:type="dxa" w:w="1440"/>
          </w:tcPr>
          <w:p>
            <w:pPr>
              <w:spacing w:after="0"/>
            </w:pPr>
            <w:r/>
            <w:r>
              <w:rPr>
                <w:sz w:val="16"/>
              </w:rPr>
              <w:t>1,564 (1,656)</w:t>
            </w:r>
          </w:p>
        </w:tc>
        <w:tc>
          <w:tcPr>
            <w:tcW w:type="dxa" w:w="1440"/>
          </w:tcPr>
          <w:p>
            <w:pPr>
              <w:spacing w:after="0"/>
            </w:pPr>
            <w:r/>
            <w:r>
              <w:rPr>
                <w:sz w:val="16"/>
              </w:rPr>
              <w:t>1,564 (1,564)</w:t>
            </w:r>
          </w:p>
        </w:tc>
        <w:tc>
          <w:tcPr>
            <w:tcW w:type="dxa" w:w="1440"/>
          </w:tcPr>
          <w:p>
            <w:pPr>
              <w:spacing w:after="0"/>
            </w:pPr>
            <w:r/>
            <w:r>
              <w:rPr>
                <w:sz w:val="16"/>
              </w:rPr>
              <w:t>1,631 (1,631)</w:t>
            </w:r>
          </w:p>
        </w:tc>
        <w:tc>
          <w:tcPr>
            <w:tcW w:type="dxa" w:w="1440"/>
          </w:tcPr>
          <w:p>
            <w:pPr>
              <w:spacing w:after="0"/>
            </w:pPr>
            <w:r/>
            <w:r>
              <w:rPr>
                <w:sz w:val="16"/>
              </w:rPr>
              <w:t>850 (546)</w:t>
            </w:r>
          </w:p>
        </w:tc>
        <w:tc>
          <w:tcPr>
            <w:tcW w:type="dxa" w:w="1440"/>
          </w:tcPr>
          <w:p>
            <w:pPr>
              <w:spacing w:after="0"/>
            </w:pPr>
            <w:r/>
            <w:r>
              <w:rPr>
                <w:sz w:val="16"/>
              </w:rPr>
              <w:t>714 (345)</w:t>
            </w:r>
          </w:p>
        </w:tc>
        <w:tc>
          <w:tcPr>
            <w:tcW w:type="dxa" w:w="1440"/>
          </w:tcPr>
          <w:p>
            <w:pPr>
              <w:spacing w:after="0"/>
            </w:pPr>
            <w:r/>
            <w:r>
              <w:rPr>
                <w:sz w:val="16"/>
              </w:rPr>
              <w:t>997 (621)</w:t>
            </w:r>
          </w:p>
        </w:tc>
      </w:tr>
    </w:tbl>
    <w:p/>
    <w:p>
      <w:r>
        <w:rPr>
          <w:b/>
        </w:rPr>
        <w:t>Main differences from the original Table 2:</w:t>
      </w:r>
    </w:p>
    <w:p>
      <w:pPr>
        <w:pStyle w:val="ListBullet"/>
      </w:pPr>
      <w:r>
        <w:t>Economy-wide reductions are 8–29% smaller, because CPAT's IPPU scaling and the untraceable process term are removed.</w:t>
      </w:r>
    </w:p>
    <w:p>
      <w:pPr>
        <w:pStyle w:val="ListBullet"/>
      </w:pPr>
      <w:r>
        <w:t>Economy-wide coverage is lower, because it is computed rather than typed in.</w:t>
      </w:r>
    </w:p>
    <w:p>
      <w:pPr>
        <w:pStyle w:val="ListBullet"/>
      </w:pPr>
      <w:r>
        <w:t>Industry-only bundles (3A–3C) are larger than in Table 2 once EG3 is scaled to full industrial coverage (approximation).</w:t>
      </w:r>
    </w:p>
    <w:p>
      <w:pPr>
        <w:pStyle w:val="ListBullet"/>
      </w:pPr>
      <w:r>
        <w:t>Revenue is higher, because it uses CPAT's own 2030 receipts.</w:t>
      </w:r>
    </w:p>
    <w:p>
      <w:r>
        <w:t xml:space="preserve">Full comparison: </w:t>
      </w:r>
      <w:r>
        <w:rPr>
          <w:rFonts w:ascii="Consolas" w:hAnsi="Consolas" w:eastAsia="Consolas"/>
        </w:rPr>
        <w:t>Old\MethodologyNote_v0.3.md</w:t>
      </w:r>
      <w:r>
        <w:t xml:space="preserve"> and </w:t>
      </w:r>
      <w:r>
        <w:rPr>
          <w:rFonts w:ascii="Consolas" w:hAnsi="Consolas" w:eastAsia="Consolas"/>
        </w:rPr>
        <w:t>Old\ResultsComparison_Table2_v0.3.md</w:t>
      </w:r>
      <w:r>
        <w:t xml:space="preserve">. The final results text is </w:t>
      </w:r>
      <w:r>
        <w:rPr>
          <w:rFonts w:ascii="Consolas" w:hAnsi="Consolas" w:eastAsia="Consolas"/>
        </w:rPr>
        <w:t>EgyptResultsInitial_UpdatedResults_v1.2_tracked.docx</w:t>
      </w:r>
      <w:r>
        <w:t xml:space="preserve"> (top level of both Egypt folders).</w:t>
      </w:r>
    </w:p>
    <w:p>
      <w:pPr>
        <w:pStyle w:val="Heading3"/>
      </w:pPr>
      <w:r>
        <w:t>5.0 Final Table 2: CBAM carve-out (adopted)</w:t>
      </w:r>
    </w:p>
    <w:p>
      <w:r>
        <w:t xml:space="preserve">The final numbers (used in </w:t>
      </w:r>
      <w:r>
        <w:rPr>
          <w:rFonts w:ascii="Consolas" w:hAnsi="Consolas" w:eastAsia="Consolas"/>
        </w:rPr>
        <w:t>EgyptResultsInitial_UpdatedResults_v1.2_tracked.docx</w:t>
      </w:r>
      <w:r>
        <w:t xml:space="preserve">) keep the </w:t>
      </w:r>
      <w:r>
        <w:rPr>
          <w:b/>
        </w:rPr>
        <w:t>original CPAT runs</w:t>
      </w:r>
      <w:r>
        <w:t xml:space="preserve"> for everything and change only the </w:t>
      </w:r>
      <w:r>
        <w:rPr>
          <w:b/>
        </w:rPr>
        <w:t>CBAM block</w:t>
      </w:r>
      <w:r>
        <w:t xml:space="preserve"> (steel, cement, fertilisers, aluminium; 63.1 Mt in 2030). Full table and build: </w:t>
      </w:r>
      <w:r>
        <w:rPr>
          <w:rFonts w:ascii="Consolas" w:hAnsi="Consolas" w:eastAsia="Consolas"/>
        </w:rPr>
        <w:t>EGYPT_CarveOut_Table2_v1.0.docx</w:t>
      </w:r>
      <w:r>
        <w:t xml:space="preserve">, </w:t>
      </w:r>
      <w:r>
        <w:rPr>
          <w:rFonts w:ascii="Consolas" w:hAnsi="Consolas" w:eastAsia="Consolas"/>
        </w:rPr>
        <w:t>Old\AdHocRebuild\make_carveout_v0_3.py</w:t>
      </w:r>
      <w:r>
        <w:t xml:space="preserve">. Line by line in live formulas: kernel v1.0, sheet </w:t>
      </w:r>
      <w:r>
        <w:rPr>
          <w:rFonts w:ascii="Consolas" w:hAnsi="Consolas" w:eastAsia="Consolas"/>
        </w:rPr>
        <w:t>CarveOut_Table2</w:t>
      </w:r>
      <w:r>
        <w:t xml:space="preserve"> (active bundle from Settings!B10, plus a stored 6-bundle snapshot and check).</w:t>
      </w:r>
    </w:p>
    <w:p>
      <w:pPr>
        <w:pStyle w:val="ListBullet"/>
      </w:pPr>
      <w:r>
        <w:rPr>
          <w:b/>
        </w:rPr>
        <w:t>K = ΔGHG_CPAT − r×B + ΔB.</w:t>
      </w:r>
      <w:r>
        <w:t xml:space="preserve"> r is CPAT's industry energy CO₂ change of the run (EG1 −13.9%, EG2 −14.6%, EG3 −9.6%). CPAT scales all IPPU by the same %, so r×B is CPAT's implied block change; it is removed in full. Non-CBAM IPPU keeps CPAT's response.</w:t>
      </w:r>
    </w:p>
    <w:p>
      <w:pPr>
        <w:pStyle w:val="ListBullet"/>
      </w:pPr>
      <w:r>
        <w:rPr>
          <w:b/>
        </w:rPr>
        <w:t>ΔB, counted once:</w:t>
      </w:r>
      <w:r>
        <w:t xml:space="preserve"> (i) </w:t>
      </w:r>
      <w:r>
        <w:rPr>
          <w:b/>
        </w:rPr>
        <w:t>CPAT fuel-intensity response</w:t>
      </w:r>
      <w:r>
        <w:t xml:space="preserve">: fuel per tonne × (1+r)^(1/3) (efficiency share s_int = 1/3, §3); −4.9% on EG1, −5.1% on EG2; 3A–3C use −4.9% (same USD 20/t, block fully priced; EG3's r is diluted by κ = 0.537); (ii) </w:t>
      </w:r>
      <w:r>
        <w:rPr>
          <w:b/>
        </w:rPr>
        <w:t>output</w:t>
      </w:r>
      <w:r>
        <w:t xml:space="preserve">: the kernel's CBAM output response; (iii) </w:t>
      </w:r>
      <w:r>
        <w:rPr>
          <w:b/>
        </w:rPr>
        <w:t>process</w:t>
      </w:r>
      <w:r>
        <w:t>: kernel process abatement where process emissions are charged (1A, 3A–3C). The kernel's own fuel-intensity response is not used.</w:t>
      </w:r>
    </w:p>
    <w:p>
      <w:pPr>
        <w:pStyle w:val="ListBullet"/>
      </w:pPr>
      <w:r>
        <w:rPr>
          <w:b/>
        </w:rPr>
        <w:t>Growth:</w:t>
      </w:r>
      <w:r>
        <w:t xml:space="preserve"> block output rescaled so 2024–2030 growth matches CPAT sector energy CO₂ (irn ×0.976, cem ×1.001); mch (mining &amp; chemicals: ammonia, urea, AN) ×1.157 and nfm (aluminium) ×0.956 follow total CPAT industry, as CPAT has no energy in those sectors for Egypt.</w:t>
      </w:r>
    </w:p>
    <w:p>
      <w:pPr>
        <w:pStyle w:val="ListBullet"/>
      </w:pPr>
      <w:r>
        <w:rPr>
          <w:b/>
        </w:rPr>
        <w:t>N, O:</w:t>
      </w:r>
      <w:r>
        <w:t xml:space="preserve"> N = kernel values plus the fuel-intensity term. O = change in CBAM obligations per tonne exported = export-weighted change in the embedded (fuel + process) emission intensity of CBAM products only (2024 EU export weights). No deduction for the Egyptian carbon price is applied, so the EU price and phase-in cancel. Live calculation: </w:t>
      </w:r>
      <w:r>
        <w:rPr>
          <w:rFonts w:ascii="Consolas" w:hAnsi="Consolas" w:eastAsia="Consolas"/>
        </w:rPr>
        <w:t>EGYPT_Table2_Final_CBAMcalc_v1.0.xlsx</w:t>
      </w:r>
      <w:r>
        <w:t xml:space="preserve">. The §4.5 conventions (FULL/NOPHASE/SCALED, with a domestic-price deduction) are no longer used for Table 2; the workbook shows them as memo rows only. </w:t>
      </w:r>
      <w:r>
        <w:rPr>
          <w:b/>
        </w:rPr>
        <w:t>P:</w:t>
      </w:r>
      <w:r>
        <w:t xml:space="preserve"> CPAT receipts + block fuel adjustment + process fees − 3B rebate − 3C fund. </w:t>
      </w:r>
      <w:r>
        <w:rPr>
          <w:b/>
        </w:rPr>
        <w:t>Q:</w:t>
      </w:r>
      <w:r>
        <w:t xml:space="preserve"> CPAT deaths × (ΔEnergyCO₂ + block fuel adjustment)/ΔEnergyCO₂. 3A–3C use EG3 as run (no 1/κ scaling).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r>
              <w:rPr>
                <w:b/>
                <w:sz w:val="16"/>
              </w:rPr>
              <w:t>2030</w:t>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USD bn</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Reduction, Mt</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per tonne exported, %</w:t>
            </w:r>
          </w:p>
        </w:tc>
        <w:tc>
          <w:tcPr>
            <w:tcW w:type="dxa" w:w="1440"/>
          </w:tcPr>
          <w:p>
            <w:pPr>
              <w:spacing w:after="0"/>
            </w:pPr>
            <w:r/>
            <w:r>
              <w:rPr>
                <w:sz w:val="16"/>
              </w:rPr>
              <w:t>−5.4</w:t>
            </w:r>
          </w:p>
        </w:tc>
        <w:tc>
          <w:tcPr>
            <w:tcW w:type="dxa" w:w="1440"/>
          </w:tcPr>
          <w:p>
            <w:pPr>
              <w:spacing w:after="0"/>
            </w:pPr>
            <w:r/>
            <w:r>
              <w:rPr>
                <w:sz w:val="16"/>
              </w:rPr>
              <w:t>−2.6</w:t>
            </w:r>
          </w:p>
        </w:tc>
        <w:tc>
          <w:tcPr>
            <w:tcW w:type="dxa" w:w="1440"/>
          </w:tcPr>
          <w:p>
            <w:pPr>
              <w:spacing w:after="0"/>
            </w:pPr>
            <w:r/>
            <w:r>
              <w:rPr>
                <w:sz w:val="16"/>
              </w:rPr>
              <w:t>−2.7</w:t>
            </w:r>
          </w:p>
        </w:tc>
        <w:tc>
          <w:tcPr>
            <w:tcW w:type="dxa" w:w="1440"/>
          </w:tcPr>
          <w:p>
            <w:pPr>
              <w:spacing w:after="0"/>
            </w:pPr>
            <w:r/>
            <w:r>
              <w:rPr>
                <w:sz w:val="16"/>
              </w:rPr>
              <w:t>−5.4</w:t>
            </w:r>
          </w:p>
        </w:tc>
        <w:tc>
          <w:tcPr>
            <w:tcW w:type="dxa" w:w="1440"/>
          </w:tcPr>
          <w:p>
            <w:pPr>
              <w:spacing w:after="0"/>
            </w:pPr>
            <w:r/>
            <w:r>
              <w:rPr>
                <w:sz w:val="16"/>
              </w:rPr>
              <w:t>−5.4</w:t>
            </w:r>
          </w:p>
        </w:tc>
        <w:tc>
          <w:tcPr>
            <w:tcW w:type="dxa" w:w="1440"/>
          </w:tcPr>
          <w:p>
            <w:pPr>
              <w:spacing w:after="0"/>
            </w:pPr>
            <w:r/>
            <w:r>
              <w:rPr>
                <w:sz w:val="16"/>
              </w:rPr>
              <w:t>−20.7</w:t>
            </w:r>
          </w:p>
        </w:tc>
      </w:tr>
      <w:tr>
        <w:tc>
          <w:tcPr>
            <w:tcW w:type="dxa" w:w="1440"/>
          </w:tcPr>
          <w:p>
            <w:pPr>
              <w:spacing w:after="0"/>
            </w:pPr>
            <w:r/>
            <w:r>
              <w:rPr>
                <w:sz w:val="16"/>
              </w:rPr>
              <w:t>Deaths avoided</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r>
        <w:t>§5 (rebuild) and §5.1 (prototype) below are kept for reference; they are superseded by this section.</w:t>
      </w:r>
    </w:p>
    <w:p>
      <w:pPr>
        <w:pStyle w:val="Heading3"/>
      </w:pPr>
      <w:r>
        <w:t>5.1 Final prototype results (kernel v0.16, Task M, 2030)</w:t>
      </w:r>
    </w:p>
    <w:p>
      <w:r>
        <w:t>The kernel composes the same CPAT runs in deltas, replacing CPAT's industry and IPPU responses with its own (K = ΔGHG_CPAT + (ΔIPPU_kernel − ΔIPPU_CPAT) + (ΔInd_kernel − ΔInd_CPAT)). Same EFs and β as the rebuild; CBAM convention FULL by default (NOPHASE in brackets for O). Changes in v0.16: P* = 122; EG3 non-kernel industry responds at CPAT's full-coverage rate (ΔInd_CPAT/κ), coverage and receipts use κ = 1, deaths are divided by κ; block fuel CO₂ above a sector's CPAT energy CO₂ (cement 19.05 vs 10.91 Mt in 2030; chemicals; non-ferrous metals) is taken out of non-kernel industry (kernel sectors 26.5 Mt, non-kernel 48.9 Mt, total unchanged); the 3C fund is capped at the block's post-abatement payments (fixed point).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63.2</w:t>
            </w:r>
          </w:p>
        </w:tc>
        <w:tc>
          <w:tcPr>
            <w:tcW w:type="dxa" w:w="1440"/>
          </w:tcPr>
          <w:p>
            <w:pPr>
              <w:spacing w:after="0"/>
            </w:pPr>
            <w:r/>
            <w:r>
              <w:rPr>
                <w:sz w:val="16"/>
              </w:rPr>
              <w:t>57.3</w:t>
            </w:r>
          </w:p>
        </w:tc>
        <w:tc>
          <w:tcPr>
            <w:tcW w:type="dxa" w:w="1440"/>
          </w:tcPr>
          <w:p>
            <w:pPr>
              <w:spacing w:after="0"/>
            </w:pPr>
            <w:r/>
            <w:r>
              <w:rPr>
                <w:sz w:val="16"/>
              </w:rPr>
              <w:t>57.3</w:t>
            </w:r>
          </w:p>
        </w:tc>
        <w:tc>
          <w:tcPr>
            <w:tcW w:type="dxa" w:w="1440"/>
          </w:tcPr>
          <w:p>
            <w:pPr>
              <w:spacing w:after="0"/>
            </w:pPr>
            <w:r/>
            <w:r>
              <w:rPr>
                <w:sz w:val="16"/>
              </w:rPr>
              <w:t>18.5</w:t>
            </w:r>
          </w:p>
        </w:tc>
        <w:tc>
          <w:tcPr>
            <w:tcW w:type="dxa" w:w="1440"/>
          </w:tcPr>
          <w:p>
            <w:pPr>
              <w:spacing w:after="0"/>
            </w:pPr>
            <w:r/>
            <w:r>
              <w:rPr>
                <w:sz w:val="16"/>
              </w:rPr>
              <w:t>18.5</w:t>
            </w:r>
          </w:p>
        </w:tc>
        <w:tc>
          <w:tcPr>
            <w:tcW w:type="dxa" w:w="1440"/>
          </w:tcPr>
          <w:p>
            <w:pPr>
              <w:spacing w:after="0"/>
            </w:pPr>
            <w:r/>
            <w:r>
              <w:rPr>
                <w:sz w:val="16"/>
              </w:rPr>
              <w:t>18.5</w:t>
            </w:r>
          </w:p>
        </w:tc>
      </w:tr>
      <w:tr>
        <w:tc>
          <w:tcPr>
            <w:tcW w:type="dxa" w:w="1440"/>
          </w:tcPr>
          <w:p>
            <w:pPr>
              <w:spacing w:after="0"/>
            </w:pPr>
            <w:r/>
            <w:r>
              <w:rPr>
                <w:sz w:val="16"/>
              </w:rPr>
              <w:t>Reduction, Mt</w:t>
            </w:r>
          </w:p>
        </w:tc>
        <w:tc>
          <w:tcPr>
            <w:tcW w:type="dxa" w:w="1440"/>
          </w:tcPr>
          <w:p>
            <w:pPr>
              <w:spacing w:after="0"/>
            </w:pPr>
            <w:r/>
            <w:r>
              <w:rPr>
                <w:sz w:val="16"/>
              </w:rPr>
              <w:t>−29.0</w:t>
            </w:r>
          </w:p>
        </w:tc>
        <w:tc>
          <w:tcPr>
            <w:tcW w:type="dxa" w:w="1440"/>
          </w:tcPr>
          <w:p>
            <w:pPr>
              <w:spacing w:after="0"/>
            </w:pPr>
            <w:r/>
            <w:r>
              <w:rPr>
                <w:sz w:val="16"/>
              </w:rPr>
              <w:t>−25.5</w:t>
            </w:r>
          </w:p>
        </w:tc>
        <w:tc>
          <w:tcPr>
            <w:tcW w:type="dxa" w:w="1440"/>
          </w:tcPr>
          <w:p>
            <w:pPr>
              <w:spacing w:after="0"/>
            </w:pPr>
            <w:r/>
            <w:r>
              <w:rPr>
                <w:sz w:val="16"/>
              </w:rPr>
              <w:t>−26.7</w:t>
            </w:r>
          </w:p>
        </w:tc>
        <w:tc>
          <w:tcPr>
            <w:tcW w:type="dxa" w:w="1440"/>
          </w:tcPr>
          <w:p>
            <w:pPr>
              <w:spacing w:after="0"/>
            </w:pPr>
            <w:r/>
            <w:r>
              <w:rPr>
                <w:sz w:val="16"/>
              </w:rPr>
              <w:t>−21.1</w:t>
            </w:r>
          </w:p>
        </w:tc>
        <w:tc>
          <w:tcPr>
            <w:tcW w:type="dxa" w:w="1440"/>
          </w:tcPr>
          <w:p>
            <w:pPr>
              <w:spacing w:after="0"/>
            </w:pPr>
            <w:r/>
            <w:r>
              <w:rPr>
                <w:sz w:val="16"/>
              </w:rPr>
              <w:t>−17.4</w:t>
            </w:r>
          </w:p>
        </w:tc>
        <w:tc>
          <w:tcPr>
            <w:tcW w:type="dxa" w:w="1440"/>
          </w:tcPr>
          <w:p>
            <w:pPr>
              <w:spacing w:after="0"/>
            </w:pPr>
            <w:r/>
            <w:r>
              <w:rPr>
                <w:sz w:val="16"/>
              </w:rPr>
              <w:t>−32.9</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w:t>
            </w:r>
          </w:p>
        </w:tc>
        <w:tc>
          <w:tcPr>
            <w:tcW w:type="dxa" w:w="1440"/>
          </w:tcPr>
          <w:p>
            <w:pPr>
              <w:spacing w:after="0"/>
            </w:pPr>
            <w:r/>
            <w:r>
              <w:rPr>
                <w:sz w:val="16"/>
              </w:rPr>
              <w:t>44.2</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−3.6</w:t>
            </w:r>
          </w:p>
        </w:tc>
        <w:tc>
          <w:tcPr>
            <w:tcW w:type="dxa" w:w="1440"/>
          </w:tcPr>
          <w:p>
            <w:pPr>
              <w:spacing w:after="0"/>
            </w:pPr>
            <w:r/>
            <w:r>
              <w:rPr>
                <w:sz w:val="16"/>
              </w:rPr>
              <w:t>0</w:t>
            </w:r>
          </w:p>
        </w:tc>
        <w:tc>
          <w:tcPr>
            <w:tcW w:type="dxa" w:w="1440"/>
          </w:tcPr>
          <w:p>
            <w:pPr>
              <w:spacing w:after="0"/>
            </w:pPr>
            <w:r/>
            <w:r>
              <w:rPr>
                <w:sz w:val="16"/>
              </w:rPr>
              <w:t>0</w:t>
            </w:r>
          </w:p>
        </w:tc>
        <w:tc>
          <w:tcPr>
            <w:tcW w:type="dxa" w:w="1440"/>
          </w:tcPr>
          <w:p>
            <w:pPr>
              <w:spacing w:after="0"/>
            </w:pPr>
            <w:r/>
            <w:r>
              <w:rPr>
                <w:sz w:val="16"/>
              </w:rPr>
              <w:t>−3.6</w:t>
            </w:r>
          </w:p>
        </w:tc>
        <w:tc>
          <w:tcPr>
            <w:tcW w:type="dxa" w:w="1440"/>
          </w:tcPr>
          <w:p>
            <w:pPr>
              <w:spacing w:after="0"/>
            </w:pPr>
            <w:r/>
            <w:r>
              <w:rPr>
                <w:sz w:val="16"/>
              </w:rPr>
              <w:t>−3.6</w:t>
            </w:r>
          </w:p>
        </w:tc>
        <w:tc>
          <w:tcPr>
            <w:tcW w:type="dxa" w:w="1440"/>
          </w:tcPr>
          <w:p>
            <w:pPr>
              <w:spacing w:after="0"/>
            </w:pPr>
            <w:r/>
            <w:r>
              <w:rPr>
                <w:sz w:val="16"/>
              </w:rPr>
              <w:t>−21.1</w:t>
            </w:r>
          </w:p>
        </w:tc>
      </w:tr>
      <w:tr>
        <w:tc>
          <w:tcPr>
            <w:tcW w:type="dxa" w:w="1440"/>
          </w:tcPr>
          <w:p>
            <w:pPr>
              <w:spacing w:after="0"/>
            </w:pPr>
            <w:r/>
            <w:r>
              <w:rPr>
                <w:sz w:val="16"/>
              </w:rPr>
              <w:t>CBAM obligation per unit, % FULL (NOPHASE)</w:t>
            </w:r>
          </w:p>
        </w:tc>
        <w:tc>
          <w:tcPr>
            <w:tcW w:type="dxa" w:w="1440"/>
          </w:tcPr>
          <w:p>
            <w:pPr>
              <w:spacing w:after="0"/>
            </w:pPr>
            <w:r/>
            <w:r>
              <w:rPr>
                <w:sz w:val="16"/>
              </w:rPr>
              <w:t>−42.9 (−22.3)</w:t>
            </w:r>
          </w:p>
        </w:tc>
        <w:tc>
          <w:tcPr>
            <w:tcW w:type="dxa" w:w="1440"/>
          </w:tcPr>
          <w:p>
            <w:pPr>
              <w:spacing w:after="0"/>
            </w:pPr>
            <w:r/>
            <w:r>
              <w:rPr>
                <w:sz w:val="16"/>
              </w:rPr>
              <w:t>−21.6 (−10.5)</w:t>
            </w:r>
          </w:p>
        </w:tc>
        <w:tc>
          <w:tcPr>
            <w:tcW w:type="dxa" w:w="1440"/>
          </w:tcPr>
          <w:p>
            <w:pPr>
              <w:spacing w:after="0"/>
            </w:pPr>
            <w:r/>
            <w:r>
              <w:rPr>
                <w:sz w:val="16"/>
              </w:rPr>
              <w:t>−21.6 (−10.5)</w:t>
            </w:r>
          </w:p>
        </w:tc>
        <w:tc>
          <w:tcPr>
            <w:tcW w:type="dxa" w:w="1440"/>
          </w:tcPr>
          <w:p>
            <w:pPr>
              <w:spacing w:after="0"/>
            </w:pPr>
            <w:r/>
            <w:r>
              <w:rPr>
                <w:sz w:val="16"/>
              </w:rPr>
              <w:t>−42.9 (−22.3)</w:t>
            </w:r>
          </w:p>
        </w:tc>
        <w:tc>
          <w:tcPr>
            <w:tcW w:type="dxa" w:w="1440"/>
          </w:tcPr>
          <w:p>
            <w:pPr>
              <w:spacing w:after="0"/>
            </w:pPr>
            <w:r/>
            <w:r>
              <w:rPr>
                <w:sz w:val="16"/>
              </w:rPr>
              <w:t>−2.9 (−2.9)</w:t>
            </w:r>
          </w:p>
        </w:tc>
        <w:tc>
          <w:tcPr>
            <w:tcW w:type="dxa" w:w="1440"/>
          </w:tcPr>
          <w:p>
            <w:pPr>
              <w:spacing w:after="0"/>
            </w:pPr>
            <w:r/>
            <w:r>
              <w:rPr>
                <w:sz w:val="16"/>
              </w:rPr>
              <w:t>−51.9 (−34.6)</w:t>
            </w:r>
          </w:p>
        </w:tc>
      </w:tr>
      <w:tr>
        <w:tc>
          <w:tcPr>
            <w:tcW w:type="dxa" w:w="1440"/>
          </w:tcPr>
          <w:p>
            <w:pPr>
              <w:spacing w:after="0"/>
            </w:pPr>
            <w:r/>
            <w:r>
              <w:rPr>
                <w:sz w:val="16"/>
              </w:rPr>
              <w:t>Revenue, USD bn</w:t>
            </w:r>
          </w:p>
        </w:tc>
        <w:tc>
          <w:tcPr>
            <w:tcW w:type="dxa" w:w="1440"/>
          </w:tcPr>
          <w:p>
            <w:pPr>
              <w:spacing w:after="0"/>
            </w:pPr>
            <w:r/>
            <w:r>
              <w:rPr>
                <w:sz w:val="16"/>
              </w:rPr>
              <w:t>6.89</w:t>
            </w:r>
          </w:p>
        </w:tc>
        <w:tc>
          <w:tcPr>
            <w:tcW w:type="dxa" w:w="1440"/>
          </w:tcPr>
          <w:p>
            <w:pPr>
              <w:spacing w:after="0"/>
            </w:pPr>
            <w:r/>
            <w:r>
              <w:rPr>
                <w:sz w:val="16"/>
              </w:rPr>
              <w:t>6.28</w:t>
            </w:r>
          </w:p>
        </w:tc>
        <w:tc>
          <w:tcPr>
            <w:tcW w:type="dxa" w:w="1440"/>
          </w:tcPr>
          <w:p>
            <w:pPr>
              <w:spacing w:after="0"/>
            </w:pPr>
            <w:r/>
            <w:r>
              <w:rPr>
                <w:sz w:val="16"/>
              </w:rPr>
              <w:t>6.24</w:t>
            </w:r>
          </w:p>
        </w:tc>
        <w:tc>
          <w:tcPr>
            <w:tcW w:type="dxa" w:w="1440"/>
          </w:tcPr>
          <w:p>
            <w:pPr>
              <w:spacing w:after="0"/>
            </w:pPr>
            <w:r/>
            <w:r>
              <w:rPr>
                <w:sz w:val="16"/>
              </w:rPr>
              <w:t>1.88</w:t>
            </w:r>
          </w:p>
        </w:tc>
        <w:tc>
          <w:tcPr>
            <w:tcW w:type="dxa" w:w="1440"/>
          </w:tcPr>
          <w:p>
            <w:pPr>
              <w:spacing w:after="0"/>
            </w:pPr>
            <w:r/>
            <w:r>
              <w:rPr>
                <w:sz w:val="16"/>
              </w:rPr>
              <w:t>0.98</w:t>
            </w:r>
          </w:p>
        </w:tc>
        <w:tc>
          <w:tcPr>
            <w:tcW w:type="dxa" w:w="1440"/>
          </w:tcPr>
          <w:p>
            <w:pPr>
              <w:spacing w:after="0"/>
            </w:pPr>
            <w:r/>
            <w:r>
              <w:rPr>
                <w:sz w:val="16"/>
              </w:rPr>
              <w:t>0.73</w:t>
            </w:r>
          </w:p>
        </w:tc>
      </w:tr>
      <w:tr>
        <w:tc>
          <w:tcPr>
            <w:tcW w:type="dxa" w:w="1440"/>
          </w:tcPr>
          <w:p>
            <w:pPr>
              <w:spacing w:after="0"/>
            </w:pPr>
            <w:r/>
            <w:r>
              <w:rPr>
                <w:sz w:val="16"/>
              </w:rPr>
              <w:t>Deaths avoided</w:t>
            </w:r>
          </w:p>
        </w:tc>
        <w:tc>
          <w:tcPr>
            <w:tcW w:type="dxa" w:w="1440"/>
          </w:tcPr>
          <w:p>
            <w:pPr>
              <w:spacing w:after="0"/>
            </w:pPr>
            <w:r/>
            <w:r>
              <w:rPr>
                <w:sz w:val="16"/>
              </w:rPr>
              <w:t>1,421</w:t>
            </w:r>
          </w:p>
        </w:tc>
        <w:tc>
          <w:tcPr>
            <w:tcW w:type="dxa" w:w="1440"/>
          </w:tcPr>
          <w:p>
            <w:pPr>
              <w:spacing w:after="0"/>
            </w:pPr>
            <w:r/>
            <w:r>
              <w:rPr>
                <w:sz w:val="16"/>
              </w:rPr>
              <w:t>1,421</w:t>
            </w:r>
          </w:p>
        </w:tc>
        <w:tc>
          <w:tcPr>
            <w:tcW w:type="dxa" w:w="1440"/>
          </w:tcPr>
          <w:p>
            <w:pPr>
              <w:spacing w:after="0"/>
            </w:pPr>
            <w:r/>
            <w:r>
              <w:rPr>
                <w:sz w:val="16"/>
              </w:rPr>
              <w:t>1,473</w:t>
            </w:r>
          </w:p>
        </w:tc>
        <w:tc>
          <w:tcPr>
            <w:tcW w:type="dxa" w:w="1440"/>
          </w:tcPr>
          <w:p>
            <w:pPr>
              <w:spacing w:after="0"/>
            </w:pPr>
            <w:r/>
            <w:r>
              <w:rPr>
                <w:sz w:val="16"/>
              </w:rPr>
              <w:t>816</w:t>
            </w:r>
          </w:p>
        </w:tc>
        <w:tc>
          <w:tcPr>
            <w:tcW w:type="dxa" w:w="1440"/>
          </w:tcPr>
          <w:p>
            <w:pPr>
              <w:spacing w:after="0"/>
            </w:pPr>
            <w:r/>
            <w:r>
              <w:rPr>
                <w:sz w:val="16"/>
              </w:rPr>
              <w:t>746</w:t>
            </w:r>
          </w:p>
        </w:tc>
        <w:tc>
          <w:tcPr>
            <w:tcW w:type="dxa" w:w="1440"/>
          </w:tcPr>
          <w:p>
            <w:pPr>
              <w:spacing w:after="0"/>
            </w:pPr>
            <w:r/>
            <w:r>
              <w:rPr>
                <w:sz w:val="16"/>
              </w:rPr>
              <w:t>985</w:t>
            </w:r>
          </w:p>
        </w:tc>
      </w:tr>
    </w:tbl>
    <w:p/>
    <w:p>
      <w:r>
        <w:rPr>
          <w:b/>
        </w:rPr>
        <w:t>Prototype vs rebuild.</w:t>
      </w:r>
      <w:r>
        <w:t xml:space="preserve"> Within about 2.4 Mt for 1A–2B and 4 Mt for 3A/3B. The process response is common; the remaining gap is the data-vintage mix in the composition (≈ 1.9 Mt at κ = 1, ≈ 3.5 Mt for EG3 after 1/κ) plus the fixed block fuel intensity, which also makes intensity N smaller. 3C is larger (−32.9 vs −30.6 Mt) because the fund buys block process abatement at the solved shadow price; its net revenue (0.73) is the non-block industry revenue, which the rebuild sends to the fund instead (convention difference).</w:t>
      </w:r>
    </w:p>
    <w:p>
      <w:r>
        <w:t>---</w:t>
      </w:r>
    </w:p>
    <w:p>
      <w:pPr>
        <w:pStyle w:val="Heading2"/>
      </w:pPr>
      <w:r>
        <w:t>6. Implementation: the CPAT industry kernel</w:t>
      </w:r>
    </w:p>
    <w:p>
      <w:r>
        <w:rPr>
          <w:rFonts w:ascii="Consolas" w:hAnsi="Consolas" w:eastAsia="Consolas"/>
        </w:rPr>
        <w:t>cpat_excel_new\standalone_working_version\CPAT_Industry_Kernel_Egypt_v1.0.xlsx</w:t>
      </w:r>
      <w:r>
        <w:t xml:space="preserve"> (final release; </w:t>
      </w:r>
      <w:r>
        <w:rPr>
          <w:rFonts w:ascii="Consolas" w:hAnsi="Consolas" w:eastAsia="Consolas"/>
        </w:rPr>
        <w:t>build_v1_0.py</w:t>
      </w:r>
      <w:r>
        <w:t xml:space="preserve"> relabels v0.17, which is v0.16 + sheet </w:t>
      </w:r>
      <w:r>
        <w:rPr>
          <w:rFonts w:ascii="Consolas" w:hAnsi="Consolas" w:eastAsia="Consolas"/>
        </w:rPr>
        <w:t>CarveOut_Table2</w:t>
      </w:r>
      <w:r>
        <w:t xml:space="preserve">; earlier versions and builders in </w:t>
      </w:r>
      <w:r>
        <w:rPr>
          <w:rFonts w:ascii="Consolas" w:hAnsi="Consolas" w:eastAsia="Consolas"/>
        </w:rPr>
        <w:t>Old\</w:t>
      </w:r>
      <w:r>
        <w:t>). Each increment adds one task, has its own builder, and must pass a zero-difference regression against the previous version and against legacy CPAT (</w:t>
      </w:r>
      <w:r>
        <w:rPr>
          <w:rFonts w:ascii="Consolas" w:hAnsi="Consolas" w:eastAsia="Consolas"/>
        </w:rPr>
        <w:t>Check</w:t>
      </w:r>
      <w:r>
        <w:t xml:space="preserve"> sheet).</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Version</w:t>
            </w:r>
          </w:p>
        </w:tc>
        <w:tc>
          <w:tcPr>
            <w:tcW w:type="dxa" w:w="3360"/>
          </w:tcPr>
          <w:p>
            <w:pPr>
              <w:spacing w:after="0"/>
            </w:pPr>
            <w:r>
              <w:rPr>
                <w:b/>
              </w:rPr>
            </w:r>
            <w:r>
              <w:rPr>
                <w:b/>
                <w:sz w:val="16"/>
              </w:rPr>
              <w:t>Task</w:t>
            </w:r>
          </w:p>
        </w:tc>
        <w:tc>
          <w:tcPr>
            <w:tcW w:type="dxa" w:w="3360"/>
          </w:tcPr>
          <w:p>
            <w:pPr>
              <w:spacing w:after="0"/>
            </w:pPr>
            <w:r>
              <w:rPr>
                <w:b/>
              </w:rPr>
            </w:r>
            <w:r>
              <w:rPr>
                <w:b/>
                <w:sz w:val="16"/>
              </w:rPr>
              <w:t>Content</w:t>
            </w:r>
          </w:p>
        </w:tc>
      </w:tr>
      <w:tr>
        <w:tc>
          <w:tcPr>
            <w:tcW w:type="dxa" w:w="3360"/>
          </w:tcPr>
          <w:p>
            <w:pPr>
              <w:spacing w:after="0"/>
            </w:pPr>
            <w:r/>
            <w:r>
              <w:rPr>
                <w:sz w:val="16"/>
              </w:rPr>
              <w:t>v0.1–v0.2</w:t>
            </w:r>
          </w:p>
        </w:tc>
        <w:tc>
          <w:tcPr>
            <w:tcW w:type="dxa" w:w="3360"/>
          </w:tcPr>
          <w:p>
            <w:pPr>
              <w:spacing w:after="0"/>
            </w:pPr>
            <w:r/>
            <w:r>
              <w:rPr>
                <w:sz w:val="16"/>
              </w:rPr>
              <w:t>—</w:t>
            </w:r>
          </w:p>
        </w:tc>
        <w:tc>
          <w:tcPr>
            <w:tcW w:type="dxa" w:w="3360"/>
          </w:tcPr>
          <w:p>
            <w:pPr>
              <w:spacing w:after="0"/>
            </w:pPr>
            <w:r/>
            <w:r>
              <w:rPr>
                <w:sz w:val="16"/>
              </w:rPr>
              <w:t>Industry kernel; conformed to NORMS (MTInputs layout, colours)</w:t>
            </w:r>
          </w:p>
        </w:tc>
      </w:tr>
      <w:tr>
        <w:tc>
          <w:tcPr>
            <w:tcW w:type="dxa" w:w="3360"/>
          </w:tcPr>
          <w:p>
            <w:pPr>
              <w:spacing w:after="0"/>
            </w:pPr>
            <w:r/>
            <w:r>
              <w:rPr>
                <w:sz w:val="16"/>
              </w:rPr>
              <w:t>v0.3</w:t>
            </w:r>
          </w:p>
        </w:tc>
        <w:tc>
          <w:tcPr>
            <w:tcW w:type="dxa" w:w="3360"/>
          </w:tcPr>
          <w:p>
            <w:pPr>
              <w:spacing w:after="0"/>
            </w:pPr>
            <w:r/>
            <w:r>
              <w:rPr>
                <w:sz w:val="16"/>
              </w:rPr>
              <w:t>TASK-1</w:t>
            </w:r>
          </w:p>
        </w:tc>
        <w:tc>
          <w:tcPr>
            <w:tcW w:type="dxa" w:w="3360"/>
          </w:tcPr>
          <w:p>
            <w:pPr>
              <w:spacing w:after="0"/>
            </w:pPr>
            <w:r/>
            <w:r>
              <w:rPr>
                <w:sz w:val="16"/>
              </w:rPr>
              <w:t xml:space="preserve">CBAM block (legacy rows 12198–12353) after each scenario; </w:t>
            </w:r>
            <w:r>
              <w:rPr>
                <w:rFonts w:ascii="Consolas" w:hAnsi="Consolas" w:eastAsia="Consolas"/>
                <w:sz w:val="16"/>
              </w:rPr>
              <w:t>Manual inputs</w:t>
            </w:r>
            <w:r>
              <w:rPr>
                <w:sz w:val="16"/>
              </w:rPr>
              <w:t xml:space="preserve"> rows 18–47</w:t>
            </w:r>
          </w:p>
        </w:tc>
      </w:tr>
      <w:tr>
        <w:tc>
          <w:tcPr>
            <w:tcW w:type="dxa" w:w="3360"/>
          </w:tcPr>
          <w:p>
            <w:pPr>
              <w:spacing w:after="0"/>
            </w:pPr>
            <w:r/>
            <w:r>
              <w:rPr>
                <w:sz w:val="16"/>
              </w:rPr>
              <w:t>v0.4</w:t>
            </w:r>
          </w:p>
        </w:tc>
        <w:tc>
          <w:tcPr>
            <w:tcW w:type="dxa" w:w="3360"/>
          </w:tcPr>
          <w:p>
            <w:pPr>
              <w:spacing w:after="0"/>
            </w:pPr>
            <w:r/>
            <w:r>
              <w:rPr>
                <w:sz w:val="16"/>
              </w:rPr>
              <w:t>E</w:t>
            </w:r>
          </w:p>
        </w:tc>
        <w:tc>
          <w:tcPr>
            <w:tcW w:type="dxa" w:w="3360"/>
          </w:tcPr>
          <w:p>
            <w:pPr>
              <w:spacing w:after="0"/>
            </w:pPr>
            <w:r/>
            <w:r>
              <w:rPr>
                <w:rFonts w:ascii="Consolas" w:hAnsi="Consolas" w:eastAsia="Consolas"/>
                <w:sz w:val="16"/>
              </w:rPr>
              <w:t>Scenarios</w:t>
            </w:r>
            <w:r>
              <w:rPr>
                <w:sz w:val="16"/>
              </w:rPr>
              <w:t xml:space="preserve"> sheet: price paths (FLAT20_2028, RAMP_EG3, …) and bundles LEGACY, 1A–3C</w:t>
            </w:r>
          </w:p>
        </w:tc>
      </w:tr>
      <w:tr>
        <w:tc>
          <w:tcPr>
            <w:tcW w:type="dxa" w:w="3360"/>
          </w:tcPr>
          <w:p>
            <w:pPr>
              <w:spacing w:after="0"/>
            </w:pPr>
            <w:r/>
            <w:r>
              <w:rPr>
                <w:sz w:val="16"/>
              </w:rPr>
              <w:t>v0.5</w:t>
            </w:r>
          </w:p>
        </w:tc>
        <w:tc>
          <w:tcPr>
            <w:tcW w:type="dxa" w:w="3360"/>
          </w:tcPr>
          <w:p>
            <w:pPr>
              <w:spacing w:after="0"/>
            </w:pPr>
            <w:r/>
            <w:r>
              <w:rPr>
                <w:sz w:val="16"/>
              </w:rPr>
              <w:t>A</w:t>
            </w:r>
          </w:p>
        </w:tc>
        <w:tc>
          <w:tcPr>
            <w:tcW w:type="dxa" w:w="3360"/>
          </w:tcPr>
          <w:p>
            <w:pPr>
              <w:spacing w:after="0"/>
            </w:pPr>
            <w:r/>
            <w:r>
              <w:rPr>
                <w:sz w:val="16"/>
              </w:rPr>
              <w:t>Unique output codes for fuel and process rows; revenue rows corrected (post-policy emissions, correct flags, fuel revenue included)</w:t>
            </w:r>
          </w:p>
        </w:tc>
      </w:tr>
      <w:tr>
        <w:tc>
          <w:tcPr>
            <w:tcW w:type="dxa" w:w="3360"/>
          </w:tcPr>
          <w:p>
            <w:pPr>
              <w:spacing w:after="0"/>
            </w:pPr>
            <w:r/>
            <w:r>
              <w:rPr>
                <w:sz w:val="16"/>
              </w:rPr>
              <w:t>v0.6</w:t>
            </w:r>
          </w:p>
        </w:tc>
        <w:tc>
          <w:tcPr>
            <w:tcW w:type="dxa" w:w="3360"/>
          </w:tcPr>
          <w:p>
            <w:pPr>
              <w:spacing w:after="0"/>
            </w:pPr>
            <w:r/>
            <w:r>
              <w:rPr>
                <w:sz w:val="16"/>
              </w:rPr>
              <w:t>B</w:t>
            </w:r>
          </w:p>
        </w:tc>
        <w:tc>
          <w:tcPr>
            <w:tcW w:type="dxa" w:w="3360"/>
          </w:tcPr>
          <w:p>
            <w:pPr>
              <w:spacing w:after="0"/>
            </w:pPr>
            <w:r/>
            <w:r>
              <w:rPr>
                <w:sz w:val="16"/>
              </w:rPr>
              <w:t>Four-way EF split with a coverage switch per bundle and category</w:t>
            </w:r>
          </w:p>
        </w:tc>
      </w:tr>
      <w:tr>
        <w:tc>
          <w:tcPr>
            <w:tcW w:type="dxa" w:w="3360"/>
          </w:tcPr>
          <w:p>
            <w:pPr>
              <w:spacing w:after="0"/>
            </w:pPr>
            <w:r/>
            <w:r>
              <w:rPr>
                <w:sz w:val="16"/>
              </w:rPr>
              <w:t>v0.7</w:t>
            </w:r>
          </w:p>
        </w:tc>
        <w:tc>
          <w:tcPr>
            <w:tcW w:type="dxa" w:w="3360"/>
          </w:tcPr>
          <w:p>
            <w:pPr>
              <w:spacing w:after="0"/>
            </w:pPr>
            <w:r/>
            <w:r>
              <w:rPr>
                <w:sz w:val="16"/>
              </w:rPr>
              <w:t>C</w:t>
            </w:r>
          </w:p>
        </w:tc>
        <w:tc>
          <w:tcPr>
            <w:tcW w:type="dxa" w:w="3360"/>
          </w:tcPr>
          <w:p>
            <w:pPr>
              <w:spacing w:after="0"/>
            </w:pPr>
            <w:r/>
            <w:r>
              <w:rPr>
                <w:sz w:val="16"/>
              </w:rPr>
              <w:t xml:space="preserve">Process emissions priced at the process path </w:t>
            </w:r>
            <w:r>
              <w:rPr>
                <w:rFonts w:ascii="Consolas" w:hAnsi="Consolas" w:eastAsia="Consolas"/>
                <w:sz w:val="16"/>
              </w:rPr>
              <w:t>pptraj</w:t>
            </w:r>
          </w:p>
        </w:tc>
      </w:tr>
      <w:tr>
        <w:tc>
          <w:tcPr>
            <w:tcW w:type="dxa" w:w="3360"/>
          </w:tcPr>
          <w:p>
            <w:pPr>
              <w:spacing w:after="0"/>
            </w:pPr>
            <w:r/>
            <w:r>
              <w:rPr>
                <w:sz w:val="16"/>
              </w:rPr>
              <w:t>v0.8</w:t>
            </w:r>
          </w:p>
        </w:tc>
        <w:tc>
          <w:tcPr>
            <w:tcW w:type="dxa" w:w="3360"/>
          </w:tcPr>
          <w:p>
            <w:pPr>
              <w:spacing w:after="0"/>
            </w:pPr>
            <w:r/>
            <w:r>
              <w:rPr>
                <w:sz w:val="16"/>
              </w:rPr>
              <w:t>K</w:t>
            </w:r>
          </w:p>
        </w:tc>
        <w:tc>
          <w:tcPr>
            <w:tcW w:type="dxa" w:w="3360"/>
          </w:tcPr>
          <w:p>
            <w:pPr>
              <w:spacing w:after="0"/>
            </w:pPr>
            <w:r/>
            <w:r>
              <w:rPr>
                <w:sz w:val="16"/>
              </w:rPr>
              <w:t>CBAM coverage and intensity metrics (cbcov, cbint, cbintch, cbintchx, cbcovx)</w:t>
            </w:r>
          </w:p>
        </w:tc>
      </w:tr>
      <w:tr>
        <w:tc>
          <w:tcPr>
            <w:tcW w:type="dxa" w:w="3360"/>
          </w:tcPr>
          <w:p>
            <w:pPr>
              <w:spacing w:after="0"/>
            </w:pPr>
            <w:r/>
            <w:r>
              <w:rPr>
                <w:sz w:val="16"/>
              </w:rPr>
              <w:t>v0.9</w:t>
            </w:r>
          </w:p>
        </w:tc>
        <w:tc>
          <w:tcPr>
            <w:tcW w:type="dxa" w:w="3360"/>
          </w:tcPr>
          <w:p>
            <w:pPr>
              <w:spacing w:after="0"/>
            </w:pPr>
            <w:r/>
            <w:r>
              <w:rPr>
                <w:sz w:val="16"/>
              </w:rPr>
              <w:t>D (scaffold)</w:t>
            </w:r>
          </w:p>
        </w:tc>
        <w:tc>
          <w:tcPr>
            <w:tcW w:type="dxa" w:w="3360"/>
          </w:tcPr>
          <w:p>
            <w:pPr>
              <w:spacing w:after="0"/>
            </w:pPr>
            <w:r/>
            <w:r>
              <w:rPr>
                <w:sz w:val="16"/>
              </w:rPr>
              <w:t xml:space="preserve">Process semi-elasticities by product and category (np, no) with ER_max; selector </w:t>
            </w:r>
            <w:r>
              <w:rPr>
                <w:rFonts w:ascii="Consolas" w:hAnsi="Consolas" w:eastAsia="Consolas"/>
                <w:sz w:val="16"/>
              </w:rPr>
              <w:t>E50</w:t>
            </w:r>
            <w:r>
              <w:rPr>
                <w:sz w:val="16"/>
              </w:rPr>
              <w:t>. Values were placeholders; IPCC values loaded in v0.15</w:t>
            </w:r>
          </w:p>
        </w:tc>
      </w:tr>
      <w:tr>
        <w:tc>
          <w:tcPr>
            <w:tcW w:type="dxa" w:w="3360"/>
          </w:tcPr>
          <w:p>
            <w:pPr>
              <w:spacing w:after="0"/>
            </w:pPr>
            <w:r/>
            <w:r>
              <w:rPr>
                <w:sz w:val="16"/>
              </w:rPr>
              <w:t>v0.10</w:t>
            </w:r>
          </w:p>
        </w:tc>
        <w:tc>
          <w:tcPr>
            <w:tcW w:type="dxa" w:w="3360"/>
          </w:tcPr>
          <w:p>
            <w:pPr>
              <w:spacing w:after="0"/>
            </w:pPr>
            <w:r/>
            <w:r>
              <w:rPr>
                <w:sz w:val="16"/>
              </w:rPr>
              <w:t>H</w:t>
            </w:r>
          </w:p>
        </w:tc>
        <w:tc>
          <w:tcPr>
            <w:tcW w:type="dxa" w:w="3360"/>
          </w:tcPr>
          <w:p>
            <w:pPr>
              <w:spacing w:after="0"/>
            </w:pPr>
            <w:r/>
            <w:r>
              <w:rPr>
                <w:sz w:val="16"/>
              </w:rPr>
              <w:t>Output responds to the net cost increase (ε_Q placeholder −0.5)</w:t>
            </w:r>
          </w:p>
        </w:tc>
      </w:tr>
      <w:tr>
        <w:tc>
          <w:tcPr>
            <w:tcW w:type="dxa" w:w="3360"/>
          </w:tcPr>
          <w:p>
            <w:pPr>
              <w:spacing w:after="0"/>
            </w:pPr>
            <w:r/>
            <w:r>
              <w:rPr>
                <w:sz w:val="16"/>
              </w:rPr>
              <w:t>v0.11</w:t>
            </w:r>
          </w:p>
        </w:tc>
        <w:tc>
          <w:tcPr>
            <w:tcW w:type="dxa" w:w="3360"/>
          </w:tcPr>
          <w:p>
            <w:pPr>
              <w:spacing w:after="0"/>
            </w:pPr>
            <w:r/>
            <w:r>
              <w:rPr>
                <w:sz w:val="16"/>
              </w:rPr>
              <w:t>L</w:t>
            </w:r>
          </w:p>
        </w:tc>
        <w:tc>
          <w:tcPr>
            <w:tcW w:type="dxa" w:w="3360"/>
          </w:tcPr>
          <w:p>
            <w:pPr>
              <w:spacing w:after="0"/>
            </w:pPr>
            <w:r/>
            <w:r>
              <w:rPr>
                <w:sz w:val="16"/>
              </w:rPr>
              <w:t>CBAM obligations (EU price, phase-in, deduction convention)</w:t>
            </w:r>
          </w:p>
        </w:tc>
      </w:tr>
      <w:tr>
        <w:tc>
          <w:tcPr>
            <w:tcW w:type="dxa" w:w="3360"/>
          </w:tcPr>
          <w:p>
            <w:pPr>
              <w:spacing w:after="0"/>
            </w:pPr>
            <w:r/>
            <w:r>
              <w:rPr>
                <w:sz w:val="16"/>
              </w:rPr>
              <w:t>v0.12</w:t>
            </w:r>
          </w:p>
        </w:tc>
        <w:tc>
          <w:tcPr>
            <w:tcW w:type="dxa" w:w="3360"/>
          </w:tcPr>
          <w:p>
            <w:pPr>
              <w:spacing w:after="0"/>
            </w:pPr>
            <w:r/>
            <w:r>
              <w:rPr>
                <w:sz w:val="16"/>
              </w:rPr>
              <w:t>F, I, J (merged)</w:t>
            </w:r>
          </w:p>
        </w:tc>
        <w:tc>
          <w:tcPr>
            <w:tcW w:type="dxa" w:w="3360"/>
          </w:tcPr>
          <w:p>
            <w:pPr>
              <w:spacing w:after="0"/>
            </w:pPr>
            <w:r/>
            <w:r>
              <w:rPr>
                <w:rFonts w:ascii="Consolas" w:hAnsi="Consolas" w:eastAsia="Consolas"/>
                <w:sz w:val="16"/>
              </w:rPr>
              <w:t>Data_EF</w:t>
            </w:r>
            <w:r>
              <w:rPr>
                <w:sz w:val="16"/>
              </w:rPr>
              <w:t xml:space="preserve">, </w:t>
            </w:r>
            <w:r>
              <w:rPr>
                <w:rFonts w:ascii="Consolas" w:hAnsi="Consolas" w:eastAsia="Consolas"/>
                <w:sz w:val="16"/>
              </w:rPr>
              <w:t>Emissions_Industry</w:t>
            </w:r>
            <w:r>
              <w:rPr>
                <w:sz w:val="16"/>
              </w:rPr>
              <w:t xml:space="preserve"> (energy CO₂), </w:t>
            </w:r>
            <w:r>
              <w:rPr>
                <w:rFonts w:ascii="Consolas" w:hAnsi="Consolas" w:eastAsia="Consolas"/>
                <w:sz w:val="16"/>
              </w:rPr>
              <w:t>Rebate_Industry</w:t>
            </w:r>
            <w:r>
              <w:rPr>
                <w:sz w:val="16"/>
              </w:rPr>
              <w:t xml:space="preserve"> (output-based rebate), </w:t>
            </w:r>
            <w:r>
              <w:rPr>
                <w:rFonts w:ascii="Consolas" w:hAnsi="Consolas" w:eastAsia="Consolas"/>
                <w:sz w:val="16"/>
              </w:rPr>
              <w:t>Fund_Industry</w:t>
            </w:r>
            <w:r>
              <w:rPr>
                <w:sz w:val="16"/>
              </w:rPr>
              <w:t xml:space="preserve"> (fund to shadow price)</w:t>
            </w:r>
          </w:p>
        </w:tc>
      </w:tr>
      <w:tr>
        <w:tc>
          <w:tcPr>
            <w:tcW w:type="dxa" w:w="3360"/>
          </w:tcPr>
          <w:p>
            <w:pPr>
              <w:spacing w:after="0"/>
            </w:pPr>
            <w:r/>
            <w:r>
              <w:rPr>
                <w:sz w:val="16"/>
              </w:rPr>
              <w:t>v0.13</w:t>
            </w:r>
          </w:p>
        </w:tc>
        <w:tc>
          <w:tcPr>
            <w:tcW w:type="dxa" w:w="3360"/>
          </w:tcPr>
          <w:p>
            <w:pPr>
              <w:spacing w:after="0"/>
            </w:pPr>
            <w:r/>
            <w:r>
              <w:rPr>
                <w:sz w:val="16"/>
              </w:rPr>
              <w:t>G</w:t>
            </w:r>
          </w:p>
        </w:tc>
        <w:tc>
          <w:tcPr>
            <w:tcW w:type="dxa" w:w="3360"/>
          </w:tcPr>
          <w:p>
            <w:pPr>
              <w:spacing w:after="0"/>
            </w:pPr>
            <w:r/>
            <w:r>
              <w:rPr>
                <w:rFonts w:ascii="Consolas" w:hAnsi="Consolas" w:eastAsia="Consolas"/>
                <w:sz w:val="16"/>
              </w:rPr>
              <w:t>IPPU_Industry</w:t>
            </w:r>
            <w:r>
              <w:rPr>
                <w:sz w:val="16"/>
              </w:rPr>
              <w:t xml:space="preserve">: CPAT IPPU row replaced by block np + no (+ fp flagged as IPPU, e.g. ammonia); switch </w:t>
            </w:r>
            <w:r>
              <w:rPr>
                <w:rFonts w:ascii="Consolas" w:hAnsi="Consolas" w:eastAsia="Consolas"/>
                <w:sz w:val="16"/>
              </w:rPr>
              <w:t>IppuOther</w:t>
            </w:r>
            <w:r>
              <w:rPr>
                <w:sz w:val="16"/>
              </w:rPr>
              <w:t>; sector fuel-CO₂ reconciliation. Report only</w:t>
            </w:r>
          </w:p>
        </w:tc>
      </w:tr>
      <w:tr>
        <w:tc>
          <w:tcPr>
            <w:tcW w:type="dxa" w:w="3360"/>
          </w:tcPr>
          <w:p>
            <w:pPr>
              <w:spacing w:after="0"/>
            </w:pPr>
            <w:r/>
            <w:r>
              <w:rPr>
                <w:sz w:val="16"/>
              </w:rPr>
              <w:t>v0.14</w:t>
            </w:r>
          </w:p>
        </w:tc>
        <w:tc>
          <w:tcPr>
            <w:tcW w:type="dxa" w:w="3360"/>
          </w:tcPr>
          <w:p>
            <w:pPr>
              <w:spacing w:after="0"/>
            </w:pPr>
            <w:r/>
            <w:r>
              <w:rPr>
                <w:sz w:val="16"/>
              </w:rPr>
              <w:t>M</w:t>
            </w:r>
          </w:p>
        </w:tc>
        <w:tc>
          <w:tcPr>
            <w:tcW w:type="dxa" w:w="3360"/>
          </w:tcPr>
          <w:p>
            <w:pPr>
              <w:spacing w:after="0"/>
            </w:pPr>
            <w:r/>
            <w:r>
              <w:rPr>
                <w:rFonts w:ascii="Consolas" w:hAnsi="Consolas" w:eastAsia="Consolas"/>
                <w:sz w:val="16"/>
              </w:rPr>
              <w:t>CPAT_National</w:t>
            </w:r>
            <w:r>
              <w:rPr>
                <w:sz w:val="16"/>
              </w:rPr>
              <w:t xml:space="preserve">, </w:t>
            </w:r>
            <w:r>
              <w:rPr>
                <w:rFonts w:ascii="Consolas" w:hAnsi="Consolas" w:eastAsia="Consolas"/>
                <w:sz w:val="16"/>
              </w:rPr>
              <w:t>Table2_Industry</w:t>
            </w:r>
            <w:r>
              <w:rPr>
                <w:sz w:val="16"/>
              </w:rPr>
              <w:t>: links to main CPAT and Table 2 assembly (composition in deltas; stored 2030 snapshot)</w:t>
            </w:r>
          </w:p>
        </w:tc>
      </w:tr>
      <w:tr>
        <w:tc>
          <w:tcPr>
            <w:tcW w:type="dxa" w:w="3360"/>
          </w:tcPr>
          <w:p>
            <w:pPr>
              <w:spacing w:after="0"/>
            </w:pPr>
            <w:r/>
            <w:r>
              <w:rPr>
                <w:sz w:val="16"/>
              </w:rPr>
              <w:t>v0.15</w:t>
            </w:r>
          </w:p>
        </w:tc>
        <w:tc>
          <w:tcPr>
            <w:tcW w:type="dxa" w:w="3360"/>
          </w:tcPr>
          <w:p>
            <w:pPr>
              <w:spacing w:after="0"/>
            </w:pPr>
            <w:r/>
            <w:r>
              <w:rPr>
                <w:sz w:val="16"/>
              </w:rPr>
              <w:t>T1 + T5</w:t>
            </w:r>
          </w:p>
        </w:tc>
        <w:tc>
          <w:tcPr>
            <w:tcW w:type="dxa" w:w="3360"/>
          </w:tcPr>
          <w:p>
            <w:pPr>
              <w:spacing w:after="0"/>
            </w:pPr>
            <w:r/>
            <w:r>
              <w:rPr>
                <w:sz w:val="16"/>
              </w:rPr>
              <w:t xml:space="preserve">Egypt CBAM EF v0.1 in </w:t>
            </w:r>
            <w:r>
              <w:rPr>
                <w:rFonts w:ascii="Consolas" w:hAnsi="Consolas" w:eastAsia="Consolas"/>
                <w:sz w:val="16"/>
              </w:rPr>
              <w:t>Manual inputs</w:t>
            </w:r>
            <w:r>
              <w:rPr>
                <w:sz w:val="16"/>
              </w:rPr>
              <w:t xml:space="preserve"> H30:K37; Task D IPCC β in rows 53–60 (</w:t>
            </w:r>
            <w:r>
              <w:rPr>
                <w:rFonts w:ascii="Consolas" w:hAnsi="Consolas" w:eastAsia="Consolas"/>
                <w:sz w:val="16"/>
              </w:rPr>
              <w:t>E50</w:t>
            </w:r>
            <w:r>
              <w:rPr>
                <w:sz w:val="16"/>
              </w:rPr>
              <w:t xml:space="preserve"> = IPCC); fix of the non-CO₂ process rows (o15/o16)</w:t>
            </w:r>
          </w:p>
        </w:tc>
      </w:tr>
      <w:tr>
        <w:tc>
          <w:tcPr>
            <w:tcW w:type="dxa" w:w="3360"/>
          </w:tcPr>
          <w:p>
            <w:pPr>
              <w:spacing w:after="0"/>
            </w:pPr>
            <w:r/>
            <w:r>
              <w:rPr>
                <w:sz w:val="16"/>
              </w:rPr>
              <w:t>v0.16</w:t>
            </w:r>
          </w:p>
        </w:tc>
        <w:tc>
          <w:tcPr>
            <w:tcW w:type="dxa" w:w="3360"/>
          </w:tcPr>
          <w:p>
            <w:pPr>
              <w:spacing w:after="0"/>
            </w:pPr>
            <w:r/>
            <w:r>
              <w:rPr>
                <w:sz w:val="16"/>
              </w:rPr>
              <w:t>Run 2 fixes</w:t>
            </w:r>
          </w:p>
        </w:tc>
        <w:tc>
          <w:tcPr>
            <w:tcW w:type="dxa" w:w="3360"/>
          </w:tcPr>
          <w:p>
            <w:pPr>
              <w:spacing w:after="0"/>
            </w:pPr>
            <w:r/>
            <w:r>
              <w:rPr>
                <w:sz w:val="16"/>
              </w:rPr>
              <w:t xml:space="preserve">P* = 122 (USD2024); </w:t>
            </w:r>
            <w:r>
              <w:rPr>
                <w:rFonts w:ascii="Consolas" w:hAnsi="Consolas" w:eastAsia="Consolas"/>
                <w:sz w:val="16"/>
              </w:rPr>
              <w:t>Table2_Industry</w:t>
            </w:r>
            <w:r>
              <w:rPr>
                <w:sz w:val="16"/>
              </w:rPr>
              <w:t xml:space="preserve"> κ row 54, EG3 1/κ scaling (rows 64, 84, 91, 94, 96), block fuel CO₂ reallocation (rows 59–60); </w:t>
            </w:r>
            <w:r>
              <w:rPr>
                <w:rFonts w:ascii="Consolas" w:hAnsi="Consolas" w:eastAsia="Consolas"/>
                <w:sz w:val="16"/>
              </w:rPr>
              <w:t>Fund_Industry</w:t>
            </w:r>
            <w:r>
              <w:rPr>
                <w:sz w:val="16"/>
              </w:rPr>
              <w:t xml:space="preserve"> stored fixed-point fund (rows 425–433) capped at post-abatement revenue; new Check section</w:t>
            </w:r>
          </w:p>
        </w:tc>
      </w:tr>
      <w:tr>
        <w:tc>
          <w:tcPr>
            <w:tcW w:type="dxa" w:w="3360"/>
          </w:tcPr>
          <w:p>
            <w:pPr>
              <w:spacing w:after="0"/>
            </w:pPr>
            <w:r/>
            <w:r>
              <w:rPr>
                <w:sz w:val="16"/>
              </w:rPr>
              <w:t>v0.17</w:t>
            </w:r>
          </w:p>
        </w:tc>
        <w:tc>
          <w:tcPr>
            <w:tcW w:type="dxa" w:w="3360"/>
          </w:tcPr>
          <w:p>
            <w:pPr>
              <w:spacing w:after="0"/>
            </w:pPr>
            <w:r/>
            <w:r>
              <w:rPr>
                <w:sz w:val="16"/>
              </w:rPr>
              <w:t>Final Table 2</w:t>
            </w:r>
          </w:p>
        </w:tc>
        <w:tc>
          <w:tcPr>
            <w:tcW w:type="dxa" w:w="3360"/>
          </w:tcPr>
          <w:p>
            <w:pPr>
              <w:spacing w:after="0"/>
            </w:pPr>
            <w:r/>
            <w:r>
              <w:rPr>
                <w:sz w:val="16"/>
              </w:rPr>
              <w:t xml:space="preserve">Sheet </w:t>
            </w:r>
            <w:r>
              <w:rPr>
                <w:rFonts w:ascii="Consolas" w:hAnsi="Consolas" w:eastAsia="Consolas"/>
                <w:sz w:val="16"/>
              </w:rPr>
              <w:t>CarveOut_Table2</w:t>
            </w:r>
            <w:r>
              <w:rPr>
                <w:sz w:val="16"/>
              </w:rPr>
              <w:t>: CBAM carve-out in live formulas (active bundle) plus stored 6-bundle snapshot and check; no other formulas changed</w:t>
            </w:r>
          </w:p>
        </w:tc>
      </w:tr>
      <w:tr>
        <w:tc>
          <w:tcPr>
            <w:tcW w:type="dxa" w:w="3360"/>
          </w:tcPr>
          <w:p>
            <w:pPr>
              <w:spacing w:after="0"/>
            </w:pPr>
            <w:r/>
            <w:r>
              <w:rPr>
                <w:sz w:val="16"/>
              </w:rPr>
              <w:t>v1.0</w:t>
            </w:r>
          </w:p>
        </w:tc>
        <w:tc>
          <w:tcPr>
            <w:tcW w:type="dxa" w:w="3360"/>
          </w:tcPr>
          <w:p>
            <w:pPr>
              <w:spacing w:after="0"/>
            </w:pPr>
            <w:r/>
            <w:r>
              <w:rPr>
                <w:sz w:val="16"/>
              </w:rPr>
              <w:t>Release</w:t>
            </w:r>
          </w:p>
        </w:tc>
        <w:tc>
          <w:tcPr>
            <w:tcW w:type="dxa" w:w="3360"/>
          </w:tcPr>
          <w:p>
            <w:pPr>
              <w:spacing w:after="0"/>
            </w:pPr>
            <w:r/>
            <w:r>
              <w:rPr>
                <w:sz w:val="16"/>
              </w:rPr>
              <w:t>v0.17 relabelled as the final release; no formula or value changes</w:t>
            </w:r>
          </w:p>
        </w:tc>
      </w:tr>
    </w:tbl>
    <w:p/>
    <w:p>
      <w:r>
        <w:rPr>
          <w:b/>
        </w:rPr>
        <w:t>Audit-trail rules</w:t>
      </w:r>
      <w:r>
        <w:t xml:space="preserve"> (</w:t>
      </w:r>
      <w:r>
        <w:rPr>
          <w:rFonts w:ascii="Consolas" w:hAnsi="Consolas" w:eastAsia="Consolas"/>
        </w:rPr>
        <w:t>NORMS.md</w:t>
      </w:r>
      <w:r>
        <w:t>):</w:t>
      </w:r>
    </w:p>
    <w:p>
      <w:pPr>
        <w:pStyle w:val="ListBullet"/>
      </w:pPr>
      <w:r>
        <w:t>legacy column positions;</w:t>
      </w:r>
    </w:p>
    <w:p>
      <w:pPr>
        <w:pStyle w:val="ListBullet"/>
      </w:pPr>
      <w:r>
        <w:t>inputs are green and calculation cells hold no typed numbers;</w:t>
      </w:r>
    </w:p>
    <w:p>
      <w:pPr>
        <w:pStyle w:val="ListBullet"/>
      </w:pPr>
      <w:r>
        <w:t>every new input has a code, a source and a confidence rating;</w:t>
      </w:r>
    </w:p>
    <w:p>
      <w:pPr>
        <w:pStyle w:val="ListBullet"/>
      </w:pPr>
      <w:r>
        <w:t>every saved change gets a new version number and a version-log row;</w:t>
      </w:r>
    </w:p>
    <w:p>
      <w:pPr>
        <w:pStyle w:val="ListBullet"/>
      </w:pPr>
      <w:r>
        <w:t xml:space="preserve">an append-only </w:t>
      </w:r>
      <w:r>
        <w:rPr>
          <w:rFonts w:ascii="Consolas" w:hAnsi="Consolas" w:eastAsia="Consolas"/>
        </w:rPr>
        <w:t>CAVEATS.md</w:t>
      </w:r>
      <w:r>
        <w:t xml:space="preserve"> entry for every finished task.</w:t>
      </w:r>
    </w:p>
    <w:p>
      <w:r>
        <w:t>The EF and semi-elasticity workbooks follow the same rules. Every number is a cited constant, a flagged input or a formula. Inputs carry defined names, and a recalculation script checks for errors.</w:t>
      </w:r>
    </w:p>
    <w:p>
      <w:r>
        <w:t>---</w:t>
      </w:r>
    </w:p>
    <w:p>
      <w:pPr>
        <w:pStyle w:val="Heading2"/>
      </w:pPr>
      <w:r>
        <w:t>7. Parameters and their basis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Parameter</w:t>
            </w:r>
          </w:p>
        </w:tc>
        <w:tc>
          <w:tcPr>
            <w:tcW w:type="dxa" w:w="2520"/>
          </w:tcPr>
          <w:p>
            <w:pPr>
              <w:spacing w:after="0"/>
            </w:pPr>
            <w:r>
              <w:rPr>
                <w:b/>
              </w:rPr>
            </w:r>
            <w:r>
              <w:rPr>
                <w:b/>
                <w:sz w:val="16"/>
              </w:rPr>
              <w:t>Value</w:t>
            </w:r>
          </w:p>
        </w:tc>
        <w:tc>
          <w:tcPr>
            <w:tcW w:type="dxa" w:w="2520"/>
          </w:tcPr>
          <w:p>
            <w:pPr>
              <w:spacing w:after="0"/>
            </w:pPr>
            <w:r>
              <w:rPr>
                <w:b/>
              </w:rPr>
            </w:r>
            <w:r>
              <w:rPr>
                <w:b/>
                <w:sz w:val="16"/>
              </w:rPr>
              <w:t>Basis</w:t>
            </w:r>
          </w:p>
        </w:tc>
        <w:tc>
          <w:tcPr>
            <w:tcW w:type="dxa" w:w="2520"/>
          </w:tcPr>
          <w:p>
            <w:pPr>
              <w:spacing w:after="0"/>
            </w:pPr>
            <w:r>
              <w:rPr>
                <w:b/>
              </w:rPr>
            </w:r>
            <w:r>
              <w:rPr>
                <w:b/>
                <w:sz w:val="16"/>
              </w:rPr>
              <w:t>Confidence</w:t>
            </w:r>
          </w:p>
        </w:tc>
      </w:tr>
      <w:tr>
        <w:tc>
          <w:tcPr>
            <w:tcW w:type="dxa" w:w="2520"/>
          </w:tcPr>
          <w:p>
            <w:pPr>
              <w:spacing w:after="0"/>
            </w:pPr>
            <w:r/>
            <w:r>
              <w:rPr>
                <w:sz w:val="16"/>
              </w:rPr>
              <w:t>Emission factors fc / fp / np / no</w:t>
            </w:r>
          </w:p>
        </w:tc>
        <w:tc>
          <w:tcPr>
            <w:tcW w:type="dxa" w:w="2520"/>
          </w:tcPr>
          <w:p>
            <w:pPr>
              <w:spacing w:after="0"/>
            </w:pPr>
            <w:r/>
            <w:r>
              <w:rPr>
                <w:sz w:val="16"/>
              </w:rPr>
              <w:t>Appendix A</w:t>
            </w:r>
          </w:p>
        </w:tc>
        <w:tc>
          <w:tcPr>
            <w:tcW w:type="dxa" w:w="2520"/>
          </w:tcPr>
          <w:p>
            <w:pPr>
              <w:spacing w:after="0"/>
            </w:pPr>
            <w:r/>
            <w:r>
              <w:rPr>
                <w:sz w:val="16"/>
              </w:rPr>
              <w:t>Egypt fleet + IPCC 2006 / CBAM Annex VIII</w:t>
            </w:r>
          </w:p>
        </w:tc>
        <w:tc>
          <w:tcPr>
            <w:tcW w:type="dxa" w:w="2520"/>
          </w:tcPr>
          <w:p>
            <w:pPr>
              <w:spacing w:after="0"/>
            </w:pPr>
            <w:r/>
            <w:r>
              <w:rPr>
                <w:sz w:val="16"/>
              </w:rPr>
              <w:t>Tier C/D; VERIFY list</w:t>
            </w:r>
          </w:p>
        </w:tc>
      </w:tr>
      <w:tr>
        <w:tc>
          <w:tcPr>
            <w:tcW w:type="dxa" w:w="2520"/>
          </w:tcPr>
          <w:p>
            <w:pPr>
              <w:spacing w:after="0"/>
            </w:pPr>
            <w:r/>
            <w:r>
              <w:rPr>
                <w:sz w:val="16"/>
              </w:rPr>
              <w:t>Process semi-elasticities β_i</w:t>
            </w:r>
          </w:p>
        </w:tc>
        <w:tc>
          <w:tcPr>
            <w:tcW w:type="dxa" w:w="2520"/>
          </w:tcPr>
          <w:p>
            <w:pPr>
              <w:spacing w:after="0"/>
            </w:pPr>
            <w:r/>
            <w:r>
              <w:rPr>
                <w:sz w:val="16"/>
              </w:rPr>
              <w:t>Appendix B; loaded in kernel v0.16 and rebuild v0.3 (AN 0.6179 blend; Al 0.2164 on np and no; NH₃/urea 0); P* = USD 122 (USD2024)</w:t>
            </w:r>
          </w:p>
        </w:tc>
        <w:tc>
          <w:tcPr>
            <w:tcW w:type="dxa" w:w="2520"/>
          </w:tcPr>
          <w:p>
            <w:pPr>
              <w:spacing w:after="0"/>
            </w:pPr>
            <w:r/>
            <w:r>
              <w:rPr>
                <w:sz w:val="16"/>
              </w:rPr>
              <w:t>IPCC AR6 WGIII Tables 11.3, 12.3; AR4 for N₂O and PFC</w:t>
            </w:r>
          </w:p>
        </w:tc>
        <w:tc>
          <w:tcPr>
            <w:tcW w:type="dxa" w:w="2520"/>
          </w:tcPr>
          <w:p>
            <w:pPr>
              <w:spacing w:after="0"/>
            </w:pPr>
            <w:r/>
            <w:r>
              <w:rPr>
                <w:sz w:val="16"/>
              </w:rPr>
              <w:t>Medium–low; range = 2030 vs long run</w:t>
            </w:r>
          </w:p>
        </w:tc>
      </w:tr>
      <w:tr>
        <w:tc>
          <w:tcPr>
            <w:tcW w:type="dxa" w:w="2520"/>
          </w:tcPr>
          <w:p>
            <w:pPr>
              <w:spacing w:after="0"/>
            </w:pPr>
            <w:r/>
            <w:r>
              <w:rPr>
                <w:sz w:val="16"/>
              </w:rPr>
              <w:t>Usage / efficiency elasticities</w:t>
            </w:r>
          </w:p>
        </w:tc>
        <w:tc>
          <w:tcPr>
            <w:tcW w:type="dxa" w:w="2520"/>
          </w:tcPr>
          <w:p>
            <w:pPr>
              <w:spacing w:after="0"/>
            </w:pPr>
            <w:r/>
            <w:r>
              <w:rPr>
                <w:sz w:val="16"/>
              </w:rPr>
              <w:t xml:space="preserve">CPAT </w:t>
            </w:r>
            <w:r>
              <w:rPr>
                <w:rFonts w:ascii="Consolas" w:hAnsi="Consolas" w:eastAsia="Consolas"/>
                <w:sz w:val="16"/>
              </w:rPr>
              <w:t>Data_Elast</w:t>
            </w:r>
          </w:p>
        </w:tc>
        <w:tc>
          <w:tcPr>
            <w:tcW w:type="dxa" w:w="2520"/>
          </w:tcPr>
          <w:p>
            <w:pPr>
              <w:spacing w:after="0"/>
            </w:pPr>
            <w:r/>
            <w:r>
              <w:rPr>
                <w:sz w:val="16"/>
              </w:rPr>
              <w:t>Labandeira et al. (2017)</w:t>
            </w:r>
          </w:p>
        </w:tc>
        <w:tc>
          <w:tcPr>
            <w:tcW w:type="dxa" w:w="2520"/>
          </w:tcPr>
          <w:p>
            <w:pPr>
              <w:spacing w:after="0"/>
            </w:pPr>
            <w:r/>
            <w:r>
              <w:rPr>
                <w:sz w:val="16"/>
              </w:rPr>
              <w:t>CPAT default</w:t>
            </w:r>
          </w:p>
        </w:tc>
      </w:tr>
      <w:tr>
        <w:tc>
          <w:tcPr>
            <w:tcW w:type="dxa" w:w="2520"/>
          </w:tcPr>
          <w:p>
            <w:pPr>
              <w:spacing w:after="0"/>
            </w:pPr>
            <w:r/>
            <w:r>
              <w:rPr>
                <w:sz w:val="16"/>
              </w:rPr>
              <w:t>s_int</w:t>
            </w:r>
          </w:p>
        </w:tc>
        <w:tc>
          <w:tcPr>
            <w:tcW w:type="dxa" w:w="2520"/>
          </w:tcPr>
          <w:p>
            <w:pPr>
              <w:spacing w:after="0"/>
            </w:pPr>
            <w:r/>
            <w:r>
              <w:rPr>
                <w:sz w:val="16"/>
              </w:rPr>
              <w:t>1/3</w:t>
            </w:r>
          </w:p>
        </w:tc>
        <w:tc>
          <w:tcPr>
            <w:tcW w:type="dxa" w:w="2520"/>
          </w:tcPr>
          <w:p>
            <w:pPr>
              <w:spacing w:after="0"/>
            </w:pPr>
            <w:r/>
            <w:r>
              <w:rPr>
                <w:sz w:val="16"/>
              </w:rPr>
              <w:t>ε_U = ε_F = −0.5</w:t>
            </w:r>
          </w:p>
        </w:tc>
        <w:tc>
          <w:tcPr>
            <w:tcW w:type="dxa" w:w="2520"/>
          </w:tcPr>
          <w:p>
            <w:pPr>
              <w:spacing w:after="0"/>
            </w:pPr>
            <w:r/>
            <w:r>
              <w:rPr>
                <w:sz w:val="16"/>
              </w:rPr>
              <w:t>Judgement</w:t>
            </w:r>
          </w:p>
        </w:tc>
      </w:tr>
      <w:tr>
        <w:tc>
          <w:tcPr>
            <w:tcW w:type="dxa" w:w="2520"/>
          </w:tcPr>
          <w:p>
            <w:pPr>
              <w:spacing w:after="0"/>
            </w:pPr>
            <w:r/>
            <w:r>
              <w:rPr>
                <w:sz w:val="16"/>
              </w:rPr>
              <w:t>b_f</w:t>
            </w:r>
          </w:p>
        </w:tc>
        <w:tc>
          <w:tcPr>
            <w:tcW w:type="dxa" w:w="2520"/>
          </w:tcPr>
          <w:p>
            <w:pPr>
              <w:spacing w:after="0"/>
            </w:pPr>
            <w:r/>
            <w:r>
              <w:rPr>
                <w:sz w:val="16"/>
              </w:rPr>
              <w:t>−0.0025 per $/t</w:t>
            </w:r>
          </w:p>
        </w:tc>
        <w:tc>
          <w:tcPr>
            <w:tcW w:type="dxa" w:w="2520"/>
          </w:tcPr>
          <w:p>
            <w:pPr>
              <w:spacing w:after="0"/>
            </w:pPr>
            <w:r/>
            <w:r>
              <w:rPr>
                <w:sz w:val="16"/>
              </w:rPr>
              <w:t>s_int × CPAT EG1 industry CO₂ response</w:t>
            </w:r>
          </w:p>
        </w:tc>
        <w:tc>
          <w:tcPr>
            <w:tcW w:type="dxa" w:w="2520"/>
          </w:tcPr>
          <w:p>
            <w:pPr>
              <w:spacing w:after="0"/>
            </w:pPr>
            <w:r/>
            <w:r>
              <w:rPr>
                <w:sz w:val="16"/>
              </w:rPr>
              <w:t>Derived</w:t>
            </w:r>
          </w:p>
        </w:tc>
      </w:tr>
      <w:tr>
        <w:tc>
          <w:tcPr>
            <w:tcW w:type="dxa" w:w="2520"/>
          </w:tcPr>
          <w:p>
            <w:pPr>
              <w:spacing w:after="0"/>
            </w:pPr>
            <w:r/>
            <w:r>
              <w:rPr>
                <w:sz w:val="16"/>
              </w:rPr>
              <w:t>ε_Q (output)</w:t>
            </w:r>
          </w:p>
        </w:tc>
        <w:tc>
          <w:tcPr>
            <w:tcW w:type="dxa" w:w="2520"/>
          </w:tcPr>
          <w:p>
            <w:pPr>
              <w:spacing w:after="0"/>
            </w:pPr>
            <w:r/>
            <w:r>
              <w:rPr>
                <w:sz w:val="16"/>
              </w:rPr>
              <w:t>−0.5</w:t>
            </w:r>
          </w:p>
        </w:tc>
        <w:tc>
          <w:tcPr>
            <w:tcW w:type="dxa" w:w="2520"/>
          </w:tcPr>
          <w:p>
            <w:pPr>
              <w:spacing w:after="0"/>
            </w:pPr>
            <w:r/>
            <w:r>
              <w:rPr>
                <w:sz w:val="16"/>
              </w:rPr>
              <w:t>Placeholder</w:t>
            </w:r>
          </w:p>
        </w:tc>
        <w:tc>
          <w:tcPr>
            <w:tcW w:type="dxa" w:w="2520"/>
          </w:tcPr>
          <w:p>
            <w:pPr>
              <w:spacing w:after="0"/>
            </w:pPr>
            <w:r/>
            <w:r>
              <w:rPr>
                <w:sz w:val="16"/>
              </w:rPr>
              <w:t>Low</w:t>
            </w:r>
          </w:p>
        </w:tc>
      </w:tr>
      <w:tr>
        <w:tc>
          <w:tcPr>
            <w:tcW w:type="dxa" w:w="2520"/>
          </w:tcPr>
          <w:p>
            <w:pPr>
              <w:spacing w:after="0"/>
            </w:pPr>
            <w:r/>
            <w:r>
              <w:rPr>
                <w:sz w:val="16"/>
              </w:rPr>
              <w:t>P_EU; CBF</w:t>
            </w:r>
          </w:p>
        </w:tc>
        <w:tc>
          <w:tcPr>
            <w:tcW w:type="dxa" w:w="2520"/>
          </w:tcPr>
          <w:p>
            <w:pPr>
              <w:spacing w:after="0"/>
            </w:pPr>
            <w:r/>
            <w:r>
              <w:rPr>
                <w:sz w:val="16"/>
              </w:rPr>
              <w:t>USD 100; 0.485 (2030)</w:t>
            </w:r>
          </w:p>
        </w:tc>
        <w:tc>
          <w:tcPr>
            <w:tcW w:type="dxa" w:w="2520"/>
          </w:tcPr>
          <w:p>
            <w:pPr>
              <w:spacing w:after="0"/>
            </w:pPr>
            <w:r/>
            <w:r>
              <w:rPr>
                <w:sz w:val="16"/>
              </w:rPr>
              <w:t>Placeholder; EU CBAM phase-in</w:t>
            </w:r>
          </w:p>
        </w:tc>
        <w:tc>
          <w:tcPr>
            <w:tcW w:type="dxa" w:w="2520"/>
          </w:tcPr>
          <w:p>
            <w:pPr>
              <w:spacing w:after="0"/>
            </w:pPr>
            <w:r/>
            <w:r>
              <w:rPr>
                <w:sz w:val="16"/>
              </w:rPr>
              <w:t>Medium</w:t>
            </w:r>
          </w:p>
        </w:tc>
      </w:tr>
      <w:tr>
        <w:tc>
          <w:tcPr>
            <w:tcW w:type="dxa" w:w="2520"/>
          </w:tcPr>
          <w:p>
            <w:pPr>
              <w:spacing w:after="0"/>
            </w:pPr>
            <w:r/>
            <w:r>
              <w:rPr>
                <w:sz w:val="16"/>
              </w:rPr>
              <w:t>σ (fund shadow price)</w:t>
            </w:r>
          </w:p>
        </w:tc>
        <w:tc>
          <w:tcPr>
            <w:tcW w:type="dxa" w:w="2520"/>
          </w:tcPr>
          <w:p>
            <w:pPr>
              <w:spacing w:after="0"/>
            </w:pPr>
            <w:r/>
            <w:r>
              <w:rPr>
                <w:sz w:val="16"/>
              </w:rPr>
              <w:t>USD 20/t in the rebuild; solved in the kernel from a fund equal to post-abatement block payments</w:t>
            </w:r>
          </w:p>
        </w:tc>
        <w:tc>
          <w:tcPr>
            <w:tcW w:type="dxa" w:w="2520"/>
          </w:tcPr>
          <w:p>
            <w:pPr>
              <w:spacing w:after="0"/>
            </w:pPr>
            <w:r/>
            <w:r>
              <w:rPr>
                <w:sz w:val="16"/>
              </w:rPr>
              <w:t>Judgement (rebuild fund outlay well below the budget of USD 1.48bn)</w:t>
            </w:r>
          </w:p>
        </w:tc>
        <w:tc>
          <w:tcPr>
            <w:tcW w:type="dxa" w:w="2520"/>
          </w:tcPr>
          <w:p>
            <w:pPr>
              <w:spacing w:after="0"/>
            </w:pPr>
            <w:r/>
            <w:r>
              <w:rPr>
                <w:sz w:val="16"/>
              </w:rPr>
              <w:t>Low</w:t>
            </w:r>
          </w:p>
        </w:tc>
      </w:tr>
      <w:tr>
        <w:tc>
          <w:tcPr>
            <w:tcW w:type="dxa" w:w="2520"/>
          </w:tcPr>
          <w:p>
            <w:pPr>
              <w:spacing w:after="0"/>
            </w:pPr>
            <w:r/>
            <w:r>
              <w:rPr>
                <w:sz w:val="16"/>
              </w:rPr>
              <w:t>Production, exports, prices</w:t>
            </w:r>
          </w:p>
        </w:tc>
        <w:tc>
          <w:tcPr>
            <w:tcW w:type="dxa" w:w="2520"/>
          </w:tcPr>
          <w:p>
            <w:pPr>
              <w:spacing w:after="0"/>
            </w:pPr>
            <w:r/>
            <w:r>
              <w:rPr>
                <w:sz w:val="16"/>
              </w:rPr>
              <w:t xml:space="preserve">Kernel </w:t>
            </w:r>
            <w:r>
              <w:rPr>
                <w:rFonts w:ascii="Consolas" w:hAnsi="Consolas" w:eastAsia="Consolas"/>
                <w:sz w:val="16"/>
              </w:rPr>
              <w:t>Manual inputs</w:t>
            </w:r>
          </w:p>
        </w:tc>
        <w:tc>
          <w:tcPr>
            <w:tcW w:type="dxa" w:w="2520"/>
          </w:tcPr>
          <w:p>
            <w:pPr>
              <w:spacing w:after="0"/>
            </w:pPr>
            <w:r/>
            <w:r>
              <w:rPr>
                <w:sz w:val="16"/>
              </w:rPr>
              <w:t>worldsteel, IFA, trade data (2024)</w:t>
            </w:r>
          </w:p>
        </w:tc>
        <w:tc>
          <w:tcPr>
            <w:tcW w:type="dxa" w:w="2520"/>
          </w:tcPr>
          <w:p>
            <w:pPr>
              <w:spacing w:after="0"/>
            </w:pPr>
            <w:r/>
            <w:r>
              <w:rPr>
                <w:sz w:val="16"/>
              </w:rPr>
              <w:t>Medium (T3 to formalise)</w:t>
            </w:r>
          </w:p>
        </w:tc>
      </w:tr>
    </w:tbl>
    <w:p/>
    <w:p>
      <w:r>
        <w:t>---</w:t>
      </w:r>
    </w:p>
    <w:p>
      <w:pPr>
        <w:pStyle w:val="Heading2"/>
      </w:pPr>
      <w:r>
        <w:t>8. Status, open issues and next steps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w:t>
            </w:r>
          </w:p>
        </w:tc>
        <w:tc>
          <w:tcPr>
            <w:tcW w:type="dxa" w:w="3360"/>
          </w:tcPr>
          <w:p>
            <w:pPr>
              <w:spacing w:after="0"/>
            </w:pPr>
            <w:r>
              <w:rPr>
                <w:b/>
              </w:rPr>
            </w:r>
            <w:r>
              <w:rPr>
                <w:b/>
                <w:sz w:val="16"/>
              </w:rPr>
              <w:t>Item</w:t>
            </w:r>
          </w:p>
        </w:tc>
        <w:tc>
          <w:tcPr>
            <w:tcW w:type="dxa" w:w="3360"/>
          </w:tcPr>
          <w:p>
            <w:pPr>
              <w:spacing w:after="0"/>
            </w:pPr>
            <w:r>
              <w:rPr>
                <w:b/>
              </w:rPr>
            </w:r>
            <w:r>
              <w:rPr>
                <w:b/>
                <w:sz w:val="16"/>
              </w:rPr>
              <w:t>Status / action</w:t>
            </w:r>
          </w:p>
        </w:tc>
      </w:tr>
      <w:tr>
        <w:tc>
          <w:tcPr>
            <w:tcW w:type="dxa" w:w="3360"/>
          </w:tcPr>
          <w:p>
            <w:pPr>
              <w:spacing w:after="0"/>
            </w:pPr>
            <w:r/>
            <w:r>
              <w:rPr>
                <w:sz w:val="16"/>
              </w:rPr>
              <w:t>1</w:t>
            </w:r>
          </w:p>
        </w:tc>
        <w:tc>
          <w:tcPr>
            <w:tcW w:type="dxa" w:w="3360"/>
          </w:tcPr>
          <w:p>
            <w:pPr>
              <w:spacing w:after="0"/>
            </w:pPr>
            <w:r/>
            <w:r>
              <w:rPr>
                <w:b/>
                <w:sz w:val="16"/>
              </w:rPr>
              <w:t>Task D values in the kernel</w:t>
            </w:r>
            <w:r>
              <w:rPr>
                <w:sz w:val="16"/>
              </w:rPr>
              <w:t xml:space="preserve"> (T1): rows 53–60 = IPCC central. Routing β to fp (ammonia CCS, DRI; Appendix B.5) not implemented</w:t>
            </w:r>
          </w:p>
        </w:tc>
        <w:tc>
          <w:tcPr>
            <w:tcW w:type="dxa" w:w="3360"/>
          </w:tcPr>
          <w:p>
            <w:pPr>
              <w:spacing w:after="0"/>
            </w:pPr>
            <w:r/>
            <w:r>
              <w:rPr>
                <w:sz w:val="16"/>
              </w:rPr>
              <w:t>Done v0.15 (P* deflated to 122 in v0.16); fp routing open (caveat)</w:t>
            </w:r>
          </w:p>
        </w:tc>
      </w:tr>
      <w:tr>
        <w:tc>
          <w:tcPr>
            <w:tcW w:type="dxa" w:w="3360"/>
          </w:tcPr>
          <w:p>
            <w:pPr>
              <w:spacing w:after="0"/>
            </w:pPr>
            <w:r/>
            <w:r>
              <w:rPr>
                <w:sz w:val="16"/>
              </w:rPr>
              <w:t>2</w:t>
            </w:r>
          </w:p>
        </w:tc>
        <w:tc>
          <w:tcPr>
            <w:tcW w:type="dxa" w:w="3360"/>
          </w:tcPr>
          <w:p>
            <w:pPr>
              <w:spacing w:after="0"/>
            </w:pPr>
            <w:r/>
            <w:r>
              <w:rPr>
                <w:b/>
                <w:sz w:val="16"/>
              </w:rPr>
              <w:t>EF v0.1 in the kernel</w:t>
            </w:r>
            <w:r>
              <w:rPr>
                <w:sz w:val="16"/>
              </w:rPr>
              <w:t xml:space="preserve"> (T5): H30:K37; urea np = 0 (CBAM rule), AN no = 0.9944 (HNO₃ N₂O folded in, 50% abatement for β)</w:t>
            </w:r>
          </w:p>
        </w:tc>
        <w:tc>
          <w:tcPr>
            <w:tcW w:type="dxa" w:w="3360"/>
          </w:tcPr>
          <w:p>
            <w:pPr>
              <w:spacing w:after="0"/>
            </w:pPr>
            <w:r/>
            <w:r>
              <w:rPr>
                <w:sz w:val="16"/>
              </w:rPr>
              <w:t>Done v0.15 (provisional conventions)</w:t>
            </w:r>
          </w:p>
        </w:tc>
      </w:tr>
      <w:tr>
        <w:tc>
          <w:tcPr>
            <w:tcW w:type="dxa" w:w="3360"/>
          </w:tcPr>
          <w:p>
            <w:pPr>
              <w:spacing w:after="0"/>
            </w:pPr>
            <w:r/>
            <w:r>
              <w:rPr>
                <w:sz w:val="16"/>
              </w:rPr>
              <w:t>3</w:t>
            </w:r>
          </w:p>
        </w:tc>
        <w:tc>
          <w:tcPr>
            <w:tcW w:type="dxa" w:w="3360"/>
          </w:tcPr>
          <w:p>
            <w:pPr>
              <w:spacing w:after="0"/>
            </w:pPr>
            <w:r/>
            <w:r>
              <w:rPr>
                <w:b/>
                <w:sz w:val="16"/>
              </w:rPr>
              <w:t>Task M</w:t>
            </w:r>
            <w:r>
              <w:rPr>
                <w:sz w:val="16"/>
              </w:rPr>
              <w:t>: §5 composition in the kernel (</w:t>
            </w:r>
            <w:r>
              <w:rPr>
                <w:rFonts w:ascii="Consolas" w:hAnsi="Consolas" w:eastAsia="Consolas"/>
                <w:sz w:val="16"/>
              </w:rPr>
              <w:t>Table2_Industry</w:t>
            </w:r>
            <w:r>
              <w:rPr>
                <w:sz w:val="16"/>
              </w:rPr>
              <w:t>)</w:t>
            </w:r>
          </w:p>
        </w:tc>
        <w:tc>
          <w:tcPr>
            <w:tcW w:type="dxa" w:w="3360"/>
          </w:tcPr>
          <w:p>
            <w:pPr>
              <w:spacing w:after="0"/>
            </w:pPr>
            <w:r/>
            <w:r>
              <w:rPr>
                <w:sz w:val="16"/>
              </w:rPr>
              <w:t>Done v0.14, refreshed v0.15 and v0.16</w:t>
            </w:r>
          </w:p>
        </w:tc>
      </w:tr>
      <w:tr>
        <w:tc>
          <w:tcPr>
            <w:tcW w:type="dxa" w:w="3360"/>
          </w:tcPr>
          <w:p>
            <w:pPr>
              <w:spacing w:after="0"/>
            </w:pPr>
            <w:r/>
            <w:r>
              <w:rPr>
                <w:sz w:val="16"/>
              </w:rPr>
              <w:t>4</w:t>
            </w:r>
          </w:p>
        </w:tc>
        <w:tc>
          <w:tcPr>
            <w:tcW w:type="dxa" w:w="3360"/>
          </w:tcPr>
          <w:p>
            <w:pPr>
              <w:spacing w:after="0"/>
            </w:pPr>
            <w:r/>
            <w:r>
              <w:rPr>
                <w:b/>
                <w:sz w:val="16"/>
              </w:rPr>
              <w:t>Re-run EG3 with full industrial coverage</w:t>
            </w:r>
            <w:r>
              <w:rPr>
                <w:sz w:val="16"/>
              </w:rPr>
              <w:t xml:space="preserve"> so that κ = 1</w:t>
            </w:r>
          </w:p>
        </w:tc>
        <w:tc>
          <w:tcPr>
            <w:tcW w:type="dxa" w:w="3360"/>
          </w:tcPr>
          <w:p>
            <w:pPr>
              <w:spacing w:after="0"/>
            </w:pPr>
            <w:r/>
            <w:r>
              <w:rPr>
                <w:sz w:val="16"/>
              </w:rPr>
              <w:t>Approximated by 1/κ scaling in rebuild v0.3 and kernel v0.16; a true CPAT re-run is still open</w:t>
            </w:r>
          </w:p>
        </w:tc>
      </w:tr>
      <w:tr>
        <w:tc>
          <w:tcPr>
            <w:tcW w:type="dxa" w:w="3360"/>
          </w:tcPr>
          <w:p>
            <w:pPr>
              <w:spacing w:after="0"/>
            </w:pPr>
            <w:r/>
            <w:r>
              <w:rPr>
                <w:sz w:val="16"/>
              </w:rPr>
              <w:t>5</w:t>
            </w:r>
          </w:p>
        </w:tc>
        <w:tc>
          <w:tcPr>
            <w:tcW w:type="dxa" w:w="3360"/>
          </w:tcPr>
          <w:p>
            <w:pPr>
              <w:spacing w:after="0"/>
            </w:pPr>
            <w:r/>
            <w:r>
              <w:rPr>
                <w:b/>
                <w:sz w:val="16"/>
              </w:rPr>
              <w:t>Fuel-CO₂ reconciliation</w:t>
            </w:r>
            <w:r>
              <w:rPr>
                <w:sz w:val="16"/>
              </w:rPr>
              <w:t xml:space="preserve"> (v0.13): block fuel CO₂ exceeds CPAT sector energy CO₂ for cement, non-ferrous metals and chemicals (cement ≈ 13.5 vs 9.5 Mt in 2022). EF v0.1 raises clinker fc to 0.314 (now in v0.15), which widens the gap; CPAT energy balances need review</w:t>
            </w:r>
          </w:p>
        </w:tc>
        <w:tc>
          <w:tcPr>
            <w:tcW w:type="dxa" w:w="3360"/>
          </w:tcPr>
          <w:p>
            <w:pPr>
              <w:spacing w:after="0"/>
            </w:pPr>
            <w:r/>
            <w:r>
              <w:rPr>
                <w:sz w:val="16"/>
              </w:rPr>
              <w:t>Kernel v0.16 reallocates the excess out of non-kernel industry (industry total unchanged); CPAT energy balances still need review</w:t>
            </w:r>
          </w:p>
        </w:tc>
      </w:tr>
      <w:tr>
        <w:tc>
          <w:tcPr>
            <w:tcW w:type="dxa" w:w="3360"/>
          </w:tcPr>
          <w:p>
            <w:pPr>
              <w:spacing w:after="0"/>
            </w:pPr>
            <w:r/>
            <w:r>
              <w:rPr>
                <w:sz w:val="16"/>
              </w:rPr>
              <w:t>6</w:t>
            </w:r>
          </w:p>
        </w:tc>
        <w:tc>
          <w:tcPr>
            <w:tcW w:type="dxa" w:w="3360"/>
          </w:tcPr>
          <w:p>
            <w:pPr>
              <w:spacing w:after="0"/>
            </w:pPr>
            <w:r/>
            <w:r>
              <w:rPr>
                <w:b/>
                <w:sz w:val="16"/>
              </w:rPr>
              <w:t>T3</w:t>
            </w:r>
            <w:r>
              <w:rPr>
                <w:sz w:val="16"/>
              </w:rPr>
              <w:t xml:space="preserve">: move market data (exports, prices, EU defaults) into </w:t>
            </w:r>
            <w:r>
              <w:rPr>
                <w:rFonts w:ascii="Consolas" w:hAnsi="Consolas" w:eastAsia="Consolas"/>
                <w:sz w:val="16"/>
              </w:rPr>
              <w:t>Manual inputs</w:t>
            </w:r>
            <w:r>
              <w:rPr>
                <w:sz w:val="16"/>
              </w:rPr>
              <w:t xml:space="preserve"> with sources</w:t>
            </w:r>
          </w:p>
        </w:tc>
        <w:tc>
          <w:tcPr>
            <w:tcW w:type="dxa" w:w="3360"/>
          </w:tcPr>
          <w:p>
            <w:pPr>
              <w:spacing w:after="0"/>
            </w:pPr>
            <w:r/>
            <w:r>
              <w:rPr>
                <w:sz w:val="16"/>
              </w:rPr>
              <w:t>Queued</w:t>
            </w:r>
          </w:p>
        </w:tc>
      </w:tr>
      <w:tr>
        <w:tc>
          <w:tcPr>
            <w:tcW w:type="dxa" w:w="3360"/>
          </w:tcPr>
          <w:p>
            <w:pPr>
              <w:spacing w:after="0"/>
            </w:pPr>
            <w:r/>
            <w:r>
              <w:rPr>
                <w:sz w:val="16"/>
              </w:rPr>
              <w:t>7</w:t>
            </w:r>
          </w:p>
        </w:tc>
        <w:tc>
          <w:tcPr>
            <w:tcW w:type="dxa" w:w="3360"/>
          </w:tcPr>
          <w:p>
            <w:pPr>
              <w:spacing w:after="0"/>
            </w:pPr>
            <w:r/>
            <w:r>
              <w:rPr>
                <w:b/>
                <w:sz w:val="16"/>
              </w:rPr>
              <w:t>VERIFY list</w:t>
            </w:r>
            <w:r>
              <w:rPr>
                <w:sz w:val="16"/>
              </w:rPr>
              <w:t xml:space="preserve"> for EFs (Appendix A.6) and for the AN abatement baseline (B.4)</w:t>
            </w:r>
          </w:p>
        </w:tc>
        <w:tc>
          <w:tcPr>
            <w:tcW w:type="dxa" w:w="3360"/>
          </w:tcPr>
          <w:p>
            <w:pPr>
              <w:spacing w:after="0"/>
            </w:pPr>
            <w:r/>
            <w:r>
              <w:rPr>
                <w:sz w:val="16"/>
              </w:rPr>
              <w:t>Data requests</w:t>
            </w:r>
          </w:p>
        </w:tc>
      </w:tr>
      <w:tr>
        <w:tc>
          <w:tcPr>
            <w:tcW w:type="dxa" w:w="3360"/>
          </w:tcPr>
          <w:p>
            <w:pPr>
              <w:spacing w:after="0"/>
            </w:pPr>
            <w:r/>
            <w:r>
              <w:rPr>
                <w:sz w:val="16"/>
              </w:rPr>
              <w:t>8</w:t>
            </w:r>
          </w:p>
        </w:tc>
        <w:tc>
          <w:tcPr>
            <w:tcW w:type="dxa" w:w="3360"/>
          </w:tcPr>
          <w:p>
            <w:pPr>
              <w:spacing w:after="0"/>
            </w:pPr>
            <w:r/>
            <w:r>
              <w:rPr>
                <w:b/>
                <w:sz w:val="16"/>
              </w:rPr>
              <w:t>Placeholders</w:t>
            </w:r>
            <w:r>
              <w:rPr>
                <w:sz w:val="16"/>
              </w:rPr>
              <w:t>: ε_Q, P_EU, σ</w:t>
            </w:r>
          </w:p>
        </w:tc>
        <w:tc>
          <w:tcPr>
            <w:tcW w:type="dxa" w:w="3360"/>
          </w:tcPr>
          <w:p>
            <w:pPr>
              <w:spacing w:after="0"/>
            </w:pPr>
            <w:r/>
            <w:r>
              <w:rPr>
                <w:sz w:val="16"/>
              </w:rPr>
              <w:t>Calibrate or document</w:t>
            </w:r>
          </w:p>
        </w:tc>
      </w:tr>
    </w:tbl>
    <w:p/>
    <w:p>
      <w:r>
        <w:rPr>
          <w:b/>
        </w:rPr>
        <w:t>Overall limitations:</w:t>
      </w:r>
    </w:p>
    <w:p>
      <w:pPr>
        <w:pStyle w:val="ListBullet"/>
      </w:pPr>
      <w:r>
        <w:t>Long-run elasticities are applied within a single year.</w:t>
      </w:r>
    </w:p>
    <w:p>
      <w:pPr>
        <w:pStyle w:val="ListBullet"/>
      </w:pPr>
      <w:r>
        <w:t>Industrial output is inferred, not modelled; read it as an upper bound.</w:t>
      </w:r>
    </w:p>
    <w:p>
      <w:pPr>
        <w:pStyle w:val="ListBullet"/>
      </w:pPr>
      <w:r>
        <w:t>There is no trade or leakage model.</w:t>
      </w:r>
    </w:p>
    <w:p>
      <w:pPr>
        <w:pStyle w:val="ListBullet"/>
      </w:pPr>
      <w:r>
        <w:t>Process responses come from global IPCC cost data rather than Egyptian MACCs.</w:t>
      </w:r>
    </w:p>
    <w:p>
      <w:pPr>
        <w:pStyle w:val="ListBullet"/>
      </w:pPr>
      <w:r>
        <w:t>National EFs are fleet averages, not plant distributions.</w:t>
      </w:r>
    </w:p>
    <w:p>
      <w:pPr>
        <w:pStyle w:val="ListBullet"/>
      </w:pPr>
      <w:r>
        <w:t>Revenue is "simple revenue", excluding effects on existing taxes and subsidies.</w:t>
      </w:r>
    </w:p>
    <w:p>
      <w:r>
        <w:t>---</w:t>
      </w:r>
    </w:p>
    <w:p>
      <w:pPr>
        <w:pStyle w:val="Heading1"/>
      </w:pPr>
      <w:r>
        <w:t>Appendix A. Emission factors for Egypt's CBAM goods, split four ways</w:t>
      </w:r>
    </w:p>
    <w:p>
      <w:r>
        <w:rPr>
          <w:b/>
        </w:rPr>
        <w:t>Source:</w:t>
      </w:r>
      <w:r>
        <w:t xml:space="preserve"> </w:t>
      </w:r>
      <w:r>
        <w:rPr>
          <w:rFonts w:ascii="Consolas" w:hAnsi="Consolas" w:eastAsia="Consolas"/>
        </w:rPr>
        <w:t>EmissionFactors\EGY_CBAM_EF_Methodology_v0.1.md</w:t>
      </w:r>
      <w:r>
        <w:t xml:space="preserve"> and workbook </w:t>
      </w:r>
      <w:r>
        <w:rPr>
          <w:rFonts w:ascii="Consolas" w:hAnsi="Consolas" w:eastAsia="Consolas"/>
        </w:rPr>
        <w:t>EGY_CBAM_EF_v0.1.xlsx</w:t>
      </w:r>
      <w:r>
        <w:t xml:space="preserve">. The workbook is built by </w:t>
      </w:r>
      <w:r>
        <w:rPr>
          <w:rFonts w:ascii="Consolas" w:hAnsi="Consolas" w:eastAsia="Consolas"/>
        </w:rPr>
        <w:t>build_ef_v0_1.py</w:t>
      </w:r>
      <w:r>
        <w:t xml:space="preserve"> and checked by </w:t>
      </w:r>
      <w:r>
        <w:rPr>
          <w:rFonts w:ascii="Consolas" w:hAnsi="Consolas" w:eastAsia="Consolas"/>
        </w:rPr>
        <w:t>recalc_and_check.py</w:t>
      </w:r>
      <w:r>
        <w:t>: 0 errors, 14 checks OK.</w:t>
      </w:r>
    </w:p>
    <w:p>
      <w:pPr>
        <w:pStyle w:val="Heading3"/>
      </w:pPr>
      <w:r>
        <w:t>A.1 Method in brief</w:t>
      </w:r>
    </w:p>
    <w:p>
      <w:pPr>
        <w:pStyle w:val="ListNumber"/>
      </w:pPr>
      <w:r>
        <w:rPr>
          <w:b/>
        </w:rPr>
        <w:t>Boundary.</w:t>
      </w:r>
      <w:r>
        <w:t xml:space="preserve"> Direct (Scope 1) emissions of the installation making the good, per tonne, using CBAM boundaries:</w:t>
      </w:r>
    </w:p>
    <w:p>
      <w:pPr>
        <w:pStyle w:val="ListBullet"/>
      </w:pPr>
      <w:r>
        <w:t>crude steel at the melt shop;</w:t>
      </w:r>
    </w:p>
    <w:p>
      <w:pPr>
        <w:pStyle w:val="ListBullet"/>
      </w:pPr>
      <w:r>
        <w:t>clinker at the kiln;</w:t>
      </w:r>
    </w:p>
    <w:p>
      <w:pPr>
        <w:pStyle w:val="ListBullet"/>
      </w:pPr>
      <w:r>
        <w:t>the ammonia complex;</w:t>
      </w:r>
    </w:p>
    <w:p>
      <w:pPr>
        <w:pStyle w:val="ListBullet"/>
      </w:pPr>
      <w:r>
        <w:t>the urea plant;</w:t>
      </w:r>
    </w:p>
    <w:p>
      <w:pPr>
        <w:pStyle w:val="ListBullet"/>
      </w:pPr>
      <w:r>
        <w:t>the AN plant;</w:t>
      </w:r>
    </w:p>
    <w:p>
      <w:pPr>
        <w:pStyle w:val="ListBullet"/>
      </w:pPr>
      <w:r>
        <w:t>primary aluminium.</w:t>
      </w:r>
    </w:p>
    <w:p>
      <w:r>
        <w:t xml:space="preserve">Electricity (Scope 2) is excluded. A </w:t>
      </w:r>
      <w:r>
        <w:rPr>
          <w:b/>
        </w:rPr>
        <w:t>chain EF</w:t>
      </w:r>
      <w:r>
        <w:t xml:space="preserve"> adds precursor emissions category by category (urea 0.570 t NH₃/t; AN 0.79 t HNO₃ + 0.215 t NH₃/t; HNO₃ 0.27 t NH₃/t).</w:t>
      </w:r>
    </w:p>
    <w:p>
      <w:pPr>
        <w:pStyle w:val="ListNumber"/>
      </w:pPr>
      <w:r>
        <w:rPr>
          <w:b/>
        </w:rPr>
        <w:t>Attribution.</w:t>
      </w:r>
      <w:r>
        <w:t xml:space="preserve"> The four categories are additive: EF = fc + fp + np + no. The split attributes the same carbon to different categories and never changes the total.</w:t>
      </w:r>
    </w:p>
    <w:p>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pPr>
        <w:pStyle w:val="ListBullet"/>
      </w:pPr>
      <w:r>
        <w:rPr>
          <w:b/>
        </w:rPr>
        <w:t>np</w:t>
      </w:r>
      <w:r>
        <w:t xml:space="preserve"> is computed stoichiometrically: CaO × 0.785 and MgO × 1.092 tCO₂/t, with a kiln-dust correction. Electrode, charge-carbon and anode carbon use CBAM carbon contents.</w:t>
      </w:r>
    </w:p>
    <w:p>
      <w:pPr>
        <w:pStyle w:val="ListBullet"/>
      </w:pPr>
      <w:r>
        <w:rPr>
          <w:b/>
        </w:rPr>
        <w:t>no</w:t>
      </w:r>
      <w:r>
        <w:t xml:space="preserve"> = kg gas/t × GWP. The CBAM/EU MRR set (AR5) is used: N₂O 265, CF₄ 6630, C₂F₆ 11100.</w:t>
      </w:r>
    </w:p>
    <w:p>
      <w:pPr>
        <w:pStyle w:val="ListNumber"/>
      </w:pPr>
      <w:r>
        <w:rPr>
          <w:b/>
        </w:rPr>
        <w:t>Conventions.</w:t>
      </w:r>
    </w:p>
    <w:p>
      <w:pPr>
        <w:pStyle w:val="ListBullet"/>
      </w:pPr>
      <w:r>
        <w:t xml:space="preserve">Urea: under the CBAM rule, CO₂ bound in urea is counted at the ammonia plant, so urea np = 0. The switch </w:t>
      </w:r>
      <w:r>
        <w:rPr>
          <w:rFonts w:ascii="Consolas" w:hAnsi="Consolas" w:eastAsia="Consolas"/>
        </w:rPr>
        <w:t>urea_conv</w:t>
      </w:r>
      <w:r>
        <w:t xml:space="preserve"> = IPCC reproduces the inventory netting of −0.733.</w:t>
      </w:r>
    </w:p>
    <w:p>
      <w:pPr>
        <w:pStyle w:val="ListBullet"/>
      </w:pPr>
      <w:r>
        <w:t>AN: HNO₃ is treated as a precursor, and its N₂O is shown in the chain EF.</w:t>
      </w:r>
    </w:p>
    <w:p>
      <w:pPr>
        <w:pStyle w:val="ListNumber"/>
      </w:pPr>
      <w:r>
        <w:rPr>
          <w:b/>
        </w:rPr>
        <w:t>Data hierarchy.</w:t>
      </w:r>
      <w:r>
        <w:t xml:space="preserve"> Inputs are graded in tiers:</w:t>
      </w:r>
    </w:p>
    <w:p>
      <w:pPr>
        <w:pStyle w:val="ListBullet"/>
      </w:pPr>
      <w:r>
        <w:rPr>
          <w:b/>
        </w:rPr>
        <w:t>A</w:t>
      </w:r>
      <w:r>
        <w:t>: plant data (none yet);</w:t>
      </w:r>
    </w:p>
    <w:p>
      <w:pPr>
        <w:pStyle w:val="ListBullet"/>
      </w:pPr>
      <w:r>
        <w:rPr>
          <w:b/>
        </w:rPr>
        <w:t>B</w:t>
      </w:r>
      <w:r>
        <w:t>: Egyptian statistics;</w:t>
      </w:r>
    </w:p>
    <w:p>
      <w:pPr>
        <w:pStyle w:val="ListBullet"/>
      </w:pPr>
      <w:r>
        <w:rPr>
          <w:b/>
        </w:rPr>
        <w:t>C</w:t>
      </w:r>
      <w:r>
        <w:t>: technology default calibrated to Egypt's plant fleet;</w:t>
      </w:r>
    </w:p>
    <w:p>
      <w:pPr>
        <w:pStyle w:val="ListBullet"/>
      </w:pPr>
      <w:r>
        <w:rPr>
          <w:b/>
        </w:rPr>
        <w:t>D</w:t>
      </w:r>
      <w:r>
        <w:t>: IPCC or international default.</w:t>
      </w:r>
    </w:p>
    <w:p>
      <w:r>
        <w:t>Every input row records its value, a low–high range, its tier, the source ID and a VERIFY flag.</w:t>
      </w:r>
    </w:p>
    <w:p>
      <w:pPr>
        <w:pStyle w:val="Heading3"/>
      </w:pPr>
      <w:r>
        <w:t>A.2 Key equations (tCO₂e/t; EF_NG = 0.0561 tCO₂/GJ; C→CO₂ = 3.664)</w:t>
      </w:r>
    </w:p>
    <w:p>
      <w:pPr>
        <w:pStyle w:val="ListBullet"/>
      </w:pPr>
      <w:r>
        <w:rPr>
          <w:b/>
        </w:rPr>
        <w:t>DRI</w:t>
      </w:r>
      <w:r>
        <w:t xml:space="preserve"> (Midrex/HYL, Ezz Steel):</w:t>
      </w:r>
    </w:p>
    <w:p>
      <w:pPr>
        <w:pStyle w:val="ListBullet"/>
      </w:pPr>
      <w:r>
        <w:t>fp = NG 10.5 GJ × feed share 0.75 × EF_NG − C_DRI × 3.664 = 0.372;</w:t>
      </w:r>
    </w:p>
    <w:p>
      <w:pPr>
        <w:pStyle w:val="ListBullet"/>
      </w:pPr>
      <w:r>
        <w:t>fc = 10.5 × 0.25 × EF_NG = 0.147;</w:t>
      </w:r>
    </w:p>
    <w:p>
      <w:pPr>
        <w:pStyle w:val="ListBullet"/>
      </w:pPr>
      <w:r>
        <w:t>the carbon balance closes (check 1).</w:t>
      </w:r>
    </w:p>
    <w:p>
      <w:pPr>
        <w:pStyle w:val="ListBullet"/>
      </w:pPr>
      <w:r>
        <w:rPr>
          <w:b/>
        </w:rPr>
        <w:t>DRI-EAF steel</w:t>
      </w:r>
      <w:r>
        <w:t xml:space="preserve"> = 0.98 × DRI + EAF:</w:t>
      </w:r>
    </w:p>
    <w:p>
      <w:pPr>
        <w:pStyle w:val="ListBullet"/>
      </w:pPr>
      <w:r>
        <w:t>EAF fc = 0.6 GJ × EF_NG;</w:t>
      </w:r>
    </w:p>
    <w:p>
      <w:pPr>
        <w:pStyle w:val="ListBullet"/>
      </w:pPr>
      <w:r>
        <w:t>EAF fp = DRI carbon − steel carbon;</w:t>
      </w:r>
    </w:p>
    <w:p>
      <w:pPr>
        <w:pStyle w:val="ListBullet"/>
      </w:pPr>
      <w:r>
        <w:t>EAF np = electrodes + charge carbon + limestone.</w:t>
      </w:r>
    </w:p>
    <w:p>
      <w:pPr>
        <w:pStyle w:val="ListBullet"/>
      </w:pPr>
      <w:r>
        <w:rPr>
          <w:b/>
        </w:rPr>
        <w:t>Clinker:</w:t>
      </w:r>
    </w:p>
    <w:p>
      <w:pPr>
        <w:pStyle w:val="ListBullet"/>
      </w:pPr>
      <w:r>
        <w:t>fc = 3.5 GJ/t × fuel-mix EF 0.0896 (coal 45 / petcoke 40 / NG 5 / HFO 2 / alternative fuels 8%) = 0.314;</w:t>
      </w:r>
    </w:p>
    <w:p>
      <w:pPr>
        <w:pStyle w:val="ListBullet"/>
      </w:pPr>
      <w:r>
        <w:t>np = (0.65 × 0.785 + 0.015 × 1.092) × 1.02 = 0.537;</w:t>
      </w:r>
    </w:p>
    <w:p>
      <w:pPr>
        <w:pStyle w:val="ListBullet"/>
      </w:pPr>
      <w:r>
        <w:t>cement memo at clinker ratio 0.85: 0.723.</w:t>
      </w:r>
    </w:p>
    <w:p>
      <w:pPr>
        <w:pStyle w:val="ListBullet"/>
      </w:pPr>
      <w:r>
        <w:rPr>
          <w:b/>
        </w:rPr>
        <w:t>Ammonia:</w:t>
      </w:r>
    </w:p>
    <w:p>
      <w:pPr>
        <w:pStyle w:val="ListBullet"/>
      </w:pPr>
      <w:r>
        <w:t>fp = feed 22.5 GJ × EF_NG = 1.262;</w:t>
      </w:r>
    </w:p>
    <w:p>
      <w:pPr>
        <w:pStyle w:val="ListBullet"/>
      </w:pPr>
      <w:r>
        <w:t>fc = (35.2 − 22.5) GJ × EF_NG = 0.712.</w:t>
      </w:r>
    </w:p>
    <w:p>
      <w:pPr>
        <w:pStyle w:val="ListBullet"/>
      </w:pPr>
      <w:r>
        <w:rPr>
          <w:b/>
        </w:rPr>
        <w:t>Nitric acid:</w:t>
      </w:r>
      <w:r>
        <w:t xml:space="preserve"> no = [0.5 × 2.5 + 0.5 × 7.0] kg N₂O × 265/1000 = 1.259 per t HNO₃.</w:t>
      </w:r>
    </w:p>
    <w:p>
      <w:pPr>
        <w:pStyle w:val="ListBullet"/>
      </w:pPr>
      <w:r>
        <w:rPr>
          <w:b/>
        </w:rPr>
        <w:t>Aluminium:</w:t>
      </w:r>
    </w:p>
    <w:p>
      <w:pPr>
        <w:pStyle w:val="ListBullet"/>
      </w:pPr>
      <w:r>
        <w:t>np = anode 0.44 × (1 − 0.024) × 3.664 + baking 0.05 = 1.623;</w:t>
      </w:r>
    </w:p>
    <w:p>
      <w:pPr>
        <w:pStyle w:val="ListBullet"/>
      </w:pPr>
      <w:r>
        <w:t>no = (CF₄ 0.10 × 6630 + C₂F₆ 0.01 × 11100)/1000 = 0.774;</w:t>
      </w:r>
    </w:p>
    <w:p>
      <w:pPr>
        <w:pStyle w:val="ListBullet"/>
      </w:pPr>
      <w:r>
        <w:t>fc = 2.2 GJ × EF_NG = 0.123.</w:t>
      </w:r>
    </w:p>
    <w:p>
      <w:pPr>
        <w:pStyle w:val="Heading3"/>
      </w:pPr>
      <w:r>
        <w:t>A.3 Results (own process, CBAM conventions, tCO₂e/t)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spacing w:after="0"/>
            </w:pPr>
            <w:r>
              <w:rPr>
                <w:b/>
              </w:rPr>
            </w:r>
            <w:r>
              <w:rPr>
                <w:b/>
                <w:sz w:val="16"/>
              </w:rPr>
              <w:t>Good (kernel row)</w:t>
            </w:r>
          </w:p>
        </w:tc>
        <w:tc>
          <w:tcPr>
            <w:tcW w:type="dxa" w:w="1260"/>
          </w:tcPr>
          <w:p>
            <w:pPr>
              <w:spacing w:after="0"/>
            </w:pPr>
            <w:r>
              <w:rPr>
                <w:b/>
              </w:rPr>
            </w:r>
            <w:r>
              <w:rPr>
                <w:b/>
                <w:sz w:val="16"/>
              </w:rPr>
              <w:t>fc</w:t>
            </w:r>
          </w:p>
        </w:tc>
        <w:tc>
          <w:tcPr>
            <w:tcW w:type="dxa" w:w="1260"/>
          </w:tcPr>
          <w:p>
            <w:pPr>
              <w:spacing w:after="0"/>
            </w:pPr>
            <w:r>
              <w:rPr>
                <w:b/>
              </w:rPr>
            </w:r>
            <w:r>
              <w:rPr>
                <w:b/>
                <w:sz w:val="16"/>
              </w:rPr>
              <w:t>fp</w:t>
            </w:r>
          </w:p>
        </w:tc>
        <w:tc>
          <w:tcPr>
            <w:tcW w:type="dxa" w:w="1260"/>
          </w:tcPr>
          <w:p>
            <w:pPr>
              <w:spacing w:after="0"/>
            </w:pPr>
            <w:r>
              <w:rPr>
                <w:b/>
              </w:rPr>
            </w:r>
            <w:r>
              <w:rPr>
                <w:b/>
                <w:sz w:val="16"/>
              </w:rPr>
              <w:t>np</w:t>
            </w:r>
          </w:p>
        </w:tc>
        <w:tc>
          <w:tcPr>
            <w:tcW w:type="dxa" w:w="1260"/>
          </w:tcPr>
          <w:p>
            <w:pPr>
              <w:spacing w:after="0"/>
            </w:pPr>
            <w:r>
              <w:rPr>
                <w:b/>
              </w:rPr>
            </w:r>
            <w:r>
              <w:rPr>
                <w:b/>
                <w:sz w:val="16"/>
              </w:rPr>
              <w:t>no</w:t>
            </w:r>
          </w:p>
        </w:tc>
        <w:tc>
          <w:tcPr>
            <w:tcW w:type="dxa" w:w="1260"/>
          </w:tcPr>
          <w:p>
            <w:pPr>
              <w:spacing w:after="0"/>
            </w:pPr>
            <w:r>
              <w:rPr>
                <w:b/>
              </w:rPr>
            </w:r>
            <w:r>
              <w:rPr>
                <w:b/>
                <w:sz w:val="16"/>
              </w:rPr>
              <w:t>Own</w:t>
            </w:r>
          </w:p>
        </w:tc>
        <w:tc>
          <w:tcPr>
            <w:tcW w:type="dxa" w:w="1260"/>
          </w:tcPr>
          <w:p>
            <w:pPr>
              <w:spacing w:after="0"/>
            </w:pPr>
            <w:r>
              <w:rPr>
                <w:b/>
              </w:rPr>
            </w:r>
            <w:r>
              <w:rPr>
                <w:b/>
                <w:sz w:val="16"/>
              </w:rPr>
              <w:t>Chain</w:t>
            </w:r>
          </w:p>
        </w:tc>
        <w:tc>
          <w:tcPr>
            <w:tcW w:type="dxa" w:w="1260"/>
          </w:tcPr>
          <w:p>
            <w:pPr>
              <w:spacing w:after="0"/>
            </w:pPr>
            <w:r>
              <w:rPr>
                <w:b/>
              </w:rPr>
            </w:r>
            <w:r>
              <w:rPr>
                <w:b/>
                <w:sz w:val="16"/>
              </w:rPr>
              <w:t>Kernel v0.13 (before T5)</w:t>
            </w:r>
          </w:p>
        </w:tc>
      </w:tr>
      <w:tr>
        <w:tc>
          <w:tcPr>
            <w:tcW w:type="dxa" w:w="1260"/>
          </w:tcPr>
          <w:p>
            <w:pPr>
              <w:spacing w:after="0"/>
            </w:pPr>
            <w:r/>
            <w:r>
              <w:rPr>
                <w:sz w:val="16"/>
              </w:rPr>
              <w:t>DRI-EAF steel (30)</w:t>
            </w:r>
          </w:p>
        </w:tc>
        <w:tc>
          <w:tcPr>
            <w:tcW w:type="dxa" w:w="1260"/>
          </w:tcPr>
          <w:p>
            <w:pPr>
              <w:spacing w:after="0"/>
            </w:pPr>
            <w:r/>
            <w:r>
              <w:rPr>
                <w:sz w:val="16"/>
              </w:rPr>
              <w:t>0.178</w:t>
            </w:r>
          </w:p>
        </w:tc>
        <w:tc>
          <w:tcPr>
            <w:tcW w:type="dxa" w:w="1260"/>
          </w:tcPr>
          <w:p>
            <w:pPr>
              <w:spacing w:after="0"/>
            </w:pPr>
            <w:r/>
            <w:r>
              <w:rPr>
                <w:sz w:val="16"/>
              </w:rPr>
              <w:t>0.393</w:t>
            </w:r>
          </w:p>
        </w:tc>
        <w:tc>
          <w:tcPr>
            <w:tcW w:type="dxa" w:w="1260"/>
          </w:tcPr>
          <w:p>
            <w:pPr>
              <w:spacing w:after="0"/>
            </w:pPr>
            <w:r/>
            <w:r>
              <w:rPr>
                <w:sz w:val="16"/>
              </w:rPr>
              <w:t>0.038</w:t>
            </w:r>
          </w:p>
        </w:tc>
        <w:tc>
          <w:tcPr>
            <w:tcW w:type="dxa" w:w="1260"/>
          </w:tcPr>
          <w:p>
            <w:pPr>
              <w:spacing w:after="0"/>
            </w:pPr>
            <w:r/>
            <w:r>
              <w:rPr>
                <w:sz w:val="16"/>
              </w:rPr>
              <w:t>0</w:t>
            </w:r>
          </w:p>
        </w:tc>
        <w:tc>
          <w:tcPr>
            <w:tcW w:type="dxa" w:w="1260"/>
          </w:tcPr>
          <w:p>
            <w:pPr>
              <w:spacing w:after="0"/>
            </w:pPr>
            <w:r/>
            <w:r>
              <w:rPr>
                <w:b/>
                <w:sz w:val="16"/>
              </w:rPr>
              <w:t>0.609</w:t>
            </w:r>
          </w:p>
        </w:tc>
        <w:tc>
          <w:tcPr>
            <w:tcW w:type="dxa" w:w="1260"/>
          </w:tcPr>
          <w:p>
            <w:pPr>
              <w:spacing w:after="0"/>
            </w:pPr>
            <w:r/>
            <w:r>
              <w:rPr>
                <w:sz w:val="16"/>
              </w:rPr>
              <w:t>0.609</w:t>
            </w:r>
          </w:p>
        </w:tc>
        <w:tc>
          <w:tcPr>
            <w:tcW w:type="dxa" w:w="1260"/>
          </w:tcPr>
          <w:p>
            <w:pPr>
              <w:spacing w:after="0"/>
            </w:pPr>
            <w:r/>
            <w:r>
              <w:rPr>
                <w:sz w:val="16"/>
              </w:rPr>
              <w:t>0.730</w:t>
            </w:r>
          </w:p>
        </w:tc>
      </w:tr>
      <w:tr>
        <w:tc>
          <w:tcPr>
            <w:tcW w:type="dxa" w:w="1260"/>
          </w:tcPr>
          <w:p>
            <w:pPr>
              <w:spacing w:after="0"/>
            </w:pPr>
            <w:r/>
            <w:r>
              <w:rPr>
                <w:sz w:val="16"/>
              </w:rPr>
              <w:t>Scrap-EAF steel (31)</w:t>
            </w:r>
          </w:p>
        </w:tc>
        <w:tc>
          <w:tcPr>
            <w:tcW w:type="dxa" w:w="1260"/>
          </w:tcPr>
          <w:p>
            <w:pPr>
              <w:spacing w:after="0"/>
            </w:pPr>
            <w:r/>
            <w:r>
              <w:rPr>
                <w:sz w:val="16"/>
              </w:rPr>
              <w:t>0.045</w:t>
            </w:r>
          </w:p>
        </w:tc>
        <w:tc>
          <w:tcPr>
            <w:tcW w:type="dxa" w:w="1260"/>
          </w:tcPr>
          <w:p>
            <w:pPr>
              <w:spacing w:after="0"/>
            </w:pPr>
            <w:r/>
            <w:r>
              <w:rPr>
                <w:sz w:val="16"/>
              </w:rPr>
              <w:t>0</w:t>
            </w:r>
          </w:p>
        </w:tc>
        <w:tc>
          <w:tcPr>
            <w:tcW w:type="dxa" w:w="1260"/>
          </w:tcPr>
          <w:p>
            <w:pPr>
              <w:spacing w:after="0"/>
            </w:pPr>
            <w:r/>
            <w:r>
              <w:rPr>
                <w:sz w:val="16"/>
              </w:rPr>
              <w:t>0.044</w:t>
            </w:r>
          </w:p>
        </w:tc>
        <w:tc>
          <w:tcPr>
            <w:tcW w:type="dxa" w:w="1260"/>
          </w:tcPr>
          <w:p>
            <w:pPr>
              <w:spacing w:after="0"/>
            </w:pPr>
            <w:r/>
            <w:r>
              <w:rPr>
                <w:sz w:val="16"/>
              </w:rPr>
              <w:t>0</w:t>
            </w:r>
          </w:p>
        </w:tc>
        <w:tc>
          <w:tcPr>
            <w:tcW w:type="dxa" w:w="1260"/>
          </w:tcPr>
          <w:p>
            <w:pPr>
              <w:spacing w:after="0"/>
            </w:pPr>
            <w:r/>
            <w:r>
              <w:rPr>
                <w:b/>
                <w:sz w:val="16"/>
              </w:rPr>
              <w:t>0.089</w:t>
            </w:r>
          </w:p>
        </w:tc>
        <w:tc>
          <w:tcPr>
            <w:tcW w:type="dxa" w:w="1260"/>
          </w:tcPr>
          <w:p>
            <w:pPr>
              <w:spacing w:after="0"/>
            </w:pPr>
            <w:r/>
            <w:r>
              <w:rPr>
                <w:sz w:val="16"/>
              </w:rPr>
              <w:t>0.089</w:t>
            </w:r>
          </w:p>
        </w:tc>
        <w:tc>
          <w:tcPr>
            <w:tcW w:type="dxa" w:w="1260"/>
          </w:tcPr>
          <w:p>
            <w:pPr>
              <w:spacing w:after="0"/>
            </w:pPr>
            <w:r/>
            <w:r>
              <w:rPr>
                <w:sz w:val="16"/>
              </w:rPr>
              <w:t>0.155</w:t>
            </w:r>
          </w:p>
        </w:tc>
      </w:tr>
      <w:tr>
        <w:tc>
          <w:tcPr>
            <w:tcW w:type="dxa" w:w="1260"/>
          </w:tcPr>
          <w:p>
            <w:pPr>
              <w:spacing w:after="0"/>
            </w:pPr>
            <w:r/>
            <w:r>
              <w:rPr>
                <w:sz w:val="16"/>
              </w:rPr>
              <w:t>BF-BOF steel, reference (32)</w:t>
            </w:r>
          </w:p>
        </w:tc>
        <w:tc>
          <w:tcPr>
            <w:tcW w:type="dxa" w:w="1260"/>
          </w:tcPr>
          <w:p>
            <w:pPr>
              <w:spacing w:after="0"/>
            </w:pPr>
            <w:r/>
            <w:r>
              <w:rPr>
                <w:sz w:val="16"/>
              </w:rPr>
              <w:t>0.168</w:t>
            </w:r>
          </w:p>
        </w:tc>
        <w:tc>
          <w:tcPr>
            <w:tcW w:type="dxa" w:w="1260"/>
          </w:tcPr>
          <w:p>
            <w:pPr>
              <w:spacing w:after="0"/>
            </w:pPr>
            <w:r/>
            <w:r>
              <w:rPr>
                <w:sz w:val="16"/>
              </w:rPr>
              <w:t>1.257</w:t>
            </w:r>
          </w:p>
        </w:tc>
        <w:tc>
          <w:tcPr>
            <w:tcW w:type="dxa" w:w="1260"/>
          </w:tcPr>
          <w:p>
            <w:pPr>
              <w:spacing w:after="0"/>
            </w:pPr>
            <w:r/>
            <w:r>
              <w:rPr>
                <w:sz w:val="16"/>
              </w:rPr>
              <w:t>0.053</w:t>
            </w:r>
          </w:p>
        </w:tc>
        <w:tc>
          <w:tcPr>
            <w:tcW w:type="dxa" w:w="1260"/>
          </w:tcPr>
          <w:p>
            <w:pPr>
              <w:spacing w:after="0"/>
            </w:pPr>
            <w:r/>
            <w:r>
              <w:rPr>
                <w:sz w:val="16"/>
              </w:rPr>
              <w:t>0</w:t>
            </w:r>
          </w:p>
        </w:tc>
        <w:tc>
          <w:tcPr>
            <w:tcW w:type="dxa" w:w="1260"/>
          </w:tcPr>
          <w:p>
            <w:pPr>
              <w:spacing w:after="0"/>
            </w:pPr>
            <w:r/>
            <w:r>
              <w:rPr>
                <w:b/>
                <w:sz w:val="16"/>
              </w:rPr>
              <w:t>1.478</w:t>
            </w:r>
          </w:p>
        </w:tc>
        <w:tc>
          <w:tcPr>
            <w:tcW w:type="dxa" w:w="1260"/>
          </w:tcPr>
          <w:p>
            <w:pPr>
              <w:spacing w:after="0"/>
            </w:pPr>
            <w:r/>
            <w:r>
              <w:rPr>
                <w:sz w:val="16"/>
              </w:rPr>
              <w:t>1.478</w:t>
            </w:r>
          </w:p>
        </w:tc>
        <w:tc>
          <w:tcPr>
            <w:tcW w:type="dxa" w:w="1260"/>
          </w:tcPr>
          <w:p>
            <w:pPr>
              <w:spacing w:after="0"/>
            </w:pPr>
            <w:r/>
            <w:r>
              <w:rPr>
                <w:sz w:val="16"/>
              </w:rPr>
              <w:t>2.172</w:t>
            </w:r>
          </w:p>
        </w:tc>
      </w:tr>
      <w:tr>
        <w:tc>
          <w:tcPr>
            <w:tcW w:type="dxa" w:w="1260"/>
          </w:tcPr>
          <w:p>
            <w:pPr>
              <w:spacing w:after="0"/>
            </w:pPr>
            <w:r/>
            <w:r>
              <w:rPr>
                <w:sz w:val="16"/>
              </w:rPr>
              <w:t>Grey clinker (33)</w:t>
            </w:r>
          </w:p>
        </w:tc>
        <w:tc>
          <w:tcPr>
            <w:tcW w:type="dxa" w:w="1260"/>
          </w:tcPr>
          <w:p>
            <w:pPr>
              <w:spacing w:after="0"/>
            </w:pPr>
            <w:r/>
            <w:r>
              <w:rPr>
                <w:sz w:val="16"/>
              </w:rPr>
              <w:t>0.314</w:t>
            </w:r>
          </w:p>
        </w:tc>
        <w:tc>
          <w:tcPr>
            <w:tcW w:type="dxa" w:w="1260"/>
          </w:tcPr>
          <w:p>
            <w:pPr>
              <w:spacing w:after="0"/>
            </w:pPr>
            <w:r/>
            <w:r>
              <w:rPr>
                <w:sz w:val="16"/>
              </w:rPr>
              <w:t>0</w:t>
            </w:r>
          </w:p>
        </w:tc>
        <w:tc>
          <w:tcPr>
            <w:tcW w:type="dxa" w:w="1260"/>
          </w:tcPr>
          <w:p>
            <w:pPr>
              <w:spacing w:after="0"/>
            </w:pPr>
            <w:r/>
            <w:r>
              <w:rPr>
                <w:sz w:val="16"/>
              </w:rPr>
              <w:t>0.537</w:t>
            </w:r>
          </w:p>
        </w:tc>
        <w:tc>
          <w:tcPr>
            <w:tcW w:type="dxa" w:w="1260"/>
          </w:tcPr>
          <w:p>
            <w:pPr>
              <w:spacing w:after="0"/>
            </w:pPr>
            <w:r/>
            <w:r>
              <w:rPr>
                <w:sz w:val="16"/>
              </w:rPr>
              <w:t>0</w:t>
            </w:r>
          </w:p>
        </w:tc>
        <w:tc>
          <w:tcPr>
            <w:tcW w:type="dxa" w:w="1260"/>
          </w:tcPr>
          <w:p>
            <w:pPr>
              <w:spacing w:after="0"/>
            </w:pPr>
            <w:r/>
            <w:r>
              <w:rPr>
                <w:b/>
                <w:sz w:val="16"/>
              </w:rPr>
              <w:t>0.851</w:t>
            </w:r>
          </w:p>
        </w:tc>
        <w:tc>
          <w:tcPr>
            <w:tcW w:type="dxa" w:w="1260"/>
          </w:tcPr>
          <w:p>
            <w:pPr>
              <w:spacing w:after="0"/>
            </w:pPr>
            <w:r/>
            <w:r>
              <w:rPr>
                <w:sz w:val="16"/>
              </w:rPr>
              <w:t>0.851</w:t>
            </w:r>
          </w:p>
        </w:tc>
        <w:tc>
          <w:tcPr>
            <w:tcW w:type="dxa" w:w="1260"/>
          </w:tcPr>
          <w:p>
            <w:pPr>
              <w:spacing w:after="0"/>
            </w:pPr>
            <w:r/>
            <w:r>
              <w:rPr>
                <w:sz w:val="16"/>
              </w:rPr>
              <w:t>0.814</w:t>
            </w:r>
          </w:p>
        </w:tc>
      </w:tr>
      <w:tr>
        <w:tc>
          <w:tcPr>
            <w:tcW w:type="dxa" w:w="1260"/>
          </w:tcPr>
          <w:p>
            <w:pPr>
              <w:spacing w:after="0"/>
            </w:pPr>
            <w:r/>
            <w:r>
              <w:rPr>
                <w:sz w:val="16"/>
              </w:rPr>
              <w:t>Ammonia (34)</w:t>
            </w:r>
          </w:p>
        </w:tc>
        <w:tc>
          <w:tcPr>
            <w:tcW w:type="dxa" w:w="1260"/>
          </w:tcPr>
          <w:p>
            <w:pPr>
              <w:spacing w:after="0"/>
            </w:pPr>
            <w:r/>
            <w:r>
              <w:rPr>
                <w:sz w:val="16"/>
              </w:rPr>
              <w:t>0.712</w:t>
            </w:r>
          </w:p>
        </w:tc>
        <w:tc>
          <w:tcPr>
            <w:tcW w:type="dxa" w:w="1260"/>
          </w:tcPr>
          <w:p>
            <w:pPr>
              <w:spacing w:after="0"/>
            </w:pPr>
            <w:r/>
            <w:r>
              <w:rPr>
                <w:sz w:val="16"/>
              </w:rPr>
              <w:t>1.262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1.975</w:t>
            </w:r>
          </w:p>
        </w:tc>
        <w:tc>
          <w:tcPr>
            <w:tcW w:type="dxa" w:w="1260"/>
          </w:tcPr>
          <w:p>
            <w:pPr>
              <w:spacing w:after="0"/>
            </w:pPr>
            <w:r/>
            <w:r>
              <w:rPr>
                <w:sz w:val="16"/>
              </w:rPr>
              <w:t>1.975</w:t>
            </w:r>
          </w:p>
        </w:tc>
        <w:tc>
          <w:tcPr>
            <w:tcW w:type="dxa" w:w="1260"/>
          </w:tcPr>
          <w:p>
            <w:pPr>
              <w:spacing w:after="0"/>
            </w:pPr>
            <w:r/>
            <w:r>
              <w:rPr>
                <w:sz w:val="16"/>
              </w:rPr>
              <w:t>1.851</w:t>
            </w:r>
          </w:p>
        </w:tc>
      </w:tr>
      <w:tr>
        <w:tc>
          <w:tcPr>
            <w:tcW w:type="dxa" w:w="1260"/>
          </w:tcPr>
          <w:p>
            <w:pPr>
              <w:spacing w:after="0"/>
            </w:pPr>
            <w:r/>
            <w:r>
              <w:rPr>
                <w:sz w:val="16"/>
              </w:rPr>
              <w:t>Urea (35)</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1.238</w:t>
            </w:r>
          </w:p>
        </w:tc>
        <w:tc>
          <w:tcPr>
            <w:tcW w:type="dxa" w:w="1260"/>
          </w:tcPr>
          <w:p>
            <w:pPr>
              <w:spacing w:after="0"/>
            </w:pPr>
            <w:r/>
            <w:r>
              <w:rPr>
                <w:sz w:val="16"/>
              </w:rPr>
              <w:t>−0.621</w:t>
            </w:r>
          </w:p>
        </w:tc>
      </w:tr>
      <w:tr>
        <w:tc>
          <w:tcPr>
            <w:tcW w:type="dxa" w:w="1260"/>
          </w:tcPr>
          <w:p>
            <w:pPr>
              <w:spacing w:after="0"/>
            </w:pPr>
            <w:r/>
            <w:r>
              <w:rPr>
                <w:sz w:val="16"/>
              </w:rPr>
              <w:t>Ammonium nitrate (36)</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1.953</w:t>
            </w:r>
          </w:p>
        </w:tc>
        <w:tc>
          <w:tcPr>
            <w:tcW w:type="dxa" w:w="1260"/>
          </w:tcPr>
          <w:p>
            <w:pPr>
              <w:spacing w:after="0"/>
            </w:pPr>
            <w:r/>
            <w:r>
              <w:rPr>
                <w:sz w:val="16"/>
              </w:rPr>
              <w:t>1.082</w:t>
            </w:r>
          </w:p>
        </w:tc>
      </w:tr>
      <w:tr>
        <w:tc>
          <w:tcPr>
            <w:tcW w:type="dxa" w:w="1260"/>
          </w:tcPr>
          <w:p>
            <w:pPr>
              <w:spacing w:after="0"/>
            </w:pPr>
            <w:r/>
            <w:r>
              <w:rPr>
                <w:sz w:val="16"/>
              </w:rPr>
              <w:t>Primary aluminium (37)</w:t>
            </w:r>
          </w:p>
        </w:tc>
        <w:tc>
          <w:tcPr>
            <w:tcW w:type="dxa" w:w="1260"/>
          </w:tcPr>
          <w:p>
            <w:pPr>
              <w:spacing w:after="0"/>
            </w:pPr>
            <w:r/>
            <w:r>
              <w:rPr>
                <w:sz w:val="16"/>
              </w:rPr>
              <w:t>0.123</w:t>
            </w:r>
          </w:p>
        </w:tc>
        <w:tc>
          <w:tcPr>
            <w:tcW w:type="dxa" w:w="1260"/>
          </w:tcPr>
          <w:p>
            <w:pPr>
              <w:spacing w:after="0"/>
            </w:pPr>
            <w:r/>
            <w:r>
              <w:rPr>
                <w:sz w:val="16"/>
              </w:rPr>
              <w:t>0</w:t>
            </w:r>
          </w:p>
        </w:tc>
        <w:tc>
          <w:tcPr>
            <w:tcW w:type="dxa" w:w="1260"/>
          </w:tcPr>
          <w:p>
            <w:pPr>
              <w:spacing w:after="0"/>
            </w:pPr>
            <w:r/>
            <w:r>
              <w:rPr>
                <w:sz w:val="16"/>
              </w:rPr>
              <w:t>1.623</w:t>
            </w:r>
          </w:p>
        </w:tc>
        <w:tc>
          <w:tcPr>
            <w:tcW w:type="dxa" w:w="1260"/>
          </w:tcPr>
          <w:p>
            <w:pPr>
              <w:spacing w:after="0"/>
            </w:pPr>
            <w:r/>
            <w:r>
              <w:rPr>
                <w:sz w:val="16"/>
              </w:rPr>
              <w:t>0.774</w:t>
            </w:r>
          </w:p>
        </w:tc>
        <w:tc>
          <w:tcPr>
            <w:tcW w:type="dxa" w:w="1260"/>
          </w:tcPr>
          <w:p>
            <w:pPr>
              <w:spacing w:after="0"/>
            </w:pPr>
            <w:r/>
            <w:r>
              <w:rPr>
                <w:b/>
                <w:sz w:val="16"/>
              </w:rPr>
              <w:t>2.521</w:t>
            </w:r>
          </w:p>
        </w:tc>
        <w:tc>
          <w:tcPr>
            <w:tcW w:type="dxa" w:w="1260"/>
          </w:tcPr>
          <w:p>
            <w:pPr>
              <w:spacing w:after="0"/>
            </w:pPr>
            <w:r/>
            <w:r>
              <w:rPr>
                <w:sz w:val="16"/>
              </w:rPr>
              <w:t>2.521</w:t>
            </w:r>
          </w:p>
        </w:tc>
        <w:tc>
          <w:tcPr>
            <w:tcW w:type="dxa" w:w="1260"/>
          </w:tcPr>
          <w:p>
            <w:pPr>
              <w:spacing w:after="0"/>
            </w:pPr>
            <w:r/>
            <w:r>
              <w:rPr>
                <w:sz w:val="16"/>
              </w:rPr>
              <w:t>2.506</w:t>
            </w:r>
          </w:p>
        </w:tc>
      </w:tr>
    </w:tbl>
    <w:p/>
    <w:p>
      <w:r>
        <w:rPr>
          <w:b/>
        </w:rPr>
        <w:t>Kernel v0.15 uses these fc / fp / np / no values</w:t>
      </w:r>
      <w:r>
        <w:t xml:space="preserve"> (</w:t>
      </w:r>
      <w:r>
        <w:rPr>
          <w:rFonts w:ascii="Consolas" w:hAnsi="Consolas" w:eastAsia="Consolas"/>
        </w:rPr>
        <w:t>Manual inputs</w:t>
      </w:r>
      <w:r>
        <w:t xml:space="preserve"> H30:K37), with two conventions: urea np = 0 (as here) and AN no = 0.9944 (HNO₃ N₂O 0.79 × 1.2588 folded into own emissions, so AN own = 1.107). The last column shows the pre-T5 kernel values.</w:t>
      </w:r>
    </w:p>
    <w:p>
      <w:r>
        <w:rPr>
          <w:b/>
        </w:rPr>
        <w:t>Why the results differ from the pre-T5 kernel (v0.13):</w:t>
      </w:r>
    </w:p>
    <w:p>
      <w:pPr>
        <w:pStyle w:val="ListBullet"/>
      </w:pPr>
      <w:r>
        <w:rPr>
          <w:b/>
        </w:rPr>
        <w:t>Urea:</w:t>
      </w:r>
      <w:r>
        <w:t xml:space="preserve"> CBAM rule here, inventory netting in the kernel.</w:t>
      </w:r>
    </w:p>
    <w:p>
      <w:pPr>
        <w:pStyle w:val="ListBullet"/>
      </w:pPr>
      <w:r>
        <w:rPr>
          <w:b/>
        </w:rPr>
        <w:t>AN:</w:t>
      </w:r>
      <w:r>
        <w:t xml:space="preserve"> the kernel folds 0.97 of HNO₃ N₂O into own emissions.</w:t>
      </w:r>
    </w:p>
    <w:p>
      <w:pPr>
        <w:pStyle w:val="ListBullet"/>
      </w:pPr>
      <w:r>
        <w:rPr>
          <w:b/>
        </w:rPr>
        <w:t>DRI-EAF:</w:t>
      </w:r>
      <w:r>
        <w:t xml:space="preserve"> rebuilt from a carbon balance, because the kernel's EF-input columns S:V are inconsistent with its own H:I values.</w:t>
      </w:r>
    </w:p>
    <w:p>
      <w:pPr>
        <w:pStyle w:val="ListBullet"/>
      </w:pPr>
      <w:r>
        <w:rPr>
          <w:b/>
        </w:rPr>
        <w:t>Ammonia:</w:t>
      </w:r>
      <w:r>
        <w:t xml:space="preserve"> 35.2 GJ/t here versus about 33 in the kernel.</w:t>
      </w:r>
    </w:p>
    <w:p>
      <w:pPr>
        <w:pStyle w:val="ListBullet"/>
      </w:pPr>
      <w:r>
        <w:rPr>
          <w:b/>
        </w:rPr>
        <w:t>Clinker and aluminium:</w:t>
      </w:r>
      <w:r>
        <w:t xml:space="preserve"> within 5% of the kernel.</w:t>
      </w:r>
    </w:p>
    <w:p>
      <w:pPr>
        <w:pStyle w:val="Heading3"/>
      </w:pPr>
      <w:r>
        <w:t>A.4 Checks</w:t>
      </w:r>
    </w:p>
    <w:p>
      <w:r>
        <w:t>The workbook runs 14 checks:</w:t>
      </w:r>
    </w:p>
    <w:p>
      <w:pPr>
        <w:pStyle w:val="ListBullet"/>
      </w:pPr>
      <w:r>
        <w:rPr>
          <w:b/>
        </w:rPr>
        <w:t>Structural:</w:t>
      </w:r>
      <w:r>
        <w:t xml:space="preserve"> carbon balance, fuel shares, bounds.</w:t>
      </w:r>
    </w:p>
    <w:p>
      <w:pPr>
        <w:pStyle w:val="ListBullet"/>
      </w:pPr>
      <w:r>
        <w:rPr>
          <w:b/>
        </w:rPr>
        <w:t>Integrity:</w:t>
      </w:r>
      <w:r>
        <w:t xml:space="preserve"> totals equal the sum of components; no negative components.</w:t>
      </w:r>
    </w:p>
    <w:p>
      <w:pPr>
        <w:pStyle w:val="ListBullet"/>
      </w:pPr>
      <w:r>
        <w:rPr>
          <w:b/>
        </w:rPr>
        <w:t>Plausibility against IPCC Tier 1:</w:t>
      </w:r>
    </w:p>
    <w:p>
      <w:pPr>
        <w:pStyle w:val="ListBullet"/>
      </w:pPr>
      <w:r>
        <w:t>ammonia 1.694–2.104;</w:t>
      </w:r>
    </w:p>
    <w:p>
      <w:pPr>
        <w:pStyle w:val="ListBullet"/>
      </w:pPr>
      <w:r>
        <w:t>clinker np 0.50–0.55;</w:t>
      </w:r>
    </w:p>
    <w:p>
      <w:pPr>
        <w:pStyle w:val="ListBullet"/>
      </w:pPr>
      <w:r>
        <w:t>aluminium np 1.45–1.75;</w:t>
      </w:r>
    </w:p>
    <w:p>
      <w:pPr>
        <w:pStyle w:val="ListBullet"/>
      </w:pPr>
      <w:r>
        <w:t>DRI.</w:t>
      </w:r>
    </w:p>
    <w:p>
      <w:pPr>
        <w:pStyle w:val="ListBullet"/>
      </w:pPr>
      <w:r>
        <w:rPr>
          <w:b/>
        </w:rPr>
        <w:t>Information:</w:t>
      </w:r>
      <w:r>
        <w:t xml:space="preserve"> reconciliation of about 50.7 MtCO₂e at kernel production volumes, of which clinker is about 42.6, to be compared with the BTR inventory.</w:t>
      </w:r>
    </w:p>
    <w:p>
      <w:pPr>
        <w:pStyle w:val="Heading3"/>
      </w:pPr>
      <w:r>
        <w:t>A.5 How the split is used</w:t>
      </w:r>
    </w:p>
    <w:p>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pPr>
        <w:pStyle w:val="Heading3"/>
      </w:pPr>
      <w:r>
        <w:t>A.6 VERIFY list (in order of impact)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w:t>
            </w:r>
          </w:p>
        </w:tc>
        <w:tc>
          <w:tcPr>
            <w:tcW w:type="dxa" w:w="2520"/>
          </w:tcPr>
          <w:p>
            <w:pPr>
              <w:spacing w:after="0"/>
            </w:pPr>
            <w:r>
              <w:rPr>
                <w:b/>
              </w:rPr>
            </w:r>
            <w:r>
              <w:rPr>
                <w:b/>
                <w:sz w:val="16"/>
              </w:rPr>
              <w:t>Input</w:t>
            </w:r>
          </w:p>
        </w:tc>
        <w:tc>
          <w:tcPr>
            <w:tcW w:type="dxa" w:w="2520"/>
          </w:tcPr>
          <w:p>
            <w:pPr>
              <w:spacing w:after="0"/>
            </w:pPr>
            <w:r>
              <w:rPr>
                <w:b/>
              </w:rPr>
            </w:r>
            <w:r>
              <w:rPr>
                <w:b/>
                <w:sz w:val="16"/>
              </w:rPr>
              <w:t>Current value</w:t>
            </w:r>
          </w:p>
        </w:tc>
        <w:tc>
          <w:tcPr>
            <w:tcW w:type="dxa" w:w="2520"/>
          </w:tcPr>
          <w:p>
            <w:pPr>
              <w:spacing w:after="0"/>
            </w:pPr>
            <w:r>
              <w:rPr>
                <w:b/>
              </w:rPr>
            </w:r>
            <w:r>
              <w:rPr>
                <w:b/>
                <w:sz w:val="16"/>
              </w:rPr>
              <w:t>Sensitivity of the EF</w:t>
            </w:r>
          </w:p>
        </w:tc>
      </w:tr>
      <w:tr>
        <w:tc>
          <w:tcPr>
            <w:tcW w:type="dxa" w:w="2520"/>
          </w:tcPr>
          <w:p>
            <w:pPr>
              <w:spacing w:after="0"/>
            </w:pPr>
            <w:r/>
            <w:r>
              <w:rPr>
                <w:sz w:val="16"/>
              </w:rPr>
              <w:t>1</w:t>
            </w:r>
          </w:p>
        </w:tc>
        <w:tc>
          <w:tcPr>
            <w:tcW w:type="dxa" w:w="2520"/>
          </w:tcPr>
          <w:p>
            <w:pPr>
              <w:spacing w:after="0"/>
            </w:pPr>
            <w:r/>
            <w:r>
              <w:rPr>
                <w:sz w:val="16"/>
              </w:rPr>
              <w:t>Ammonia gas use</w:t>
            </w:r>
          </w:p>
        </w:tc>
        <w:tc>
          <w:tcPr>
            <w:tcW w:type="dxa" w:w="2520"/>
          </w:tcPr>
          <w:p>
            <w:pPr>
              <w:spacing w:after="0"/>
            </w:pPr>
            <w:r/>
            <w:r>
              <w:rPr>
                <w:sz w:val="16"/>
              </w:rPr>
              <w:t>35.2 GJ/t</w:t>
            </w:r>
          </w:p>
        </w:tc>
        <w:tc>
          <w:tcPr>
            <w:tcW w:type="dxa" w:w="2520"/>
          </w:tcPr>
          <w:p>
            <w:pPr>
              <w:spacing w:after="0"/>
            </w:pPr>
            <w:r/>
            <w:r>
              <w:rPr>
                <w:sz w:val="16"/>
              </w:rPr>
              <w:t>±0.056 per GJ</w:t>
            </w:r>
          </w:p>
        </w:tc>
      </w:tr>
      <w:tr>
        <w:tc>
          <w:tcPr>
            <w:tcW w:type="dxa" w:w="2520"/>
          </w:tcPr>
          <w:p>
            <w:pPr>
              <w:spacing w:after="0"/>
            </w:pPr>
            <w:r/>
            <w:r>
              <w:rPr>
                <w:sz w:val="16"/>
              </w:rPr>
              <w:t>2</w:t>
            </w:r>
          </w:p>
        </w:tc>
        <w:tc>
          <w:tcPr>
            <w:tcW w:type="dxa" w:w="2520"/>
          </w:tcPr>
          <w:p>
            <w:pPr>
              <w:spacing w:after="0"/>
            </w:pPr>
            <w:r/>
            <w:r>
              <w:rPr>
                <w:sz w:val="16"/>
              </w:rPr>
              <w:t>HNO₃ N₂O abatement share (Abu Qir CDM)</w:t>
            </w:r>
          </w:p>
        </w:tc>
        <w:tc>
          <w:tcPr>
            <w:tcW w:type="dxa" w:w="2520"/>
          </w:tcPr>
          <w:p>
            <w:pPr>
              <w:spacing w:after="0"/>
            </w:pPr>
            <w:r/>
            <w:r>
              <w:rPr>
                <w:sz w:val="16"/>
              </w:rPr>
              <w:t>50%</w:t>
            </w:r>
          </w:p>
        </w:tc>
        <w:tc>
          <w:tcPr>
            <w:tcW w:type="dxa" w:w="2520"/>
          </w:tcPr>
          <w:p>
            <w:pPr>
              <w:spacing w:after="0"/>
            </w:pPr>
            <w:r/>
            <w:r>
              <w:rPr>
                <w:sz w:val="16"/>
              </w:rPr>
              <w:t>±0.6 per t HNO₃</w:t>
            </w:r>
          </w:p>
        </w:tc>
      </w:tr>
      <w:tr>
        <w:tc>
          <w:tcPr>
            <w:tcW w:type="dxa" w:w="2520"/>
          </w:tcPr>
          <w:p>
            <w:pPr>
              <w:spacing w:after="0"/>
            </w:pPr>
            <w:r/>
            <w:r>
              <w:rPr>
                <w:sz w:val="16"/>
              </w:rPr>
              <w:t>3</w:t>
            </w:r>
          </w:p>
        </w:tc>
        <w:tc>
          <w:tcPr>
            <w:tcW w:type="dxa" w:w="2520"/>
          </w:tcPr>
          <w:p>
            <w:pPr>
              <w:spacing w:after="0"/>
            </w:pPr>
            <w:r/>
            <w:r>
              <w:rPr>
                <w:sz w:val="16"/>
              </w:rPr>
              <w:t>Egyptalum PFC rates</w:t>
            </w:r>
          </w:p>
        </w:tc>
        <w:tc>
          <w:tcPr>
            <w:tcW w:type="dxa" w:w="2520"/>
          </w:tcPr>
          <w:p>
            <w:pPr>
              <w:spacing w:after="0"/>
            </w:pPr>
            <w:r/>
            <w:r>
              <w:rPr>
                <w:sz w:val="16"/>
              </w:rPr>
              <w:t>—</w:t>
            </w:r>
          </w:p>
        </w:tc>
        <w:tc>
          <w:tcPr>
            <w:tcW w:type="dxa" w:w="2520"/>
          </w:tcPr>
          <w:p>
            <w:pPr>
              <w:spacing w:after="0"/>
            </w:pPr>
            <w:r/>
            <w:r>
              <w:rPr>
                <w:sz w:val="16"/>
              </w:rPr>
              <w:t>up to +2.0</w:t>
            </w:r>
          </w:p>
        </w:tc>
      </w:tr>
      <w:tr>
        <w:tc>
          <w:tcPr>
            <w:tcW w:type="dxa" w:w="2520"/>
          </w:tcPr>
          <w:p>
            <w:pPr>
              <w:spacing w:after="0"/>
            </w:pPr>
            <w:r/>
            <w:r>
              <w:rPr>
                <w:sz w:val="16"/>
              </w:rPr>
              <w:t>4</w:t>
            </w:r>
          </w:p>
        </w:tc>
        <w:tc>
          <w:tcPr>
            <w:tcW w:type="dxa" w:w="2520"/>
          </w:tcPr>
          <w:p>
            <w:pPr>
              <w:spacing w:after="0"/>
            </w:pPr>
            <w:r/>
            <w:r>
              <w:rPr>
                <w:sz w:val="16"/>
              </w:rPr>
              <w:t>Kiln fuel mix</w:t>
            </w:r>
          </w:p>
        </w:tc>
        <w:tc>
          <w:tcPr>
            <w:tcW w:type="dxa" w:w="2520"/>
          </w:tcPr>
          <w:p>
            <w:pPr>
              <w:spacing w:after="0"/>
            </w:pPr>
            <w:r/>
            <w:r>
              <w:rPr>
                <w:sz w:val="16"/>
              </w:rPr>
              <w:t>—</w:t>
            </w:r>
          </w:p>
        </w:tc>
        <w:tc>
          <w:tcPr>
            <w:tcW w:type="dxa" w:w="2520"/>
          </w:tcPr>
          <w:p>
            <w:pPr>
              <w:spacing w:after="0"/>
            </w:pPr>
            <w:r/>
            <w:r>
              <w:rPr>
                <w:sz w:val="16"/>
              </w:rPr>
              <w:t>coal↔NG swap ≈ 0.13</w:t>
            </w:r>
          </w:p>
        </w:tc>
      </w:tr>
      <w:tr>
        <w:tc>
          <w:tcPr>
            <w:tcW w:type="dxa" w:w="2520"/>
          </w:tcPr>
          <w:p>
            <w:pPr>
              <w:spacing w:after="0"/>
            </w:pPr>
            <w:r/>
            <w:r>
              <w:rPr>
                <w:sz w:val="16"/>
              </w:rPr>
              <w:t>5</w:t>
            </w:r>
          </w:p>
        </w:tc>
        <w:tc>
          <w:tcPr>
            <w:tcW w:type="dxa" w:w="2520"/>
          </w:tcPr>
          <w:p>
            <w:pPr>
              <w:spacing w:after="0"/>
            </w:pPr>
            <w:r/>
            <w:r>
              <w:rPr>
                <w:sz w:val="16"/>
              </w:rPr>
              <w:t>DRI gas use and feed/fuel split</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6</w:t>
            </w:r>
          </w:p>
        </w:tc>
        <w:tc>
          <w:tcPr>
            <w:tcW w:type="dxa" w:w="2520"/>
          </w:tcPr>
          <w:p>
            <w:pPr>
              <w:spacing w:after="0"/>
            </w:pPr>
            <w:r/>
            <w:r>
              <w:rPr>
                <w:sz w:val="16"/>
              </w:rPr>
              <w:t>Closure of EISCO's blast furnace (unconfirmed)</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7</w:t>
            </w:r>
          </w:p>
        </w:tc>
        <w:tc>
          <w:tcPr>
            <w:tcW w:type="dxa" w:w="2520"/>
          </w:tcPr>
          <w:p>
            <w:pPr>
              <w:spacing w:after="0"/>
            </w:pPr>
            <w:r/>
            <w:r>
              <w:rPr>
                <w:sz w:val="16"/>
              </w:rPr>
              <w:t>EU default values</w:t>
            </w:r>
          </w:p>
        </w:tc>
        <w:tc>
          <w:tcPr>
            <w:tcW w:type="dxa" w:w="2520"/>
          </w:tcPr>
          <w:p>
            <w:pPr>
              <w:spacing w:after="0"/>
            </w:pPr>
            <w:r/>
            <w:r>
              <w:rPr>
                <w:sz w:val="16"/>
              </w:rPr>
              <w:t>—</w:t>
            </w:r>
          </w:p>
        </w:tc>
        <w:tc>
          <w:tcPr>
            <w:tcW w:type="dxa" w:w="2520"/>
          </w:tcPr>
          <w:p>
            <w:pPr>
              <w:spacing w:after="0"/>
            </w:pPr>
            <w:r/>
            <w:r>
              <w:rPr>
                <w:sz w:val="16"/>
              </w:rPr>
              <w:t>—</w:t>
            </w:r>
          </w:p>
        </w:tc>
      </w:tr>
    </w:tbl>
    <w:p/>
    <w:p>
      <w:r>
        <w:t>---</w:t>
      </w:r>
    </w:p>
    <w:p>
      <w:pPr>
        <w:pStyle w:val="Heading1"/>
      </w:pPr>
      <w:r>
        <w:t>Appendix B. Process-emission semi-elasticities (Task D)</w:t>
      </w:r>
    </w:p>
    <w:p>
      <w:r>
        <w:rPr>
          <w:b/>
        </w:rPr>
        <w:t>Sources:</w:t>
      </w:r>
    </w:p>
    <w:p>
      <w:pPr>
        <w:pStyle w:val="ListBullet"/>
      </w:pPr>
      <w:r>
        <w:rPr>
          <w:rFonts w:ascii="Consolas" w:hAnsi="Consolas" w:eastAsia="Consolas"/>
        </w:rPr>
        <w:t>ProcessEmissions_CarbonPrice_Response\ProcessEmissions_CarbonPriceResponse_Report.md</w:t>
      </w:r>
      <w:r>
        <w:t xml:space="preserve"> and its workbook, which contain the derivation;</w:t>
      </w:r>
    </w:p>
    <w:p>
      <w:pPr>
        <w:pStyle w:val="ListBullet"/>
      </w:pPr>
      <w:r>
        <w:rPr>
          <w:rFonts w:ascii="Consolas" w:hAnsi="Consolas" w:eastAsia="Consolas"/>
        </w:rPr>
        <w:t>TASK-D_ProcessHalfElasticities_DropIn_v0.1.md</w:t>
      </w:r>
      <w:r>
        <w:t>, which gives the kernel-ready values.</w:t>
      </w:r>
    </w:p>
    <w:p>
      <w:r>
        <w:t>The earlier near-term MACC draft (</w:t>
      </w:r>
      <w:r>
        <w:rPr>
          <w:rFonts w:ascii="Consolas" w:hAnsi="Consolas" w:eastAsia="Consolas"/>
        </w:rPr>
        <w:t>InitialResultsAndIssues\CBAM_Process_MACC_Audit_Trail.docx</w:t>
      </w:r>
      <w:r>
        <w:t>) is superseded. It assumed undeployed CCS on ammonia (85% at USD 100) and no deployment constraint.</w:t>
      </w:r>
    </w:p>
    <w:p>
      <w:pPr>
        <w:pStyle w:val="Heading3"/>
      </w:pPr>
      <w:r>
        <w:t>B.1 What is being estimated</w:t>
      </w:r>
    </w:p>
    <w:p>
      <w:r>
        <w:t xml:space="preserve">The </w:t>
      </w:r>
      <w:r>
        <w:rPr>
          <w:b/>
        </w:rPr>
        <w:t>semi-elasticity</w:t>
      </w:r>
      <w:r>
        <w:t xml:space="preserve"> β is the proportional change in process-emission *intensity* (tCO₂e per tonne of product) per USD 1/t of carbon price. Output effects are excluded; they are handled by ε_Q. "Half elasticity" in earlier documents means this semi-elasticity.</w:t>
      </w:r>
    </w:p>
    <w:p>
      <w:r>
        <w:t>Scope is IPCC category 2 (IPPU) emissions:</w:t>
      </w:r>
    </w:p>
    <w:p>
      <w:pPr>
        <w:pStyle w:val="ListBullet"/>
      </w:pPr>
      <w:r>
        <w:t>calcination CO₂;</w:t>
      </w:r>
    </w:p>
    <w:p>
      <w:pPr>
        <w:pStyle w:val="ListBullet"/>
      </w:pPr>
      <w:r>
        <w:t>reductant and feedstock CO₂ (BF, DRI, SMR shift);</w:t>
      </w:r>
    </w:p>
    <w:p>
      <w:pPr>
        <w:pStyle w:val="ListBullet"/>
      </w:pPr>
      <w:r>
        <w:t>electrode, anode and flux CO₂;</w:t>
      </w:r>
    </w:p>
    <w:p>
      <w:pPr>
        <w:pStyle w:val="ListBullet"/>
      </w:pPr>
      <w:r>
        <w:t>N₂O from nitric acid;</w:t>
      </w:r>
    </w:p>
    <w:p>
      <w:pPr>
        <w:pStyle w:val="ListBullet"/>
      </w:pPr>
      <w:r>
        <w:t>aluminium PFCs.</w:t>
      </w:r>
    </w:p>
    <w:p>
      <w:r>
        <w:t>Combustion is excluded.</w:t>
      </w:r>
    </w:p>
    <w:p>
      <w:pPr>
        <w:pStyle w:val="Heading3"/>
      </w:pPr>
      <w:r>
        <w:t>B.2 Method in brief</w:t>
      </w:r>
    </w:p>
    <w:p>
      <w:pPr>
        <w:pStyle w:val="ListNumber"/>
      </w:pPr>
      <w:r>
        <w:rPr>
          <w:b/>
        </w:rPr>
        <w:t>Evidence.</w:t>
      </w:r>
      <w:r>
        <w:t xml:space="preserve"> IPCC AR6 WGIII publishes costs and potentials, not elasticities. Two tables are used:</w:t>
      </w:r>
    </w:p>
    <w:p>
      <w:pPr>
        <w:pStyle w:val="ListBullet"/>
      </w:pPr>
      <w:r>
        <w:t>Table 11.3: technology GHG reductions and cost ranges, USD2019;</w:t>
      </w:r>
    </w:p>
    <w:p>
      <w:pPr>
        <w:pStyle w:val="ListBullet"/>
      </w:pPr>
      <w:r>
        <w:t>Table 12.3: 2030 economic potentials by cost bin.</w:t>
      </w:r>
    </w:p>
    <w:p>
      <w:r>
        <w:t>For N₂O and PFCs, IPCC AR4 WGIII Ch. 7 is used, cross-checked against NACAG.</w:t>
      </w:r>
    </w:p>
    <w:p>
      <w:pPr>
        <w:pStyle w:val="ListNumber"/>
      </w:pPr>
      <w:r>
        <w:rPr>
          <w:b/>
        </w:rPr>
        <w:t>Cost-bucket MACC by product.</w:t>
      </w:r>
      <w:r>
        <w:t xml:space="preserve"> Each abatement option *i* has:</w:t>
      </w:r>
    </w:p>
    <w:p>
      <w:pPr>
        <w:pStyle w:val="ListBullet"/>
      </w:pPr>
      <w:r>
        <w:t>a technical reduction r_i;</w:t>
      </w:r>
    </w:p>
    <w:p>
      <w:pPr>
        <w:pStyle w:val="ListBullet"/>
      </w:pPr>
      <w:r>
        <w:t>a share s_i of the process pool it addresses;</w:t>
      </w:r>
    </w:p>
    <w:p>
      <w:pPr>
        <w:pStyle w:val="ListBullet"/>
      </w:pPr>
      <w:r>
        <w:t>a cost range [c_low, c_high];</w:t>
      </w:r>
    </w:p>
    <w:p>
      <w:pPr>
        <w:pStyle w:val="ListBullet"/>
      </w:pPr>
      <w:r>
        <w:t>a deployment factor d_i,h for horizon h.</w:t>
      </w:r>
    </w:p>
    <w:p>
      <w:r>
        <w:t>Plants' costs are assumed uniform over the range, so the share of plants in the money at price τ is f_i(τ) = clip((τ − c_low)/(c_high − c_low), 0, 1). Options combine multiplicatively, which avoids double counting:</w:t>
      </w:r>
    </w:p>
    <w:p>
      <w:r>
        <w:t>a_h(τ) = 1 − Π_i (1 − r_i s_i d_i,h f_i(τ))</w:t>
      </w:r>
    </w:p>
    <w:p>
      <w:pPr>
        <w:pStyle w:val="ListNumber"/>
      </w:pPr>
      <w:r>
        <w:rPr>
          <w:b/>
        </w:rPr>
        <w:t>Two horizons.</w:t>
      </w:r>
    </w:p>
    <w:p>
      <w:pPr>
        <w:pStyle w:val="ListBullet"/>
      </w:pPr>
      <w:r>
        <w:rPr>
          <w:b/>
        </w:rPr>
        <w:t>2030</w:t>
      </w:r>
      <w:r>
        <w:t>: d calibrated to the IPCC Table 12.3 potentials (constrained by deployment).</w:t>
      </w:r>
    </w:p>
    <w:p>
      <w:pPr>
        <w:pStyle w:val="ListBullet"/>
      </w:pPr>
      <w:r>
        <w:rPr>
          <w:b/>
        </w:rPr>
        <w:t>Long run</w:t>
      </w:r>
      <w:r>
        <w:t>: full turnover of the capital stock at Table 11.3 costs.</w:t>
      </w:r>
    </w:p>
    <w:p>
      <w:pPr>
        <w:pStyle w:val="ListBullet"/>
      </w:pPr>
      <w:r>
        <w:rPr>
          <w:b/>
        </w:rPr>
        <w:t>Central</w:t>
      </w:r>
      <w:r>
        <w:t xml:space="preserve"> = the mean of the two. It is the recommended value for 2030–2045 policy runs. The 2030 value is the low case and the long-run value the high case.</w:t>
      </w:r>
    </w:p>
    <w:p>
      <w:pPr>
        <w:pStyle w:val="ListNumber"/>
      </w:pPr>
      <w:r>
        <w:rPr>
          <w:b/>
        </w:rPr>
        <w:t>Semi-elasticity form.</w:t>
      </w:r>
      <w:r>
        <w:t xml:space="preserve"> Iso-semi-elastic: E(τ) = E₀ e^(−βτ), with β = −ln(1 − a(100))/100. This is the kernel convention: E stored positive, per $. It keeps emissions positive and is defined at τ = 0. A constant elasticity form is not.</w:t>
      </w:r>
    </w:p>
    <w:p>
      <w:pPr>
        <w:pStyle w:val="ListBullet"/>
      </w:pPr>
      <w:r>
        <w:t>Kernel v0.9+ uses ER(P) = ER_max(1 − e^(−βP)). With ER_max = 1 (</w:t>
      </w:r>
      <w:r>
        <w:rPr>
          <w:b/>
        </w:rPr>
        <w:t>Option A</w:t>
      </w:r>
      <w:r>
        <w:t>) this is identical to the iso-semi-elastic form.</w:t>
      </w:r>
    </w:p>
    <w:p>
      <w:pPr>
        <w:pStyle w:val="ListBullet"/>
      </w:pPr>
      <w:r>
        <w:rPr>
          <w:b/>
        </w:rPr>
        <w:t>Option B</w:t>
      </w:r>
      <w:r>
        <w:t xml:space="preserve"> fits a saturating form (ER_max = A) to a(100) and a(200).</w:t>
      </w:r>
    </w:p>
    <w:p>
      <w:pPr>
        <w:pStyle w:val="ListNumber"/>
      </w:pPr>
      <w:r>
        <w:rPr>
          <w:b/>
        </w:rPr>
        <w:t>Prices</w:t>
      </w:r>
      <w:r>
        <w:t xml:space="preserve"> are in USD2019; USD 100 (2019) ≈ USD 122 (2024). The kernel price paths must be deflated, or ER rescaled, before use.</w:t>
      </w:r>
    </w:p>
    <w:p>
      <w:pPr>
        <w:pStyle w:val="Heading3"/>
      </w:pPr>
      <w:r>
        <w:t>B.3 Results (central; ER = reduction in process intensity at USD 100)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Product</w:t>
            </w:r>
          </w:p>
        </w:tc>
        <w:tc>
          <w:tcPr>
            <w:tcW w:type="dxa" w:w="2520"/>
          </w:tcPr>
          <w:p>
            <w:pPr>
              <w:spacing w:after="0"/>
            </w:pPr>
            <w:r>
              <w:rPr>
                <w:b/>
              </w:rPr>
            </w:r>
            <w:r>
              <w:rPr>
                <w:b/>
                <w:sz w:val="16"/>
              </w:rPr>
              <w:t xml:space="preserve">ER at $100: 2030 / long run / </w:t>
            </w:r>
            <w:r>
              <w:rPr>
                <w:b/>
                <w:sz w:val="16"/>
              </w:rPr>
              <w:t>central</w:t>
            </w:r>
          </w:p>
        </w:tc>
        <w:tc>
          <w:tcPr>
            <w:tcW w:type="dxa" w:w="2520"/>
          </w:tcPr>
          <w:p>
            <w:pPr>
              <w:spacing w:after="0"/>
            </w:pPr>
            <w:r>
              <w:rPr>
                <w:b/>
              </w:rPr>
            </w:r>
            <w:r>
              <w:rPr>
                <w:b/>
                <w:sz w:val="16"/>
              </w:rPr>
              <w:t>β central (per $; kernel convention)</w:t>
            </w:r>
          </w:p>
        </w:tc>
        <w:tc>
          <w:tcPr>
            <w:tcW w:type="dxa" w:w="2520"/>
          </w:tcPr>
          <w:p>
            <w:pPr>
              <w:spacing w:after="0"/>
            </w:pPr>
            <w:r>
              <w:rPr>
                <w:b/>
              </w:rPr>
            </w:r>
            <w:r>
              <w:rPr>
                <w:b/>
                <w:sz w:val="16"/>
              </w:rPr>
              <w:t>Option B: A / β</w:t>
            </w:r>
          </w:p>
        </w:tc>
      </w:tr>
      <w:tr>
        <w:tc>
          <w:tcPr>
            <w:tcW w:type="dxa" w:w="2520"/>
          </w:tcPr>
          <w:p>
            <w:pPr>
              <w:spacing w:after="0"/>
            </w:pPr>
            <w:r/>
            <w:r>
              <w:rPr>
                <w:sz w:val="16"/>
              </w:rPr>
              <w:t>DRI-EAF steel</w:t>
            </w:r>
          </w:p>
        </w:tc>
        <w:tc>
          <w:tcPr>
            <w:tcW w:type="dxa" w:w="2520"/>
          </w:tcPr>
          <w:p>
            <w:pPr>
              <w:spacing w:after="0"/>
            </w:pPr>
            <w:r/>
            <w:r>
              <w:rPr>
                <w:sz w:val="16"/>
              </w:rPr>
              <w:t xml:space="preserve">0.113 / 0.573 / </w:t>
            </w:r>
            <w:r>
              <w:rPr>
                <w:b/>
                <w:sz w:val="16"/>
              </w:rPr>
              <w:t>0.343</w:t>
            </w:r>
          </w:p>
        </w:tc>
        <w:tc>
          <w:tcPr>
            <w:tcW w:type="dxa" w:w="2520"/>
          </w:tcPr>
          <w:p>
            <w:pPr>
              <w:spacing w:after="0"/>
            </w:pPr>
            <w:r/>
            <w:r>
              <w:rPr>
                <w:sz w:val="16"/>
              </w:rPr>
              <w:t>0.00420</w:t>
            </w:r>
          </w:p>
        </w:tc>
        <w:tc>
          <w:tcPr>
            <w:tcW w:type="dxa" w:w="2520"/>
          </w:tcPr>
          <w:p>
            <w:pPr>
              <w:spacing w:after="0"/>
            </w:pPr>
            <w:r/>
            <w:r>
              <w:rPr>
                <w:sz w:val="16"/>
              </w:rPr>
              <w:t>0.408 / 0.0184</w:t>
            </w:r>
          </w:p>
        </w:tc>
      </w:tr>
      <w:tr>
        <w:tc>
          <w:tcPr>
            <w:tcW w:type="dxa" w:w="2520"/>
          </w:tcPr>
          <w:p>
            <w:pPr>
              <w:spacing w:after="0"/>
            </w:pPr>
            <w:r/>
            <w:r>
              <w:rPr>
                <w:sz w:val="16"/>
              </w:rPr>
              <w:t>Scrap-EAF steel</w:t>
            </w:r>
          </w:p>
        </w:tc>
        <w:tc>
          <w:tcPr>
            <w:tcW w:type="dxa" w:w="2520"/>
          </w:tcPr>
          <w:p>
            <w:pPr>
              <w:spacing w:after="0"/>
            </w:pPr>
            <w:r/>
            <w:r>
              <w:rPr>
                <w:sz w:val="16"/>
              </w:rPr>
              <w:t xml:space="preserve">0.095 / 0.267 / </w:t>
            </w:r>
            <w:r>
              <w:rPr>
                <w:b/>
                <w:sz w:val="16"/>
              </w:rPr>
              <w:t>0.181</w:t>
            </w:r>
          </w:p>
        </w:tc>
        <w:tc>
          <w:tcPr>
            <w:tcW w:type="dxa" w:w="2520"/>
          </w:tcPr>
          <w:p>
            <w:pPr>
              <w:spacing w:after="0"/>
            </w:pPr>
            <w:r/>
            <w:r>
              <w:rPr>
                <w:sz w:val="16"/>
              </w:rPr>
              <w:t>0.00200</w:t>
            </w:r>
          </w:p>
        </w:tc>
        <w:tc>
          <w:tcPr>
            <w:tcW w:type="dxa" w:w="2520"/>
          </w:tcPr>
          <w:p>
            <w:pPr>
              <w:spacing w:after="0"/>
            </w:pPr>
            <w:r/>
            <w:r>
              <w:rPr>
                <w:sz w:val="16"/>
              </w:rPr>
              <w:t>0.399 / 0.0060</w:t>
            </w:r>
          </w:p>
        </w:tc>
      </w:tr>
      <w:tr>
        <w:tc>
          <w:tcPr>
            <w:tcW w:type="dxa" w:w="2520"/>
          </w:tcPr>
          <w:p>
            <w:pPr>
              <w:spacing w:after="0"/>
            </w:pPr>
            <w:r/>
            <w:r>
              <w:rPr>
                <w:sz w:val="16"/>
              </w:rPr>
              <w:t>BF-BOF steel (reference)</w:t>
            </w:r>
          </w:p>
        </w:tc>
        <w:tc>
          <w:tcPr>
            <w:tcW w:type="dxa" w:w="2520"/>
          </w:tcPr>
          <w:p>
            <w:pPr>
              <w:spacing w:after="0"/>
            </w:pPr>
            <w:r/>
            <w:r>
              <w:rPr>
                <w:sz w:val="16"/>
              </w:rPr>
              <w:t xml:space="preserve">0.102 / 0.459 / </w:t>
            </w:r>
            <w:r>
              <w:rPr>
                <w:b/>
                <w:sz w:val="16"/>
              </w:rPr>
              <w:t>0.280</w:t>
            </w:r>
          </w:p>
        </w:tc>
        <w:tc>
          <w:tcPr>
            <w:tcW w:type="dxa" w:w="2520"/>
          </w:tcPr>
          <w:p>
            <w:pPr>
              <w:spacing w:after="0"/>
            </w:pPr>
            <w:r/>
            <w:r>
              <w:rPr>
                <w:sz w:val="16"/>
              </w:rPr>
              <w:t>0.00329</w:t>
            </w:r>
          </w:p>
        </w:tc>
        <w:tc>
          <w:tcPr>
            <w:tcW w:type="dxa" w:w="2520"/>
          </w:tcPr>
          <w:p>
            <w:pPr>
              <w:spacing w:after="0"/>
            </w:pPr>
            <w:r/>
            <w:r>
              <w:rPr>
                <w:sz w:val="16"/>
              </w:rPr>
              <w:t>0.387 / 0.0129</w:t>
            </w:r>
          </w:p>
        </w:tc>
      </w:tr>
      <w:tr>
        <w:tc>
          <w:tcPr>
            <w:tcW w:type="dxa" w:w="2520"/>
          </w:tcPr>
          <w:p>
            <w:pPr>
              <w:spacing w:after="0"/>
            </w:pPr>
            <w:r/>
            <w:r>
              <w:rPr>
                <w:sz w:val="16"/>
              </w:rPr>
              <w:t>Grey clinker</w:t>
            </w:r>
          </w:p>
        </w:tc>
        <w:tc>
          <w:tcPr>
            <w:tcW w:type="dxa" w:w="2520"/>
          </w:tcPr>
          <w:p>
            <w:pPr>
              <w:spacing w:after="0"/>
            </w:pPr>
            <w:r/>
            <w:r>
              <w:rPr>
                <w:sz w:val="16"/>
              </w:rPr>
              <w:t xml:space="preserve">0.193 / 0.478 / </w:t>
            </w:r>
            <w:r>
              <w:rPr>
                <w:b/>
                <w:sz w:val="16"/>
              </w:rPr>
              <w:t>0.335</w:t>
            </w:r>
          </w:p>
        </w:tc>
        <w:tc>
          <w:tcPr>
            <w:tcW w:type="dxa" w:w="2520"/>
          </w:tcPr>
          <w:p>
            <w:pPr>
              <w:spacing w:after="0"/>
            </w:pPr>
            <w:r/>
            <w:r>
              <w:rPr>
                <w:sz w:val="16"/>
              </w:rPr>
              <w:t>0.00408</w:t>
            </w:r>
          </w:p>
        </w:tc>
        <w:tc>
          <w:tcPr>
            <w:tcW w:type="dxa" w:w="2520"/>
          </w:tcPr>
          <w:p>
            <w:pPr>
              <w:spacing w:after="0"/>
            </w:pPr>
            <w:r/>
            <w:r>
              <w:rPr>
                <w:sz w:val="16"/>
              </w:rPr>
              <w:t>0.433 / 0.0149</w:t>
            </w:r>
          </w:p>
        </w:tc>
      </w:tr>
      <w:tr>
        <w:tc>
          <w:tcPr>
            <w:tcW w:type="dxa" w:w="2520"/>
          </w:tcPr>
          <w:p>
            <w:pPr>
              <w:spacing w:after="0"/>
            </w:pPr>
            <w:r/>
            <w:r>
              <w:rPr>
                <w:sz w:val="16"/>
              </w:rPr>
              <w:t>Ammonia</w:t>
            </w:r>
          </w:p>
        </w:tc>
        <w:tc>
          <w:tcPr>
            <w:tcW w:type="dxa" w:w="2520"/>
          </w:tcPr>
          <w:p>
            <w:pPr>
              <w:spacing w:after="0"/>
            </w:pPr>
            <w:r/>
            <w:r>
              <w:rPr>
                <w:sz w:val="16"/>
              </w:rPr>
              <w:t xml:space="preserve">0.150 / 0.445 / </w:t>
            </w:r>
            <w:r>
              <w:rPr>
                <w:b/>
                <w:sz w:val="16"/>
              </w:rPr>
              <w:t>0.297</w:t>
            </w:r>
          </w:p>
        </w:tc>
        <w:tc>
          <w:tcPr>
            <w:tcW w:type="dxa" w:w="2520"/>
          </w:tcPr>
          <w:p>
            <w:pPr>
              <w:spacing w:after="0"/>
            </w:pPr>
            <w:r/>
            <w:r>
              <w:rPr>
                <w:sz w:val="16"/>
              </w:rPr>
              <w:t>0.00353</w:t>
            </w:r>
          </w:p>
        </w:tc>
        <w:tc>
          <w:tcPr>
            <w:tcW w:type="dxa" w:w="2520"/>
          </w:tcPr>
          <w:p>
            <w:pPr>
              <w:spacing w:after="0"/>
            </w:pPr>
            <w:r/>
            <w:r>
              <w:rPr>
                <w:sz w:val="16"/>
              </w:rPr>
              <w:t>0.443 / 0.0111</w:t>
            </w:r>
          </w:p>
        </w:tc>
      </w:tr>
      <w:tr>
        <w:tc>
          <w:tcPr>
            <w:tcW w:type="dxa" w:w="2520"/>
          </w:tcPr>
          <w:p>
            <w:pPr>
              <w:spacing w:after="0"/>
            </w:pPr>
            <w:r/>
            <w:r>
              <w:rPr>
                <w:sz w:val="16"/>
              </w:rPr>
              <w:t>Urea</w:t>
            </w:r>
          </w:p>
        </w:tc>
        <w:tc>
          <w:tcPr>
            <w:tcW w:type="dxa" w:w="2520"/>
          </w:tcPr>
          <w:p>
            <w:pPr>
              <w:spacing w:after="0"/>
            </w:pPr>
            <w:r/>
            <w:r>
              <w:rPr>
                <w:sz w:val="16"/>
              </w:rPr>
              <w:t xml:space="preserve">0.048 / 0.184 / </w:t>
            </w:r>
            <w:r>
              <w:rPr>
                <w:b/>
                <w:sz w:val="16"/>
              </w:rPr>
              <w:t>0.116</w:t>
            </w:r>
          </w:p>
        </w:tc>
        <w:tc>
          <w:tcPr>
            <w:tcW w:type="dxa" w:w="2520"/>
          </w:tcPr>
          <w:p>
            <w:pPr>
              <w:spacing w:after="0"/>
            </w:pPr>
            <w:r/>
            <w:r>
              <w:rPr>
                <w:sz w:val="16"/>
              </w:rPr>
              <w:t>0.00123</w:t>
            </w:r>
          </w:p>
        </w:tc>
        <w:tc>
          <w:tcPr>
            <w:tcW w:type="dxa" w:w="2520"/>
          </w:tcPr>
          <w:p>
            <w:pPr>
              <w:spacing w:after="0"/>
            </w:pPr>
            <w:r/>
            <w:r>
              <w:rPr>
                <w:sz w:val="16"/>
              </w:rPr>
              <w:t>fit degenerate; use Option A</w:t>
            </w:r>
          </w:p>
        </w:tc>
      </w:tr>
      <w:tr>
        <w:tc>
          <w:tcPr>
            <w:tcW w:type="dxa" w:w="2520"/>
          </w:tcPr>
          <w:p>
            <w:pPr>
              <w:spacing w:after="0"/>
            </w:pPr>
            <w:r/>
            <w:r>
              <w:rPr>
                <w:sz w:val="16"/>
              </w:rPr>
              <w:t>AN, unabated N₂O</w:t>
            </w:r>
          </w:p>
        </w:tc>
        <w:tc>
          <w:tcPr>
            <w:tcW w:type="dxa" w:w="2520"/>
          </w:tcPr>
          <w:p>
            <w:pPr>
              <w:spacing w:after="0"/>
            </w:pPr>
            <w:r/>
            <w:r>
              <w:rPr>
                <w:sz w:val="16"/>
              </w:rPr>
              <w:t xml:space="preserve">0.676 / 0.766 / </w:t>
            </w:r>
            <w:r>
              <w:rPr>
                <w:b/>
                <w:sz w:val="16"/>
              </w:rPr>
              <w:t>0.721</w:t>
            </w:r>
          </w:p>
        </w:tc>
        <w:tc>
          <w:tcPr>
            <w:tcW w:type="dxa" w:w="2520"/>
          </w:tcPr>
          <w:p>
            <w:pPr>
              <w:spacing w:after="0"/>
            </w:pPr>
            <w:r/>
            <w:r>
              <w:rPr>
                <w:sz w:val="16"/>
              </w:rPr>
              <w:t>0.01277</w:t>
            </w:r>
          </w:p>
        </w:tc>
        <w:tc>
          <w:tcPr>
            <w:tcW w:type="dxa" w:w="2520"/>
          </w:tcPr>
          <w:p>
            <w:pPr>
              <w:spacing w:after="0"/>
            </w:pPr>
            <w:r/>
            <w:r>
              <w:rPr>
                <w:sz w:val="16"/>
              </w:rPr>
              <w:t>0.739 / 0.0371</w:t>
            </w:r>
          </w:p>
        </w:tc>
      </w:tr>
      <w:tr>
        <w:tc>
          <w:tcPr>
            <w:tcW w:type="dxa" w:w="2520"/>
          </w:tcPr>
          <w:p>
            <w:pPr>
              <w:spacing w:after="0"/>
            </w:pPr>
            <w:r/>
            <w:r>
              <w:rPr>
                <w:sz w:val="16"/>
              </w:rPr>
              <w:t>AN, N₂O ≈ 90% abated</w:t>
            </w:r>
          </w:p>
        </w:tc>
        <w:tc>
          <w:tcPr>
            <w:tcW w:type="dxa" w:w="2520"/>
          </w:tcPr>
          <w:p>
            <w:pPr>
              <w:spacing w:after="0"/>
            </w:pPr>
            <w:r/>
            <w:r>
              <w:rPr>
                <w:sz w:val="16"/>
              </w:rPr>
              <w:t xml:space="preserve">— / — / </w:t>
            </w:r>
            <w:r>
              <w:rPr>
                <w:b/>
                <w:sz w:val="16"/>
              </w:rPr>
              <w:t>0.329</w:t>
            </w:r>
          </w:p>
        </w:tc>
        <w:tc>
          <w:tcPr>
            <w:tcW w:type="dxa" w:w="2520"/>
          </w:tcPr>
          <w:p>
            <w:pPr>
              <w:spacing w:after="0"/>
            </w:pPr>
            <w:r/>
            <w:r>
              <w:rPr>
                <w:sz w:val="16"/>
              </w:rPr>
              <w:t>0.00399</w:t>
            </w:r>
          </w:p>
        </w:tc>
        <w:tc>
          <w:tcPr>
            <w:tcW w:type="dxa" w:w="2520"/>
          </w:tcPr>
          <w:p>
            <w:pPr>
              <w:spacing w:after="0"/>
            </w:pPr>
            <w:r/>
            <w:r>
              <w:rPr>
                <w:sz w:val="16"/>
              </w:rPr>
              <w:t>0.414 / 0.0158</w:t>
            </w:r>
          </w:p>
        </w:tc>
      </w:tr>
      <w:tr>
        <w:tc>
          <w:tcPr>
            <w:tcW w:type="dxa" w:w="2520"/>
          </w:tcPr>
          <w:p>
            <w:pPr>
              <w:spacing w:after="0"/>
            </w:pPr>
            <w:r/>
            <w:r>
              <w:rPr>
                <w:sz w:val="16"/>
              </w:rPr>
              <w:t>Primary aluminium</w:t>
            </w:r>
          </w:p>
        </w:tc>
        <w:tc>
          <w:tcPr>
            <w:tcW w:type="dxa" w:w="2520"/>
          </w:tcPr>
          <w:p>
            <w:pPr>
              <w:spacing w:after="0"/>
            </w:pPr>
            <w:r/>
            <w:r>
              <w:rPr>
                <w:sz w:val="16"/>
              </w:rPr>
              <w:t xml:space="preserve">0.069 / 0.364 / </w:t>
            </w:r>
            <w:r>
              <w:rPr>
                <w:b/>
                <w:sz w:val="16"/>
              </w:rPr>
              <w:t>0.216</w:t>
            </w:r>
          </w:p>
        </w:tc>
        <w:tc>
          <w:tcPr>
            <w:tcW w:type="dxa" w:w="2520"/>
          </w:tcPr>
          <w:p>
            <w:pPr>
              <w:spacing w:after="0"/>
            </w:pPr>
            <w:r/>
            <w:r>
              <w:rPr>
                <w:sz w:val="16"/>
              </w:rPr>
              <w:t>0.00244</w:t>
            </w:r>
          </w:p>
        </w:tc>
        <w:tc>
          <w:tcPr>
            <w:tcW w:type="dxa" w:w="2520"/>
          </w:tcPr>
          <w:p>
            <w:pPr>
              <w:spacing w:after="0"/>
            </w:pPr>
            <w:r/>
            <w:r>
              <w:rPr>
                <w:sz w:val="16"/>
              </w:rPr>
              <w:t>0.372 / 0.0087</w:t>
            </w:r>
          </w:p>
        </w:tc>
      </w:tr>
    </w:tbl>
    <w:p/>
    <w:p>
      <w:r>
        <w:t>For aluminium, the central value splits into np 0.128 (inert anodes) and no 0.108 (PFC / anode-effect control).</w:t>
      </w:r>
    </w:p>
    <w:p>
      <w:r>
        <w:t>At USD 20, the central values imply intensity cuts of about 2–8% for most goods and about 23% for unabated AN.</w:t>
      </w:r>
    </w:p>
    <w:p>
      <w:r>
        <w:rPr>
          <w:b/>
        </w:rPr>
        <w:t>Cross-checks:</w:t>
      </w:r>
    </w:p>
    <w:p>
      <w:pPr>
        <w:pStyle w:val="ListBullet"/>
      </w:pPr>
      <w:r>
        <w:t>The IPCC Table 12.3 aggregate of process options at or below USD 100 is 15–17% of 2030 process emissions (β ≈ 0.0017).</w:t>
      </w:r>
    </w:p>
    <w:p>
      <w:pPr>
        <w:pStyle w:val="ListBullet"/>
      </w:pPr>
      <w:r>
        <w:t>EU ETS ex-post studies find −7 to −16% at ≤ USD 50. These are total emissions dominated by combustion, so they are not transferable.</w:t>
      </w:r>
    </w:p>
    <w:p>
      <w:pPr>
        <w:pStyle w:val="ListBullet"/>
      </w:pPr>
      <w:r>
        <w:t>The earlier Egypt value, β = 0.00104 (a(100) ≈ 10%), is a conservative lower bound.</w:t>
      </w:r>
    </w:p>
    <w:p>
      <w:pPr>
        <w:pStyle w:val="Heading3"/>
      </w:pPr>
      <w:r>
        <w:t>B.4 Egypt-specific points (qualitative; the same values are used for all countries)</w:t>
      </w:r>
    </w:p>
    <w:p>
      <w:pPr>
        <w:pStyle w:val="ListBullet"/>
      </w:pPr>
      <w:r>
        <w:rPr>
          <w:b/>
        </w:rPr>
        <w:t>DRI.</w:t>
      </w:r>
      <w:r>
        <w:t xml:space="preserve"> Concentrated DRI top-gas CO₂ is cheap to capture, but Egypt has no CO₂ transport or storage. This argues for the 2030 column in the near term.</w:t>
      </w:r>
    </w:p>
    <w:p>
      <w:pPr>
        <w:pStyle w:val="ListBullet"/>
      </w:pPr>
      <w:r>
        <w:rPr>
          <w:b/>
        </w:rPr>
        <w:t>Cement.</w:t>
      </w:r>
      <w:r>
        <w:t xml:space="preserve"> Cement dominates process emissions. Clinker substitution (LC3; limited slag and fly ash) is the main lever.</w:t>
      </w:r>
    </w:p>
    <w:p>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pPr>
        <w:pStyle w:val="ListBullet"/>
      </w:pPr>
      <w:r>
        <w:rPr>
          <w:b/>
        </w:rPr>
        <w:t>Urea.</w:t>
      </w:r>
      <w:r>
        <w:t xml:space="preserve"> Under the CBAM rule, bound CO₂ is counted at the ammonia stage. Urea's response is therefore inherited from ammonia and should not be applied twice.</w:t>
      </w:r>
    </w:p>
    <w:p>
      <w:pPr>
        <w:pStyle w:val="Heading3"/>
      </w:pPr>
      <w:r>
        <w:t>B.5 Link between Appendices A and B (routing; recommendation for T1)</w:t>
      </w:r>
    </w:p>
    <w:p>
      <w:r>
        <w:t>β applies to the categories that carry process carbon:</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Category</w:t>
            </w:r>
          </w:p>
        </w:tc>
        <w:tc>
          <w:tcPr>
            <w:tcW w:type="dxa" w:w="5040"/>
          </w:tcPr>
          <w:p>
            <w:pPr>
              <w:spacing w:after="0"/>
            </w:pPr>
            <w:r>
              <w:rPr>
                <w:b/>
              </w:rPr>
            </w:r>
            <w:r>
              <w:rPr>
                <w:b/>
                <w:sz w:val="16"/>
              </w:rPr>
              <w:t>Response</w:t>
            </w:r>
          </w:p>
        </w:tc>
      </w:tr>
      <w:tr>
        <w:tc>
          <w:tcPr>
            <w:tcW w:type="dxa" w:w="5040"/>
          </w:tcPr>
          <w:p>
            <w:pPr>
              <w:spacing w:after="0"/>
            </w:pPr>
            <w:r/>
            <w:r>
              <w:rPr>
                <w:b/>
                <w:sz w:val="16"/>
              </w:rPr>
              <w:t>np</w:t>
            </w:r>
          </w:p>
        </w:tc>
        <w:tc>
          <w:tcPr>
            <w:tcW w:type="dxa" w:w="5040"/>
          </w:tcPr>
          <w:p>
            <w:pPr>
              <w:spacing w:after="0"/>
            </w:pPr>
            <w:r/>
            <w:r>
              <w:rPr>
                <w:sz w:val="16"/>
              </w:rPr>
              <w:t>product β (np column); aluminium uses the inert-anode part</w:t>
            </w:r>
          </w:p>
        </w:tc>
      </w:tr>
      <w:tr>
        <w:tc>
          <w:tcPr>
            <w:tcW w:type="dxa" w:w="5040"/>
          </w:tcPr>
          <w:p>
            <w:pPr>
              <w:spacing w:after="0"/>
            </w:pPr>
            <w:r/>
            <w:r>
              <w:rPr>
                <w:b/>
                <w:sz w:val="16"/>
              </w:rPr>
              <w:t>no</w:t>
            </w:r>
          </w:p>
        </w:tc>
        <w:tc>
          <w:tcPr>
            <w:tcW w:type="dxa" w:w="5040"/>
          </w:tcPr>
          <w:p>
            <w:pPr>
              <w:spacing w:after="0"/>
            </w:pPr>
            <w:r/>
            <w:r>
              <w:rPr>
                <w:sz w:val="16"/>
              </w:rPr>
              <w:t>product β (no column): AN N₂O and aluminium PFC</w:t>
            </w:r>
          </w:p>
        </w:tc>
      </w:tr>
      <w:tr>
        <w:tc>
          <w:tcPr>
            <w:tcW w:type="dxa" w:w="5040"/>
          </w:tcPr>
          <w:p>
            <w:pPr>
              <w:spacing w:after="0"/>
            </w:pPr>
            <w:r/>
            <w:r>
              <w:rPr>
                <w:b/>
                <w:sz w:val="16"/>
              </w:rPr>
              <w:t>fp</w:t>
            </w:r>
            <w:r>
              <w:rPr>
                <w:sz w:val="16"/>
              </w:rPr>
              <w:t xml:space="preserve"> (DRI, BF-BOF, ammonia)</w:t>
            </w:r>
          </w:p>
        </w:tc>
        <w:tc>
          <w:tcPr>
            <w:tcW w:type="dxa" w:w="5040"/>
          </w:tcPr>
          <w:p>
            <w:pPr>
              <w:spacing w:after="0"/>
            </w:pPr>
            <w:r/>
            <w:r>
              <w:rPr>
                <w:sz w:val="16"/>
              </w:rPr>
              <w:t>product β. Task D's scope includes reductant and feedstock CO₂, and for these goods it is the main process stream</w:t>
            </w:r>
          </w:p>
        </w:tc>
      </w:tr>
      <w:tr>
        <w:tc>
          <w:tcPr>
            <w:tcW w:type="dxa" w:w="5040"/>
          </w:tcPr>
          <w:p>
            <w:pPr>
              <w:spacing w:after="0"/>
            </w:pPr>
            <w:r/>
            <w:r>
              <w:rPr>
                <w:b/>
                <w:sz w:val="16"/>
              </w:rPr>
              <w:t>fc</w:t>
            </w:r>
          </w:p>
        </w:tc>
        <w:tc>
          <w:tcPr>
            <w:tcW w:type="dxa" w:w="5040"/>
          </w:tcPr>
          <w:p>
            <w:pPr>
              <w:spacing w:after="0"/>
            </w:pPr>
            <w:r/>
            <w:r>
              <w:rPr>
                <w:b/>
                <w:sz w:val="16"/>
              </w:rPr>
              <w:t>not</w:t>
            </w:r>
            <w:r>
              <w:rPr>
                <w:sz w:val="16"/>
              </w:rPr>
              <w:t xml:space="preserve"> β. The response is CPAT's efficiency margin (b_f)</w:t>
            </w:r>
          </w:p>
        </w:tc>
      </w:tr>
    </w:tbl>
    <w:p/>
    <w:p>
      <w:r>
        <w:t>The kernel v0.9 scaffold applies β to np and no only. Without the fp routing, the process-type response of DRI and ammonia is lost.</w:t>
      </w:r>
    </w:p>
    <w:p>
      <w:r>
        <w:rPr>
          <w:b/>
        </w:rPr>
        <w:t>As applied in kernel v0.16 and rebuild v0.3:</w:t>
      </w:r>
      <w:r>
        <w:t xml:space="preserve"> np rows use the product central ER at $100 (DRI 0.3433, scrap 0.1810, BF-BOF 0.2803, clinker 0.3352); AN no uses the N₂O-weighted blend (3.5 × 0.7210 + 1.25 × 0.3292)/4.75 = 0.6179 at the EF workbook's 50% abatement share; aluminium uses the combined 0.2164 on both np and no (the 0.128/0.108 split is not additive); ammonia and urea get 0 (fp routing not implemented). ER_max = 1 (Option A), P* = 100 USD2019 = 122 USD2024 (deflated in kernel v0.16 and rebuild v0.3; v0.15/v0.2 used 100). Mapping: </w:t>
      </w:r>
      <w:r>
        <w:rPr>
          <w:rFonts w:ascii="Consolas" w:hAnsi="Consolas" w:eastAsia="Consolas"/>
        </w:rPr>
        <w:t>TASK-D_ProcessHalfElasticities_DropIn_v0.2.md</w:t>
      </w:r>
      <w:r>
        <w:t>.</w:t>
      </w:r>
    </w:p>
    <w:p>
      <w:pPr>
        <w:pStyle w:val="Heading3"/>
      </w:pPr>
      <w:r>
        <w:t>B.6 Caveats</w:t>
      </w:r>
    </w:p>
    <w:p>
      <w:pPr>
        <w:pStyle w:val="ListNumber"/>
      </w:pPr>
      <w:r>
        <w:t>The β values are calibration devices built from engineering costs, not estimated behavioural responses. The deployment factors d are analyst assumptions, and IPCC potentials carry ±25% uncertainty.</w:t>
      </w:r>
    </w:p>
    <w:p>
      <w:pPr>
        <w:pStyle w:val="ListNumber"/>
      </w:pPr>
      <w:r>
        <w:t>The constant-β form is only an approximation:</w:t>
      </w:r>
    </w:p>
    <w:p>
      <w:pPr>
        <w:pStyle w:val="ListBullet"/>
      </w:pPr>
      <w:r>
        <w:rPr>
          <w:b/>
        </w:rPr>
        <w:t>Convex MACCs</w:t>
      </w:r>
      <w:r>
        <w:t xml:space="preserve"> (cement, steel, aluminium) are over-predicted below about USD 50 and under-predicted above USD 100.</w:t>
      </w:r>
    </w:p>
    <w:p>
      <w:pPr>
        <w:pStyle w:val="ListBullet"/>
      </w:pPr>
      <w:r>
        <w:rPr>
          <w:b/>
        </w:rPr>
        <w:t>Concave MACCs</w:t>
      </w:r>
      <w:r>
        <w:t xml:space="preserve"> (N₂O) are under-predicted at low prices.</w:t>
      </w:r>
    </w:p>
    <w:p>
      <w:r>
        <w:t>Calibrating at USD 100 suits USD 50–150 scenarios. Below USD 30, use the 2030 column.</w:t>
      </w:r>
    </w:p>
    <w:p>
      <w:pPr>
        <w:pStyle w:val="ListNumber"/>
      </w:pPr>
      <w:r>
        <w:t>In v0.8 the kernel shared one ER table between fuel and process. The values here are for process emissions only.</w:t>
      </w:r>
    </w:p>
    <w:p>
      <w:pPr>
        <w:pStyle w:val="ListNumber"/>
      </w:pPr>
      <w:r>
        <w:t>The same values are used for Egypt and non-Egypt.</w:t>
      </w:r>
    </w:p>
    <w:p>
      <w:r>
        <w:t>---</w:t>
      </w:r>
    </w:p>
    <w:p>
      <w:pPr>
        <w:pStyle w:val="Heading1"/>
      </w:pPr>
      <w:r>
        <w:t>Appendix C. File map</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Topic</w:t>
            </w:r>
          </w:p>
        </w:tc>
        <w:tc>
          <w:tcPr>
            <w:tcW w:type="dxa" w:w="5040"/>
          </w:tcPr>
          <w:p>
            <w:pPr>
              <w:spacing w:after="0"/>
            </w:pPr>
            <w:r>
              <w:rPr>
                <w:b/>
              </w:rPr>
            </w:r>
            <w:r>
              <w:rPr>
                <w:b/>
                <w:sz w:val="16"/>
              </w:rPr>
              <w:t xml:space="preserve">File (relative to </w:t>
            </w:r>
            <w:r>
              <w:rPr>
                <w:rFonts w:ascii="Consolas" w:hAnsi="Consolas" w:eastAsia="Consolas"/>
                <w:b/>
                <w:sz w:val="16"/>
              </w:rPr>
              <w:t>egypt+mitigation\</w:t>
            </w:r>
            <w:r>
              <w:rPr>
                <w:b/>
                <w:sz w:val="16"/>
              </w:rPr>
              <w:t xml:space="preserve"> unless stated)</w:t>
            </w:r>
          </w:p>
        </w:tc>
      </w:tr>
      <w:tr>
        <w:tc>
          <w:tcPr>
            <w:tcW w:type="dxa" w:w="5040"/>
          </w:tcPr>
          <w:p>
            <w:pPr>
              <w:spacing w:after="0"/>
            </w:pPr>
            <w:r/>
            <w:r>
              <w:rPr>
                <w:sz w:val="16"/>
              </w:rPr>
              <w:t>Original results and review (read-only)</w:t>
            </w:r>
          </w:p>
        </w:tc>
        <w:tc>
          <w:tcPr>
            <w:tcW w:type="dxa" w:w="5040"/>
          </w:tcPr>
          <w:p>
            <w:pPr>
              <w:spacing w:after="0"/>
            </w:pPr>
            <w:r/>
            <w:r>
              <w:rPr>
                <w:rFonts w:ascii="Consolas" w:hAnsi="Consolas" w:eastAsia="Consolas"/>
                <w:sz w:val="16"/>
              </w:rPr>
              <w:t>Old\InitialResultsAndIssues\EgyptResultsInitial.docx</w:t>
            </w:r>
            <w:r>
              <w:rPr>
                <w:sz w:val="16"/>
              </w:rPr>
              <w:t xml:space="preserve">, </w:t>
            </w:r>
            <w:r>
              <w:rPr>
                <w:rFonts w:ascii="Consolas" w:hAnsi="Consolas" w:eastAsia="Consolas"/>
                <w:sz w:val="16"/>
              </w:rPr>
              <w:t>TechnicalNoteonCPATResults_expanded_v2.docx</w:t>
            </w:r>
            <w:r>
              <w:rPr>
                <w:sz w:val="16"/>
              </w:rPr>
              <w:t xml:space="preserve">, </w:t>
            </w:r>
            <w:r>
              <w:rPr>
                <w:rFonts w:ascii="Consolas" w:hAnsi="Consolas" w:eastAsia="Consolas"/>
                <w:sz w:val="16"/>
              </w:rPr>
              <w:t>MajorIssues.docx</w:t>
            </w:r>
            <w:r>
              <w:rPr>
                <w:sz w:val="16"/>
              </w:rPr>
              <w:t xml:space="preserve">, </w:t>
            </w:r>
            <w:r>
              <w:rPr>
                <w:rFonts w:ascii="Consolas" w:hAnsi="Consolas" w:eastAsia="Consolas"/>
                <w:sz w:val="16"/>
              </w:rPr>
              <w:t>CBAM_Process_MACC_Audit_Trail.docx</w:t>
            </w:r>
            <w:r>
              <w:rPr>
                <w:sz w:val="16"/>
              </w:rPr>
              <w:t xml:space="preserve">, </w:t>
            </w:r>
            <w:r>
              <w:rPr>
                <w:rFonts w:ascii="Consolas" w:hAnsi="Consolas" w:eastAsia="Consolas"/>
                <w:sz w:val="16"/>
              </w:rPr>
              <w:t>Methodological Note.txt</w:t>
            </w:r>
          </w:p>
        </w:tc>
      </w:tr>
      <w:tr>
        <w:tc>
          <w:tcPr>
            <w:tcW w:type="dxa" w:w="5040"/>
          </w:tcPr>
          <w:p>
            <w:pPr>
              <w:spacing w:after="0"/>
            </w:pPr>
            <w:r/>
            <w:r>
              <w:rPr>
                <w:sz w:val="16"/>
              </w:rPr>
              <w:t>Pseudocode of ad hoc calculations</w:t>
            </w:r>
          </w:p>
        </w:tc>
        <w:tc>
          <w:tcPr>
            <w:tcW w:type="dxa" w:w="5040"/>
          </w:tcPr>
          <w:p>
            <w:pPr>
              <w:spacing w:after="0"/>
            </w:pPr>
            <w:r/>
            <w:r>
              <w:rPr>
                <w:rFonts w:ascii="Consolas" w:hAnsi="Consolas" w:eastAsia="Consolas"/>
                <w:sz w:val="16"/>
              </w:rPr>
              <w:t>Old\TASK-2a_AdHocCalculations_Pseudocode_v0.1.md</w:t>
            </w:r>
          </w:p>
        </w:tc>
      </w:tr>
      <w:tr>
        <w:tc>
          <w:tcPr>
            <w:tcW w:type="dxa" w:w="5040"/>
          </w:tcPr>
          <w:p>
            <w:pPr>
              <w:spacing w:after="0"/>
            </w:pPr>
            <w:r/>
            <w:r>
              <w:rPr>
                <w:sz w:val="16"/>
              </w:rPr>
              <w:t>Table 2 rebuild (superseded by §5.0)</w:t>
            </w:r>
          </w:p>
        </w:tc>
        <w:tc>
          <w:tcPr>
            <w:tcW w:type="dxa" w:w="5040"/>
          </w:tcPr>
          <w:p>
            <w:pPr>
              <w:spacing w:after="0"/>
            </w:pPr>
            <w:r/>
            <w:r>
              <w:rPr>
                <w:rFonts w:ascii="Consolas" w:hAnsi="Consolas" w:eastAsia="Consolas"/>
                <w:sz w:val="16"/>
              </w:rPr>
              <w:t>Old\AdHocRebuild\AdHocCalculations_Rebuild_v0.3.xlsx</w:t>
            </w:r>
            <w:r>
              <w:rPr>
                <w:sz w:val="16"/>
              </w:rPr>
              <w:t xml:space="preserve">, </w:t>
            </w:r>
            <w:r>
              <w:rPr>
                <w:rFonts w:ascii="Consolas" w:hAnsi="Consolas" w:eastAsia="Consolas"/>
                <w:sz w:val="16"/>
              </w:rPr>
              <w:t>MethodologyNote_v0.3.md</w:t>
            </w:r>
            <w:r>
              <w:rPr>
                <w:sz w:val="16"/>
              </w:rPr>
              <w:t xml:space="preserve">, </w:t>
            </w:r>
            <w:r>
              <w:rPr>
                <w:rFonts w:ascii="Consolas" w:hAnsi="Consolas" w:eastAsia="Consolas"/>
                <w:sz w:val="16"/>
              </w:rPr>
              <w:t>build_adhoc_rebuild_v0_3.py</w:t>
            </w:r>
            <w:r>
              <w:rPr>
                <w:sz w:val="16"/>
              </w:rPr>
              <w:t xml:space="preserve">, </w:t>
            </w:r>
            <w:r>
              <w:rPr>
                <w:rFonts w:ascii="Consolas" w:hAnsi="Consolas" w:eastAsia="Consolas"/>
                <w:sz w:val="16"/>
              </w:rPr>
              <w:t>recalc_and_check_adhoc_v0_3.py</w:t>
            </w:r>
            <w:r>
              <w:rPr>
                <w:sz w:val="16"/>
              </w:rPr>
              <w:t xml:space="preserve">; comparison </w:t>
            </w:r>
            <w:r>
              <w:rPr>
                <w:rFonts w:ascii="Consolas" w:hAnsi="Consolas" w:eastAsia="Consolas"/>
                <w:sz w:val="16"/>
              </w:rPr>
              <w:t>Old\ResultsComparison_Table2_v0.3.md</w:t>
            </w:r>
            <w:r>
              <w:rPr>
                <w:sz w:val="16"/>
              </w:rPr>
              <w:t xml:space="preserve">; earlier results texts in </w:t>
            </w:r>
            <w:r>
              <w:rPr>
                <w:rFonts w:ascii="Consolas" w:hAnsi="Consolas" w:eastAsia="Consolas"/>
                <w:sz w:val="16"/>
              </w:rPr>
              <w:t>Old\Superseded\</w:t>
            </w:r>
          </w:p>
        </w:tc>
      </w:tr>
      <w:tr>
        <w:tc>
          <w:tcPr>
            <w:tcW w:type="dxa" w:w="5040"/>
          </w:tcPr>
          <w:p>
            <w:pPr>
              <w:spacing w:after="0"/>
            </w:pPr>
            <w:r/>
            <w:r>
              <w:rPr>
                <w:sz w:val="16"/>
              </w:rPr>
              <w:t>Final deliverables (v1.0)</w:t>
            </w:r>
          </w:p>
        </w:tc>
        <w:tc>
          <w:tcPr>
            <w:tcW w:type="dxa" w:w="5040"/>
          </w:tcPr>
          <w:p>
            <w:pPr>
              <w:spacing w:after="0"/>
            </w:pPr>
            <w:r/>
            <w:r>
              <w:rPr>
                <w:sz w:val="16"/>
              </w:rPr>
              <w:t xml:space="preserve">Top level of </w:t>
            </w:r>
            <w:r>
              <w:rPr>
                <w:rFonts w:ascii="Consolas" w:hAnsi="Consolas" w:eastAsia="Consolas"/>
                <w:sz w:val="16"/>
              </w:rPr>
              <w:t>Egypt Final results\</w:t>
            </w:r>
            <w:r>
              <w:rPr>
                <w:sz w:val="16"/>
              </w:rPr>
              <w:t xml:space="preserve"> and </w:t>
            </w:r>
            <w:r>
              <w:rPr>
                <w:rFonts w:ascii="Consolas" w:hAnsi="Consolas" w:eastAsia="Consolas"/>
                <w:sz w:val="16"/>
              </w:rPr>
              <w:t>egypt+mitigation\</w:t>
            </w:r>
            <w:r>
              <w:rPr>
                <w:sz w:val="16"/>
              </w:rPr>
              <w:t xml:space="preserve"> (identical): kernel, </w:t>
            </w:r>
            <w:r>
              <w:rPr>
                <w:rFonts w:ascii="Consolas" w:hAnsi="Consolas" w:eastAsia="Consolas"/>
                <w:sz w:val="16"/>
              </w:rPr>
              <w:t>EGYPT_CarveOut_Table2_v1.0.docx</w:t>
            </w:r>
            <w:r>
              <w:rPr>
                <w:sz w:val="16"/>
              </w:rPr>
              <w:t xml:space="preserve">, </w:t>
            </w:r>
            <w:r>
              <w:rPr>
                <w:rFonts w:ascii="Consolas" w:hAnsi="Consolas" w:eastAsia="Consolas"/>
                <w:sz w:val="16"/>
              </w:rPr>
              <w:t>EgyptResultsInitial_UpdatedResults_v1.2_tracked.docx</w:t>
            </w:r>
            <w:r>
              <w:rPr>
                <w:sz w:val="16"/>
              </w:rPr>
              <w:t xml:space="preserve">, this document, </w:t>
            </w:r>
            <w:r>
              <w:rPr>
                <w:rFonts w:ascii="Consolas" w:hAnsi="Consolas" w:eastAsia="Consolas"/>
                <w:sz w:val="16"/>
              </w:rPr>
              <w:t>EGYPT_FinalCaveats_v1.0.docx</w:t>
            </w:r>
            <w:r>
              <w:rPr>
                <w:sz w:val="16"/>
              </w:rPr>
              <w:t xml:space="preserve">, </w:t>
            </w:r>
            <w:r>
              <w:rPr>
                <w:rFonts w:ascii="Consolas" w:hAnsi="Consolas" w:eastAsia="Consolas"/>
                <w:sz w:val="16"/>
              </w:rPr>
              <w:t>EGYPT_Table2_Final_CBAMcalc_v1.0.xlsx</w:t>
            </w:r>
            <w:r>
              <w:rPr>
                <w:sz w:val="16"/>
              </w:rPr>
              <w:t xml:space="preserve"> (Table 2 with live O). Markdown sources in </w:t>
            </w:r>
            <w:r>
              <w:rPr>
                <w:rFonts w:ascii="Consolas" w:hAnsi="Consolas" w:eastAsia="Consolas"/>
                <w:sz w:val="16"/>
              </w:rPr>
              <w:t>Old\</w:t>
            </w:r>
            <w:r>
              <w:rPr>
                <w:sz w:val="16"/>
              </w:rPr>
              <w:t xml:space="preserve">; earlier drafts in </w:t>
            </w:r>
            <w:r>
              <w:rPr>
                <w:rFonts w:ascii="Consolas" w:hAnsi="Consolas" w:eastAsia="Consolas"/>
                <w:sz w:val="16"/>
              </w:rPr>
              <w:t>Old\Superseded\</w:t>
            </w:r>
          </w:p>
        </w:tc>
      </w:tr>
      <w:tr>
        <w:tc>
          <w:tcPr>
            <w:tcW w:type="dxa" w:w="5040"/>
          </w:tcPr>
          <w:p>
            <w:pPr>
              <w:spacing w:after="0"/>
            </w:pPr>
            <w:r/>
            <w:r>
              <w:rPr>
                <w:sz w:val="16"/>
              </w:rPr>
              <w:t>Final Table 2 builders</w:t>
            </w:r>
          </w:p>
        </w:tc>
        <w:tc>
          <w:tcPr>
            <w:tcW w:type="dxa" w:w="5040"/>
          </w:tcPr>
          <w:p>
            <w:pPr>
              <w:spacing w:after="0"/>
            </w:pPr>
            <w:r/>
            <w:r>
              <w:rPr>
                <w:rFonts w:ascii="Consolas" w:hAnsi="Consolas" w:eastAsia="Consolas"/>
                <w:sz w:val="16"/>
              </w:rPr>
              <w:t>Old\AdHocRebuild\make_carveout_v0_3.py</w:t>
            </w:r>
            <w:r>
              <w:rPr>
                <w:sz w:val="16"/>
              </w:rPr>
              <w:t xml:space="preserve"> (numbers); </w:t>
            </w:r>
            <w:r>
              <w:rPr>
                <w:rFonts w:ascii="Consolas" w:hAnsi="Consolas" w:eastAsia="Consolas"/>
                <w:sz w:val="16"/>
              </w:rPr>
              <w:t>Old\AdHocRebuild\make_results_page_v1_2.py</w:t>
            </w:r>
            <w:r>
              <w:rPr>
                <w:sz w:val="16"/>
              </w:rPr>
              <w:t xml:space="preserve"> (tracked text)</w:t>
            </w:r>
          </w:p>
        </w:tc>
      </w:tr>
      <w:tr>
        <w:tc>
          <w:tcPr>
            <w:tcW w:type="dxa" w:w="5040"/>
          </w:tcPr>
          <w:p>
            <w:pPr>
              <w:spacing w:after="0"/>
            </w:pPr>
            <w:r/>
            <w:r>
              <w:rPr>
                <w:sz w:val="16"/>
              </w:rPr>
              <w:t>Kernel (final)</w:t>
            </w:r>
          </w:p>
        </w:tc>
        <w:tc>
          <w:tcPr>
            <w:tcW w:type="dxa" w:w="5040"/>
          </w:tcPr>
          <w:p>
            <w:pPr>
              <w:spacing w:after="0"/>
            </w:pPr>
            <w:r/>
            <w:r>
              <w:rPr>
                <w:rFonts w:ascii="Consolas" w:hAnsi="Consolas" w:eastAsia="Consolas"/>
                <w:sz w:val="16"/>
              </w:rPr>
              <w:t>cpat_excel_new\standalone_working_version\CPAT_Industry_Kernel_Egypt_v1.0.xlsx</w:t>
            </w:r>
            <w:r>
              <w:rPr>
                <w:sz w:val="16"/>
              </w:rPr>
              <w:t xml:space="preserve">, </w:t>
            </w:r>
            <w:r>
              <w:rPr>
                <w:rFonts w:ascii="Consolas" w:hAnsi="Consolas" w:eastAsia="Consolas"/>
                <w:sz w:val="16"/>
              </w:rPr>
              <w:t>build_v1_0.py</w:t>
            </w:r>
            <w:r>
              <w:rPr>
                <w:sz w:val="16"/>
              </w:rPr>
              <w:t xml:space="preserve">; sheet </w:t>
            </w:r>
            <w:r>
              <w:rPr>
                <w:rFonts w:ascii="Consolas" w:hAnsi="Consolas" w:eastAsia="Consolas"/>
                <w:sz w:val="16"/>
              </w:rPr>
              <w:t>CarveOut_Table2</w:t>
            </w:r>
            <w:r>
              <w:rPr>
                <w:sz w:val="16"/>
              </w:rPr>
              <w:t xml:space="preserve"> = final Table 2 (repo root path; copies in </w:t>
            </w:r>
            <w:r>
              <w:rPr>
                <w:rFonts w:ascii="Consolas" w:hAnsi="Consolas" w:eastAsia="Consolas"/>
                <w:sz w:val="16"/>
              </w:rPr>
              <w:t>Egypt Final results\</w:t>
            </w:r>
            <w:r>
              <w:rPr>
                <w:sz w:val="16"/>
              </w:rPr>
              <w:t xml:space="preserve"> and </w:t>
            </w:r>
            <w:r>
              <w:rPr>
                <w:rFonts w:ascii="Consolas" w:hAnsi="Consolas" w:eastAsia="Consolas"/>
                <w:sz w:val="16"/>
              </w:rPr>
              <w:t>egypt+mitigation\</w:t>
            </w:r>
            <w:r>
              <w:rPr>
                <w:sz w:val="16"/>
              </w:rPr>
              <w:t>)</w:t>
            </w:r>
          </w:p>
        </w:tc>
      </w:tr>
      <w:tr>
        <w:tc>
          <w:tcPr>
            <w:tcW w:type="dxa" w:w="5040"/>
          </w:tcPr>
          <w:p>
            <w:pPr>
              <w:spacing w:after="0"/>
            </w:pPr>
            <w:r/>
            <w:r>
              <w:rPr>
                <w:sz w:val="16"/>
              </w:rPr>
              <w:t>Task list and gaps</w:t>
            </w:r>
          </w:p>
        </w:tc>
        <w:tc>
          <w:tcPr>
            <w:tcW w:type="dxa" w:w="5040"/>
          </w:tcPr>
          <w:p>
            <w:pPr>
              <w:spacing w:after="0"/>
            </w:pPr>
            <w:r/>
            <w:r>
              <w:rPr>
                <w:rFonts w:ascii="Consolas" w:hAnsi="Consolas" w:eastAsia="Consolas"/>
                <w:sz w:val="16"/>
              </w:rPr>
              <w:t>EgyptTaskReference.md</w:t>
            </w:r>
            <w:r>
              <w:rPr>
                <w:sz w:val="16"/>
              </w:rPr>
              <w:t xml:space="preserve">; </w:t>
            </w:r>
            <w:r>
              <w:rPr>
                <w:rFonts w:ascii="Consolas" w:hAnsi="Consolas" w:eastAsia="Consolas"/>
                <w:sz w:val="16"/>
              </w:rPr>
              <w:t>instructions\instructions-egypt.yaml</w:t>
            </w:r>
            <w:r>
              <w:rPr>
                <w:sz w:val="16"/>
              </w:rPr>
              <w:t xml:space="preserve">; root </w:t>
            </w:r>
            <w:r>
              <w:rPr>
                <w:rFonts w:ascii="Consolas" w:hAnsi="Consolas" w:eastAsia="Consolas"/>
                <w:sz w:val="16"/>
              </w:rPr>
              <w:t>TODO.md</w:t>
            </w:r>
          </w:p>
        </w:tc>
      </w:tr>
      <w:tr>
        <w:tc>
          <w:tcPr>
            <w:tcW w:type="dxa" w:w="5040"/>
          </w:tcPr>
          <w:p>
            <w:pPr>
              <w:spacing w:after="0"/>
            </w:pPr>
            <w:r/>
            <w:r>
              <w:rPr>
                <w:sz w:val="16"/>
              </w:rPr>
              <w:t>Emission factors (App. A)</w:t>
            </w:r>
          </w:p>
        </w:tc>
        <w:tc>
          <w:tcPr>
            <w:tcW w:type="dxa" w:w="5040"/>
          </w:tcPr>
          <w:p>
            <w:pPr>
              <w:spacing w:after="0"/>
            </w:pPr>
            <w:r/>
            <w:r>
              <w:rPr>
                <w:rFonts w:ascii="Consolas" w:hAnsi="Consolas" w:eastAsia="Consolas"/>
                <w:sz w:val="16"/>
              </w:rPr>
              <w:t>Old\EmissionFactors\EGY_CBAM_EF_Methodology_v0.1.md</w:t>
            </w:r>
            <w:r>
              <w:rPr>
                <w:sz w:val="16"/>
              </w:rPr>
              <w:t xml:space="preserve">, </w:t>
            </w:r>
            <w:r>
              <w:rPr>
                <w:rFonts w:ascii="Consolas" w:hAnsi="Consolas" w:eastAsia="Consolas"/>
                <w:sz w:val="16"/>
              </w:rPr>
              <w:t>EGY_CBAM_EF_v0.1.xlsx</w:t>
            </w:r>
            <w:r>
              <w:rPr>
                <w:sz w:val="16"/>
              </w:rPr>
              <w:t xml:space="preserve">, </w:t>
            </w:r>
            <w:r>
              <w:rPr>
                <w:rFonts w:ascii="Consolas" w:hAnsi="Consolas" w:eastAsia="Consolas"/>
                <w:sz w:val="16"/>
              </w:rPr>
              <w:t>build_ef_v0_1.py</w:t>
            </w:r>
            <w:r>
              <w:rPr>
                <w:sz w:val="16"/>
              </w:rPr>
              <w:t xml:space="preserve">, </w:t>
            </w:r>
            <w:r>
              <w:rPr>
                <w:rFonts w:ascii="Consolas" w:hAnsi="Consolas" w:eastAsia="Consolas"/>
                <w:sz w:val="16"/>
              </w:rPr>
              <w:t>recalc_and_check.py</w:t>
            </w:r>
          </w:p>
        </w:tc>
      </w:tr>
      <w:tr>
        <w:tc>
          <w:tcPr>
            <w:tcW w:type="dxa" w:w="5040"/>
          </w:tcPr>
          <w:p>
            <w:pPr>
              <w:spacing w:after="0"/>
            </w:pPr>
            <w:r/>
            <w:r>
              <w:rPr>
                <w:sz w:val="16"/>
              </w:rPr>
              <w:t>Semi-elasticities (App. B)</w:t>
            </w:r>
          </w:p>
        </w:tc>
        <w:tc>
          <w:tcPr>
            <w:tcW w:type="dxa" w:w="5040"/>
          </w:tcPr>
          <w:p>
            <w:pPr>
              <w:spacing w:after="0"/>
            </w:pPr>
            <w:r/>
            <w:r>
              <w:rPr>
                <w:rFonts w:ascii="Consolas" w:hAnsi="Consolas" w:eastAsia="Consolas"/>
                <w:sz w:val="16"/>
              </w:rPr>
              <w:t>Old\ProcessEmissions_CarbonPrice_Response\ProcessEmissions_CarbonPriceResponse_Report.md</w:t>
            </w:r>
            <w:r>
              <w:rPr>
                <w:sz w:val="16"/>
              </w:rPr>
              <w:t xml:space="preserve"> + </w:t>
            </w:r>
            <w:r>
              <w:rPr>
                <w:rFonts w:ascii="Consolas" w:hAnsi="Consolas" w:eastAsia="Consolas"/>
                <w:sz w:val="16"/>
              </w:rPr>
              <w:t>.xlsx</w:t>
            </w:r>
            <w:r>
              <w:rPr>
                <w:sz w:val="16"/>
              </w:rPr>
              <w:t xml:space="preserve">; </w:t>
            </w:r>
            <w:r>
              <w:rPr>
                <w:rFonts w:ascii="Consolas" w:hAnsi="Consolas" w:eastAsia="Consolas"/>
                <w:sz w:val="16"/>
              </w:rPr>
              <w:t>Old\TASK-D_ProcessHalfElasticities_DropIn_v0.1.md</w:t>
            </w:r>
            <w:r>
              <w:rPr>
                <w:sz w:val="16"/>
              </w:rPr>
              <w:t xml:space="preserve">, </w:t>
            </w:r>
            <w:r>
              <w:rPr>
                <w:rFonts w:ascii="Consolas" w:hAnsi="Consolas" w:eastAsia="Consolas"/>
                <w:sz w:val="16"/>
              </w:rPr>
              <w:t>_v0.2.md</w:t>
            </w:r>
            <w:r>
              <w:rPr>
                <w:sz w:val="16"/>
              </w:rPr>
              <w:t xml:space="preserve"> (mapping as applied)</w:t>
            </w:r>
          </w:p>
        </w:tc>
      </w:tr>
      <w:tr>
        <w:tc>
          <w:tcPr>
            <w:tcW w:type="dxa" w:w="5040"/>
          </w:tcPr>
          <w:p>
            <w:pPr>
              <w:spacing w:after="0"/>
            </w:pPr>
            <w:r/>
            <w:r>
              <w:rPr>
                <w:sz w:val="16"/>
              </w:rPr>
              <w:t>Norms and log</w:t>
            </w:r>
          </w:p>
        </w:tc>
        <w:tc>
          <w:tcPr>
            <w:tcW w:type="dxa" w:w="5040"/>
          </w:tcPr>
          <w:p>
            <w:pPr>
              <w:spacing w:after="0"/>
            </w:pPr>
            <w:r/>
            <w:r>
              <w:rPr>
                <w:sz w:val="16"/>
              </w:rPr>
              <w:t xml:space="preserve">root </w:t>
            </w:r>
            <w:r>
              <w:rPr>
                <w:rFonts w:ascii="Consolas" w:hAnsi="Consolas" w:eastAsia="Consolas"/>
                <w:sz w:val="16"/>
              </w:rPr>
              <w:t>NORMS.md</w:t>
            </w:r>
            <w:r>
              <w:rPr>
                <w:sz w:val="16"/>
              </w:rPr>
              <w:t xml:space="preserve">, </w:t>
            </w:r>
            <w:r>
              <w:rPr>
                <w:rFonts w:ascii="Consolas" w:hAnsi="Consolas" w:eastAsia="Consolas"/>
                <w:sz w:val="16"/>
              </w:rPr>
              <w:t>CAVEATS.md</w:t>
            </w:r>
            <w:r>
              <w:rPr>
                <w:sz w:val="16"/>
              </w:rPr>
              <w:t xml:space="preserve">, </w:t>
            </w:r>
            <w:r>
              <w:rPr>
                <w:rFonts w:ascii="Consolas" w:hAnsi="Consolas" w:eastAsia="Consolas"/>
                <w:sz w:val="16"/>
              </w:rPr>
              <w:t>README.md</w:t>
            </w:r>
          </w:p>
        </w:tc>
      </w:tr>
    </w:tbl>
    <w:p/>
    <w:p>
      <w:pPr>
        <w:pStyle w:val="Heading1"/>
      </w:pPr>
      <w:r>
        <w:t>Appendix D. Glossary</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Term</w:t>
            </w:r>
          </w:p>
        </w:tc>
        <w:tc>
          <w:tcPr>
            <w:tcW w:type="dxa" w:w="5040"/>
          </w:tcPr>
          <w:p>
            <w:pPr>
              <w:spacing w:after="0"/>
            </w:pPr>
            <w:r>
              <w:rPr>
                <w:b/>
              </w:rPr>
            </w:r>
            <w:r>
              <w:rPr>
                <w:b/>
                <w:sz w:val="16"/>
              </w:rPr>
              <w:t>Meaning</w:t>
            </w:r>
          </w:p>
        </w:tc>
      </w:tr>
      <w:tr>
        <w:tc>
          <w:tcPr>
            <w:tcW w:type="dxa" w:w="5040"/>
          </w:tcPr>
          <w:p>
            <w:pPr>
              <w:spacing w:after="0"/>
            </w:pPr>
            <w:r/>
            <w:r>
              <w:rPr>
                <w:b/>
                <w:sz w:val="16"/>
              </w:rPr>
              <w:t>fc / fp / np / no</w:t>
            </w:r>
          </w:p>
        </w:tc>
        <w:tc>
          <w:tcPr>
            <w:tcW w:type="dxa" w:w="5040"/>
          </w:tcPr>
          <w:p>
            <w:pPr>
              <w:spacing w:after="0"/>
            </w:pPr>
            <w:r/>
            <w:r>
              <w:rPr>
                <w:sz w:val="16"/>
              </w:rPr>
              <w:t>fuel combustion / fuel-based process (reductant, feedstock) / non-fuel process CO₂ / non-CO₂ process gases</w:t>
            </w:r>
          </w:p>
        </w:tc>
      </w:tr>
      <w:tr>
        <w:tc>
          <w:tcPr>
            <w:tcW w:type="dxa" w:w="5040"/>
          </w:tcPr>
          <w:p>
            <w:pPr>
              <w:spacing w:after="0"/>
            </w:pPr>
            <w:r/>
            <w:r>
              <w:rPr>
                <w:b/>
                <w:sz w:val="16"/>
              </w:rPr>
              <w:t>β</w:t>
            </w:r>
          </w:p>
        </w:tc>
        <w:tc>
          <w:tcPr>
            <w:tcW w:type="dxa" w:w="5040"/>
          </w:tcPr>
          <w:p>
            <w:pPr>
              <w:spacing w:after="0"/>
            </w:pPr>
            <w:r/>
            <w:r>
              <w:rPr>
                <w:sz w:val="16"/>
              </w:rPr>
              <w:t>process semi-elasticity, fraction of intensity per USD/t</w:t>
            </w:r>
          </w:p>
        </w:tc>
      </w:tr>
      <w:tr>
        <w:tc>
          <w:tcPr>
            <w:tcW w:type="dxa" w:w="5040"/>
          </w:tcPr>
          <w:p>
            <w:pPr>
              <w:spacing w:after="0"/>
            </w:pPr>
            <w:r/>
            <w:r>
              <w:rPr>
                <w:b/>
                <w:sz w:val="16"/>
              </w:rPr>
              <w:t>ER(P)</w:t>
            </w:r>
          </w:p>
        </w:tc>
        <w:tc>
          <w:tcPr>
            <w:tcW w:type="dxa" w:w="5040"/>
          </w:tcPr>
          <w:p>
            <w:pPr>
              <w:spacing w:after="0"/>
            </w:pPr>
            <w:r/>
            <w:r>
              <w:rPr>
                <w:sz w:val="16"/>
              </w:rPr>
              <w:t>emission-intensity reduction at price P</w:t>
            </w:r>
          </w:p>
        </w:tc>
      </w:tr>
      <w:tr>
        <w:tc>
          <w:tcPr>
            <w:tcW w:type="dxa" w:w="5040"/>
          </w:tcPr>
          <w:p>
            <w:pPr>
              <w:spacing w:after="0"/>
            </w:pPr>
            <w:r/>
            <w:r>
              <w:rPr>
                <w:b/>
                <w:sz w:val="16"/>
              </w:rPr>
              <w:t>s_int</w:t>
            </w:r>
          </w:p>
        </w:tc>
        <w:tc>
          <w:tcPr>
            <w:tcW w:type="dxa" w:w="5040"/>
          </w:tcPr>
          <w:p>
            <w:pPr>
              <w:spacing w:after="0"/>
            </w:pPr>
            <w:r/>
            <w:r>
              <w:rPr>
                <w:sz w:val="16"/>
              </w:rPr>
              <w:t>intensity share of the fuel response</w:t>
            </w:r>
          </w:p>
        </w:tc>
      </w:tr>
      <w:tr>
        <w:tc>
          <w:tcPr>
            <w:tcW w:type="dxa" w:w="5040"/>
          </w:tcPr>
          <w:p>
            <w:pPr>
              <w:spacing w:after="0"/>
            </w:pPr>
            <w:r/>
            <w:r>
              <w:rPr>
                <w:b/>
                <w:sz w:val="16"/>
              </w:rPr>
              <w:t>b_f</w:t>
            </w:r>
          </w:p>
        </w:tc>
        <w:tc>
          <w:tcPr>
            <w:tcW w:type="dxa" w:w="5040"/>
          </w:tcPr>
          <w:p>
            <w:pPr>
              <w:spacing w:after="0"/>
            </w:pPr>
            <w:r/>
            <w:r>
              <w:rPr>
                <w:sz w:val="16"/>
              </w:rPr>
              <w:t>fuel-intensity semi-elasticity</w:t>
            </w:r>
          </w:p>
        </w:tc>
      </w:tr>
      <w:tr>
        <w:tc>
          <w:tcPr>
            <w:tcW w:type="dxa" w:w="5040"/>
          </w:tcPr>
          <w:p>
            <w:pPr>
              <w:spacing w:after="0"/>
            </w:pPr>
            <w:r/>
            <w:r>
              <w:rPr>
                <w:b/>
                <w:sz w:val="16"/>
              </w:rPr>
              <w:t>κ</w:t>
            </w:r>
          </w:p>
        </w:tc>
        <w:tc>
          <w:tcPr>
            <w:tcW w:type="dxa" w:w="5040"/>
          </w:tcPr>
          <w:p>
            <w:pPr>
              <w:spacing w:after="0"/>
            </w:pPr>
            <w:r/>
            <w:r>
              <w:rPr>
                <w:sz w:val="16"/>
              </w:rPr>
              <w:t>priced share of industrial energy CO₂ in the CPAT run</w:t>
            </w:r>
          </w:p>
        </w:tc>
      </w:tr>
      <w:tr>
        <w:tc>
          <w:tcPr>
            <w:tcW w:type="dxa" w:w="5040"/>
          </w:tcPr>
          <w:p>
            <w:pPr>
              <w:spacing w:after="0"/>
            </w:pPr>
            <w:r/>
            <w:r>
              <w:rPr>
                <w:b/>
                <w:sz w:val="16"/>
              </w:rPr>
              <w:t>θ</w:t>
            </w:r>
          </w:p>
        </w:tc>
        <w:tc>
          <w:tcPr>
            <w:tcW w:type="dxa" w:w="5040"/>
          </w:tcPr>
          <w:p>
            <w:pPr>
              <w:spacing w:after="0"/>
            </w:pPr>
            <w:r/>
            <w:r>
              <w:rPr>
                <w:sz w:val="16"/>
              </w:rPr>
              <w:t>output-based rebate share</w:t>
            </w:r>
          </w:p>
        </w:tc>
      </w:tr>
      <w:tr>
        <w:tc>
          <w:tcPr>
            <w:tcW w:type="dxa" w:w="5040"/>
          </w:tcPr>
          <w:p>
            <w:pPr>
              <w:spacing w:after="0"/>
            </w:pPr>
            <w:r/>
            <w:r>
              <w:rPr>
                <w:b/>
                <w:sz w:val="16"/>
              </w:rPr>
              <w:t>φ</w:t>
            </w:r>
          </w:p>
        </w:tc>
        <w:tc>
          <w:tcPr>
            <w:tcW w:type="dxa" w:w="5040"/>
          </w:tcPr>
          <w:p>
            <w:pPr>
              <w:spacing w:after="0"/>
            </w:pPr>
            <w:r/>
            <w:r>
              <w:rPr>
                <w:sz w:val="16"/>
              </w:rPr>
              <w:t>fund share</w:t>
            </w:r>
          </w:p>
        </w:tc>
      </w:tr>
      <w:tr>
        <w:tc>
          <w:tcPr>
            <w:tcW w:type="dxa" w:w="5040"/>
          </w:tcPr>
          <w:p>
            <w:pPr>
              <w:spacing w:after="0"/>
            </w:pPr>
            <w:r/>
            <w:r>
              <w:rPr>
                <w:b/>
                <w:sz w:val="16"/>
              </w:rPr>
              <w:t>σ</w:t>
            </w:r>
          </w:p>
        </w:tc>
        <w:tc>
          <w:tcPr>
            <w:tcW w:type="dxa" w:w="5040"/>
          </w:tcPr>
          <w:p>
            <w:pPr>
              <w:spacing w:after="0"/>
            </w:pPr>
            <w:r/>
            <w:r>
              <w:rPr>
                <w:sz w:val="16"/>
              </w:rPr>
              <w:t>fund shadow price</w:t>
            </w:r>
          </w:p>
        </w:tc>
      </w:tr>
      <w:tr>
        <w:tc>
          <w:tcPr>
            <w:tcW w:type="dxa" w:w="5040"/>
          </w:tcPr>
          <w:p>
            <w:pPr>
              <w:spacing w:after="0"/>
            </w:pPr>
            <w:r/>
            <w:r>
              <w:rPr>
                <w:b/>
                <w:sz w:val="16"/>
              </w:rPr>
              <w:t>ε_Q</w:t>
            </w:r>
          </w:p>
        </w:tc>
        <w:tc>
          <w:tcPr>
            <w:tcW w:type="dxa" w:w="5040"/>
          </w:tcPr>
          <w:p>
            <w:pPr>
              <w:spacing w:after="0"/>
            </w:pPr>
            <w:r/>
            <w:r>
              <w:rPr>
                <w:sz w:val="16"/>
              </w:rPr>
              <w:t>output elasticity</w:t>
            </w:r>
          </w:p>
        </w:tc>
      </w:tr>
      <w:tr>
        <w:tc>
          <w:tcPr>
            <w:tcW w:type="dxa" w:w="5040"/>
          </w:tcPr>
          <w:p>
            <w:pPr>
              <w:spacing w:after="0"/>
            </w:pPr>
            <w:r/>
            <w:r>
              <w:rPr>
                <w:b/>
                <w:sz w:val="16"/>
              </w:rPr>
              <w:t>CBF</w:t>
            </w:r>
          </w:p>
        </w:tc>
        <w:tc>
          <w:tcPr>
            <w:tcW w:type="dxa" w:w="5040"/>
          </w:tcPr>
          <w:p>
            <w:pPr>
              <w:spacing w:after="0"/>
            </w:pPr>
            <w:r/>
            <w:r>
              <w:rPr>
                <w:sz w:val="16"/>
              </w:rPr>
              <w:t>CBAM phase-in factor</w:t>
            </w:r>
          </w:p>
        </w:tc>
      </w:tr>
      <w:tr>
        <w:tc>
          <w:tcPr>
            <w:tcW w:type="dxa" w:w="5040"/>
          </w:tcPr>
          <w:p>
            <w:pPr>
              <w:spacing w:after="0"/>
            </w:pPr>
            <w:r/>
            <w:r>
              <w:rPr>
                <w:b/>
                <w:sz w:val="16"/>
              </w:rPr>
              <w:t>P_EU</w:t>
            </w:r>
          </w:p>
        </w:tc>
        <w:tc>
          <w:tcPr>
            <w:tcW w:type="dxa" w:w="5040"/>
          </w:tcPr>
          <w:p>
            <w:pPr>
              <w:spacing w:after="0"/>
            </w:pPr>
            <w:r/>
            <w:r>
              <w:rPr>
                <w:sz w:val="16"/>
              </w:rPr>
              <w:t>EU allowance price</w:t>
            </w:r>
          </w:p>
        </w:tc>
      </w:tr>
      <w:tr>
        <w:tc>
          <w:tcPr>
            <w:tcW w:type="dxa" w:w="5040"/>
          </w:tcPr>
          <w:p>
            <w:pPr>
              <w:spacing w:after="0"/>
            </w:pPr>
            <w:r/>
            <w:r>
              <w:rPr>
                <w:b/>
                <w:sz w:val="16"/>
              </w:rPr>
              <w:t>NOPHASE / FULL / SCALED</w:t>
            </w:r>
          </w:p>
        </w:tc>
        <w:tc>
          <w:tcPr>
            <w:tcW w:type="dxa" w:w="5040"/>
          </w:tcPr>
          <w:p>
            <w:pPr>
              <w:spacing w:after="0"/>
            </w:pPr>
            <w:r/>
            <w:r>
              <w:rPr>
                <w:sz w:val="16"/>
              </w:rPr>
              <w:t>CBAM obligation conventions (§4.5)</w:t>
            </w:r>
          </w:p>
        </w:tc>
      </w:tr>
      <w:tr>
        <w:tc>
          <w:tcPr>
            <w:tcW w:type="dxa" w:w="5040"/>
          </w:tcPr>
          <w:p>
            <w:pPr>
              <w:spacing w:after="0"/>
            </w:pPr>
            <w:r/>
            <w:r>
              <w:rPr>
                <w:b/>
                <w:sz w:val="16"/>
              </w:rPr>
              <w:t>EG1–EG4</w:t>
            </w:r>
          </w:p>
        </w:tc>
        <w:tc>
          <w:tcPr>
            <w:tcW w:type="dxa" w:w="5040"/>
          </w:tcPr>
          <w:p>
            <w:pPr>
              <w:spacing w:after="0"/>
            </w:pPr>
            <w:r/>
            <w:r>
              <w:rPr>
                <w:sz w:val="16"/>
              </w:rPr>
              <w:t>CPAT Egypt runs</w:t>
            </w:r>
          </w:p>
        </w:tc>
      </w:tr>
      <w:tr>
        <w:tc>
          <w:tcPr>
            <w:tcW w:type="dxa" w:w="5040"/>
          </w:tcPr>
          <w:p>
            <w:pPr>
              <w:spacing w:after="0"/>
            </w:pPr>
            <w:r/>
            <w:r>
              <w:rPr>
                <w:b/>
                <w:sz w:val="16"/>
              </w:rPr>
              <w:t>1A–3C</w:t>
            </w:r>
          </w:p>
        </w:tc>
        <w:tc>
          <w:tcPr>
            <w:tcW w:type="dxa" w:w="5040"/>
          </w:tcPr>
          <w:p>
            <w:pPr>
              <w:spacing w:after="0"/>
            </w:pPr>
            <w:r/>
            <w:r>
              <w:rPr>
                <w:sz w:val="16"/>
              </w:rPr>
              <w:t>policy bundles</w:t>
            </w:r>
          </w:p>
        </w:tc>
      </w:tr>
    </w:tbl>
    <w:p/>
    <w:p>
      <w:r>
        <w:t xml:space="preserve">*Version log:* </w:t>
      </w:r>
      <w:r>
        <w:rPr>
          <w:b/>
        </w:rPr>
        <w:t>Final v1.0 (2026-10-04):</w:t>
      </w:r>
      <w:r>
        <w:t xml:space="preserve"> release of draft v1.3, proofread; kernel v1.0, carve-out v1.0, results text v1.1; 2026-10-06: O restated as CBAM-product embedded-intensity change (results text v1.2). Drafts: v1.0 (2026-10). First integrated methodology covering TASK-2a/2b, kernel v0.1–v0.13 and Tasks A–L, Task D, and Task EF. v1.1 (2026-10-02): final results: rebuild v0.2 and kernel v0.15 (Task D β and Egypt EF v0.1 loaded; Task M); §5.1 prototype results; §6–8, A.3, B.5 and App. C updated. v1.2 (2026-10-03): rebuild v0.3 and kernel v0.16 (P* deflated to 122; EG3 1/κ full-coverage approximation; 3C fund fixed point; block fuel CO₂ reallocation); §1, §5–8, B.5 and App. C updated. v1.3 (2026-10-03): §5.0 final Table 2 = CBAM carve-out v0.3 (O on FULL), implemented in kernel v0.17 sheet </w:t>
      </w:r>
      <w:r>
        <w:rPr>
          <w:rFonts w:ascii="Consolas" w:hAnsi="Consolas" w:eastAsia="Consolas"/>
        </w:rPr>
        <w:t>CarveOut_Table2</w:t>
      </w:r>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