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Egypt policy-options matrix (Table 2) – rebuilt ad hoc calculations: methodology note v0.2</w:t>
      </w:r>
    </w:p>
    <w:p>
      <w:r>
        <w:t xml:space="preserve">Workbook: </w:t>
      </w:r>
      <w:r>
        <w:rPr>
          <w:rFonts w:ascii="Consolas" w:hAnsi="Consolas" w:eastAsia="Consolas"/>
        </w:rPr>
        <w:t>AdHocCalculations_Rebuild_v0.2.xlsx</w:t>
      </w:r>
      <w:r>
        <w:t xml:space="preserve"> (builder </w:t>
      </w:r>
      <w:r>
        <w:rPr>
          <w:rFonts w:ascii="Consolas" w:hAnsi="Consolas" w:eastAsia="Consolas"/>
        </w:rPr>
        <w:t>build_adhoc_rebuild_v0_2.py</w:t>
      </w:r>
      <w:r>
        <w:t xml:space="preserve">, verification </w:t>
      </w:r>
      <w:r>
        <w:rPr>
          <w:rFonts w:ascii="Consolas" w:hAnsi="Consolas" w:eastAsia="Consolas"/>
        </w:rPr>
        <w:t>recalc_and_check_adhoc_v0_2.py</w:t>
      </w:r>
      <w:r>
        <w:t>).</w:t>
      </w:r>
    </w:p>
    <w:p>
      <w:r>
        <w:rPr>
          <w:b/>
        </w:rPr>
        <w:t>v0.2 changes (vs v0.1).</w:t>
      </w:r>
      <w:r>
        <w:t xml:space="preserve"> (1) Emission factors fc / fp / np / no = Egypt CBAM EF v0.1 (</w:t>
      </w:r>
      <w:r>
        <w:rPr>
          <w:rFonts w:ascii="Consolas" w:hAnsi="Consolas" w:eastAsia="Consolas"/>
        </w:rPr>
        <w:t>EmissionFactors/EGY_CBAM_EF_v0.1.xlsx</w:t>
      </w:r>
      <w:r>
        <w:t xml:space="preserve">, Products D:G), selected by the new switch </w:t>
      </w:r>
      <w:r>
        <w:rPr>
          <w:rFonts w:ascii="Consolas" w:hAnsi="Consolas" w:eastAsia="Consolas"/>
        </w:rPr>
        <w:t>EFSet</w:t>
      </w:r>
      <w:r>
        <w:t xml:space="preserve"> (EGY_EF_V01 default; PROTOTYPE = v0.11 kernel EFs, kept on Inputs E columns R:U and forced in PROTOTYPE mode). Conventions: urea np = 0 (CBAM rule; v0.11 −0.733, floored to 0 in G anyway); ammonium nitrate no = integrated HNO₃ N₂O 0.79 × 1.2588 = 0.9944 (v0.11 0.97). (2) AN process ER100 = N₂O-weighted blend of the TASK‑D unabated (0.7210) and abated (0.3292) rows at the EF workbook's 50 % abatement share (3.5 / 1.25 kg N₂O per t HNO₃): central 0.6179, 2030 0.5539, long-run 0.6818 (v0.1: unabated row). (3) E_base 2030 = 62.42 Mt (v0.1 61.16). The kernel prototype adopts the same EFs and β in </w:t>
      </w:r>
      <w:r>
        <w:rPr>
          <w:rFonts w:ascii="Consolas" w:hAnsi="Consolas" w:eastAsia="Consolas"/>
        </w:rPr>
        <w:t>CPAT_Industry_Kernel_Egypt_v0.15</w:t>
      </w:r>
      <w:r>
        <w:t xml:space="preserve">. All assumptions sit on </w:t>
      </w:r>
      <w:r>
        <w:rPr>
          <w:b/>
        </w:rPr>
        <w:t>Inputs</w:t>
      </w:r>
      <w:r>
        <w:t xml:space="preserve">; </w:t>
      </w:r>
      <w:r>
        <w:rPr>
          <w:b/>
        </w:rPr>
        <w:t>PolicyMatrix</w:t>
      </w:r>
      <w:r>
        <w:t xml:space="preserve"> keeps the original layout and is fully live. One switch (</w:t>
      </w:r>
      <w:r>
        <w:rPr>
          <w:rFonts w:ascii="Consolas" w:hAnsi="Consolas" w:eastAsia="Consolas"/>
        </w:rPr>
        <w:t>Mode</w:t>
      </w:r>
      <w:r>
        <w:t xml:space="preserve">) selects </w:t>
      </w:r>
      <w:r>
        <w:rPr>
          <w:b/>
        </w:rPr>
        <w:t>REBUILD</w:t>
      </w:r>
      <w:r>
        <w:t xml:space="preserve"> (coherent method, default) or </w:t>
      </w:r>
      <w:r>
        <w:rPr>
          <w:b/>
        </w:rPr>
        <w:t>PROTOTYPE</w:t>
      </w:r>
      <w:r>
        <w:t xml:space="preserve"> (reproduces </w:t>
      </w:r>
      <w:r>
        <w:rPr>
          <w:rFonts w:ascii="Consolas" w:hAnsi="Consolas" w:eastAsia="Consolas"/>
        </w:rPr>
        <w:t>CPAT_Industry_Kernel_Egypt_v0.11</w:t>
      </w:r>
      <w:r>
        <w:t xml:space="preserve"> exactly). Reporting year </w:t>
      </w:r>
      <w:r>
        <w:rPr>
          <w:rFonts w:ascii="Consolas" w:hAnsi="Consolas" w:eastAsia="Consolas"/>
        </w:rPr>
        <w:t>Yr</w:t>
      </w:r>
      <w:r>
        <w:t xml:space="preserve"> = 2030, carbon price τ = CPAT </w:t>
      </w:r>
      <w:r>
        <w:rPr>
          <w:rFonts w:ascii="Consolas" w:hAnsi="Consolas" w:eastAsia="Consolas"/>
        </w:rPr>
        <w:t>cptraj.2</w:t>
      </w:r>
      <w:r>
        <w:t xml:space="preserve"> of the bundle's scenario ($20 in 2030 for all six bundles).</w:t>
      </w:r>
    </w:p>
    <w:p>
      <w:pPr>
        <w:pStyle w:val="Heading2"/>
      </w:pPr>
      <w:r>
        <w:t>1. Inputs (Inputs tab)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Block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Content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A Switches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6"/>
              </w:rPr>
              <w:t>Mode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Conv</w:t>
            </w:r>
            <w:r>
              <w:rPr>
                <w:sz w:val="16"/>
              </w:rPr>
              <w:t xml:space="preserve"> (CBAM convention: NOPHASE / FULL / SCALED), </w:t>
            </w:r>
            <w:r>
              <w:rPr>
                <w:rFonts w:ascii="Consolas" w:hAnsi="Consolas" w:eastAsia="Consolas"/>
                <w:sz w:val="16"/>
              </w:rPr>
              <w:t>Yr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SigmaEff</w:t>
            </w:r>
            <w:r>
              <w:rPr>
                <w:sz w:val="16"/>
              </w:rPr>
              <w:t xml:space="preserve"> (fund shadow price σ = 20 $/t), </w:t>
            </w:r>
            <w:r>
              <w:rPr>
                <w:rFonts w:ascii="Consolas" w:hAnsi="Consolas" w:eastAsia="Consolas"/>
                <w:sz w:val="16"/>
              </w:rPr>
              <w:t>BetaSet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BfScen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ThetaOther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IppuOther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KappaMode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this note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B Parameters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ε_U = ε_F = −0.5 → s_int = ε_F(1+ε_U)/(ε_U+ε_F(1+ε_U)) = 1/3; ε_Q = −0.5; P_EU = 100 $/t; b_f (derived); CBAM phase-in factor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TechNote App. A; prototype v0.11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C CPAT values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 xml:space="preserve">22 CPAT </w:t>
            </w:r>
            <w:r>
              <w:rPr>
                <w:rFonts w:ascii="Consolas" w:hAnsi="Consolas" w:eastAsia="Consolas"/>
                <w:sz w:val="16"/>
              </w:rPr>
              <w:t>Outputs</w:t>
            </w:r>
            <w:r>
              <w:rPr>
                <w:sz w:val="16"/>
              </w:rPr>
              <w:t xml:space="preserve"> codes × EG1–EG4, looked up live for </w:t>
            </w:r>
            <w:r>
              <w:rPr>
                <w:rFonts w:ascii="Consolas" w:hAnsi="Consolas" w:eastAsia="Consolas"/>
                <w:sz w:val="16"/>
              </w:rPr>
              <w:t>Yr</w:t>
            </w:r>
            <w:r>
              <w:rPr>
                <w:sz w:val="16"/>
              </w:rPr>
              <w:t xml:space="preserve"> (GHG, IPPU, energy CO2, industry CO2, price, effective price, revenues, deaths) + 8 derived rows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6"/>
              </w:rPr>
              <w:t>CPAT_Outputs</w:t>
            </w:r>
            <w:r>
              <w:rPr>
                <w:sz w:val="16"/>
              </w:rPr>
              <w:t xml:space="preserve"> sheet (trimmed CPAT Outputs 2022–2041)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D Bundles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code → CPAT scenario, scope (ALL/IND), process flag, θ (OBR share), φ (fund share), τ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TechNote §Bundles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E Products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8 CBAM products: Q₀ (2024), g, EU exports X, price P, fuel factor F = fc+fp, process factor G = max(np,0)+max(no,0), ER100 → β = −ln(1−ER100)/100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activity / prices: prototype v0.11 Manual inputs; EFs: Egypt CBAM EF v0.1 (</w:t>
            </w:r>
            <w:r>
              <w:rPr>
                <w:rFonts w:ascii="Consolas" w:hAnsi="Consolas" w:eastAsia="Consolas"/>
                <w:sz w:val="16"/>
              </w:rPr>
              <w:t>EFSet</w:t>
            </w:r>
            <w:r>
              <w:rPr>
                <w:sz w:val="16"/>
              </w:rPr>
              <w:t>); IPCC β set (TASK‑D)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F Year vectors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CBAM phase-in, flat $20 path, CPAT EG3 ramp (live)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EU CBAM; CPAT</w:t>
            </w:r>
          </w:p>
        </w:tc>
      </w:tr>
    </w:tbl>
    <w:p/>
    <w:p>
      <w:r>
        <w:t>Bundle mapping: 1A→EG1 (ALL, process priced), 2A→EG1 (ALL, fuels only), 2B→EG2 (ALL, fuels only, household recycling), 3A→EG3 (IND, process priced), 3B→EG3 + θ=1 (output-based rebate), 3C→EG3 + φ=1 (abatement fund).</w:t>
      </w:r>
    </w:p>
    <w:p>
      <w:pPr>
        <w:pStyle w:val="Heading2"/>
      </w:pPr>
      <w:r>
        <w:t>2. Core equations</w:t>
      </w:r>
    </w:p>
    <w:p>
      <w:r>
        <w:rPr>
          <w:b/>
        </w:rPr>
        <w:t>CBAM block (per product i, sheet CBAM_Products; prototype v0.11 equations)</w:t>
      </w:r>
    </w:p>
    <w:p>
      <w:pPr>
        <w:pStyle w:val="ListBullet"/>
      </w:pPr>
      <w:r>
        <w:t>Prices: τ_p = τ·flag; OBR rate = θτ; fund price σ_eff = φσ (0 in PROTOTYPE).</w:t>
      </w:r>
    </w:p>
    <w:p>
      <w:pPr>
        <w:pStyle w:val="ListBullet"/>
      </w:pPr>
      <w:r>
        <w:t>Cost per tonne: k_f = τF_i; k_p = τ_p G_i; rebate m_i = min(θτ,τ)F_i + min(θτ,τ_p)·flag·G_i; Δp_i = (k_f+k_p−m_i)/P_i.</w:t>
      </w:r>
    </w:p>
    <w:p>
      <w:pPr>
        <w:pStyle w:val="ListBullet"/>
      </w:pPr>
      <w:r>
        <w:t>Output: Q_i^b = Q₀(1+g)^(Yr−2024); Q_i = Q_i^b(1+Δp_i)^ε_Q.</w:t>
      </w:r>
    </w:p>
    <w:p>
      <w:pPr>
        <w:pStyle w:val="ListBullet"/>
      </w:pPr>
      <w:r>
        <w:t>Emissions at baseline intensity: E_f = Q_iF_i/1000, E_p = Q_iG_i/1000 (Mt).</w:t>
      </w:r>
    </w:p>
    <w:p>
      <w:pPr>
        <w:pStyle w:val="ListBullet"/>
      </w:pPr>
      <w:r>
        <w:t>Intensity responses: ER_f = E_f(x_f−1) with x_f = exp(b_f(τ+σ_eff)) [REBUILD; x_f = 1 in PROTOTYPE]; ER_p = −E_p(1−exp(−β_i(τ_p+σ_eff))).</w:t>
      </w:r>
    </w:p>
    <w:p>
      <w:pPr>
        <w:pStyle w:val="ListBullet"/>
      </w:pPr>
      <w:r>
        <w:t>Post-response emissions: E_i = E_f+ER_f+E_p+ER_p; output-channel reduction emrq_i = (E_f+E_p)(1−(1+Δp_i)^(−ε_Q)) (process part uses E_p only).</w:t>
      </w:r>
    </w:p>
    <w:p>
      <w:pPr>
        <w:pStyle w:val="ListBullet"/>
      </w:pPr>
      <w:r>
        <w:t>Revenue: rev_i = (E_f+ER_f)τ + (E_p·1[G_i&gt;0]+ER_p)τ_p ($m); rebate_i = m_iQ_i/1000.</w:t>
      </w:r>
    </w:p>
    <w:p>
      <w:pPr>
        <w:pStyle w:val="ListBullet"/>
      </w:pPr>
      <w:r>
        <w:t>CBAM: intensity EI_i = 1000E_i/Q_i; deductible carbon price d_i = 1000rev_i/Q_i − m_i; obligation per tonne obl_i = max(0, CBF·P_EU·EI_i − S·max(0,d_i)); cbobl = ΣX_i(Q_i/Q₀)obl_i/1000; cbobl₀ = ΣX_i(1+g)^t·CBF·P_EU(F_i+G_i)/1000. Conventions: NOPHASE (default) CBF=1, S=1; FULL CBF=0.485 (2030), S=1; SCALED CBF=S=0.485.</w:t>
      </w:r>
    </w:p>
    <w:p>
      <w:pPr>
        <w:pStyle w:val="ListBullet"/>
      </w:pPr>
      <w:r>
        <w:t>Block metrics: E_base = ΣQ_i^b(F_i+G_i)/1000 (= 62.42 Mt in 2030; 61.16 Mt with prototype EFs); cbcov = Σcovered/Σ(E_f+E_p); cbintch = ΣE_i/Σ(E_f+E_p) − 1; cbqch = Σemrq/E_base; emrt = Σemrq + ΣER_f + ΣER_p; cbobchu = ΣX_i·obl_i / ΣX_i·CBF·P_EU(F_i+G_i) − 1.</w:t>
      </w:r>
    </w:p>
    <w:p>
      <w:r>
        <w:rPr>
          <w:b/>
        </w:rPr>
        <w:t>National quantities (CPAT, scenario s of the bundle, year Yr)</w:t>
      </w:r>
      <w:r>
        <w:t>: ΔGHG, ΔIPPU, ΔEnergyCO2, ΔIndCO2 = policy − baseline; κ = min(1, (eff.cptraj/cptraj)·EnergyCO2₀/IndCO2₀) = share of industrial energy CO2 actually priced in the CPAT run (κ(EG3) = 0.54; κ = 1 for EG1/EG2); b_f = s_int·ln(IndCO2₁/IndCO2₀)/τ on EG1 = −0.0025 per $/t.</w:t>
      </w:r>
    </w:p>
    <w:p>
      <w:r>
        <w:rPr>
          <w:b/>
        </w:rPr>
        <w:t>Table-2 metrics (sheet Results; PolicyMatrix column in brackets)</w:t>
      </w:r>
    </w:p>
    <w:p>
      <w:pPr>
        <w:pStyle w:val="ListBullet"/>
      </w:pPr>
      <w:r>
        <w:t>Coverage [J] = (E_f⁰ + flag·E_p^base)/GHG₀, with E_f⁰ = EnergyCO2₀ (ALL) or κ·IndCO2₀ (IND).</w:t>
      </w:r>
    </w:p>
    <w:p>
      <w:pPr>
        <w:pStyle w:val="ListBullet"/>
      </w:pPr>
      <w:r>
        <w:t xml:space="preserve">Total reduction [K] = ΔGHG − ΔIPPU + IPPU_other + ΣER_p + Σemrq_proc + D_obr + F_fund, where IPPU_other = 0 (switch </w:t>
      </w:r>
      <w:r>
        <w:rPr>
          <w:rFonts w:ascii="Consolas" w:hAnsi="Consolas" w:eastAsia="Consolas"/>
        </w:rPr>
        <w:t>IppuOther</w:t>
      </w:r>
      <w:r>
        <w:t xml:space="preserve">; CPAT's IPPU scaling with industrial fuel use is removed, MajorIssues #17), D_obr = −(1−s_int)·w·ΔIndCO2 if θ&gt;0 (OBR neutralises the output share of CPAT's industrial fuel response; w = E_f^base/(κ·IndCO2₀) = 0.57 for EG3 unless </w:t>
      </w:r>
      <w:r>
        <w:rPr>
          <w:rFonts w:ascii="Consolas" w:hAnsi="Consolas" w:eastAsia="Consolas"/>
        </w:rPr>
        <w:t>ThetaOther</w:t>
      </w:r>
      <w:r>
        <w:t xml:space="preserve"> = 1), F_fund = κ·IndCO2₁(exp(b_fσ_eff)−1) if φ&gt;0 (fund buys fuel-intensity abatement outside the block).</w:t>
      </w:r>
    </w:p>
    <w:p>
      <w:pPr>
        <w:pStyle w:val="ListBullet"/>
      </w:pPr>
      <w:r>
        <w:t>[L] = K/GHG₀. [M] = cbcov. [N] = cbintch. [O] = cbobchu (selected convention; FULL shown in AQ).</w:t>
      </w:r>
    </w:p>
    <w:p>
      <w:pPr>
        <w:pStyle w:val="ListBullet"/>
      </w:pPr>
      <w:r>
        <w:t xml:space="preserve">Revenue [P] = (1−φ)·(P_gross − rebates), P_gross = CPAT carbon-tax receipts on fuels (six fuels, post-response) + Σrev_p/1000; rebates = Σrebate_i/1000 (+ τ(κ·IndCO2₁ − ΣE_f,post)/1000 if </w:t>
      </w:r>
      <w:r>
        <w:rPr>
          <w:rFonts w:ascii="Consolas" w:hAnsi="Consolas" w:eastAsia="Consolas"/>
        </w:rPr>
        <w:t>ThetaOther</w:t>
      </w:r>
      <w:r>
        <w:t xml:space="preserve"> = 1). Fund budget = φ·(P_gross − rebates); outlay upper bound = σ|ΣER_f+ΣER_p+F_fund|/1000 (3C: 0.19 vs budget 1.47 $bn).</w:t>
      </w:r>
    </w:p>
    <w:p>
      <w:pPr>
        <w:pStyle w:val="ListBullet"/>
      </w:pPr>
      <w:r>
        <w:t>Deaths [Q] = CPAT deaths avoided(s) × (ΔEnergyCO2 + D_obr + F_fund)/ΔEnergyCO2 for IND bundles (energy CO2 only); [R] = Q/baseline deaths.</w:t>
      </w:r>
    </w:p>
    <w:p>
      <w:pPr>
        <w:pStyle w:val="ListBullet"/>
      </w:pPr>
      <w:r>
        <w:t>[T] = emrt/E_base; [U] = cbqch; [AR] = CPAT Δnet new revenue(s) − (P_gross − P).</w:t>
      </w:r>
    </w:p>
    <w:p>
      <w:pPr>
        <w:pStyle w:val="ListBullet"/>
      </w:pPr>
      <w:r>
        <w:t>Decomposition columns AF–AM on PolicyMatrix: ΔGHG, −ΔIPPU, IPPU_other, ΣER_p, Σemrq_proc, D_obr, F_fund, check (= 0).</w:t>
      </w:r>
    </w:p>
    <w:p>
      <w:pPr>
        <w:pStyle w:val="Heading2"/>
      </w:pPr>
      <w:r>
        <w:t>3. Results, 2030 (Mode = REBUILD, Conv = NOPHASE, EFSet = EGY_EF_V01)</w:t>
      </w:r>
    </w:p>
    <w:p>
      <w:r>
        <w:t>v0.1 rebuilt K for reference (prototype EFs): 1A −31.6, 2A −27.7, 2B −29.3, 3A −18.0, 3B −12.8, 3C −22.4. "proto" = kernel v0.11 with its own EFs.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J coverage, % GHG — rebuilt / original / Table 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63 / 72 / 72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 / 65 / 65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 / 65 / 65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14 / 24 / 20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14 / 24 / 20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14 / 24 / 20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K reduction, Mt — rebuilt / original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−31.8 / −41.6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−27.8 / −38.9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−29.3 / −41.0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−18.2 / −21.5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−12.7 / −18.1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−22.6 / −24.5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L, % of GHG — rebuilt / original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−5.3 / −8.5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−4.7 / −8.0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−4.9 / −8.4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−3.1 / −4.4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−2.1 / −3.7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−3.8 / −5.0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M CBAM coverage — rebuilt / original / proto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100 / 100 / 100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44.2 / 44.5 / 44.5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44.2 / 44.5 / 44.5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100 / 100 / 100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100 / 100 / 100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100 / 100 / 100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N intensity, % — rebuilt / original / proto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−6.6 / −7.6 / −1.1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−2.2 / −5.5 / 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−2.2 / −5.5 / 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−6.6 / −7.6 / −1.1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−6.6 / −7.6 / −1.1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−12.7 / −13.1 / −1.1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O obligation per unit, % — rebuilt / original / proto NOPHASE (FULL)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−24.8 / −26.1 / −21.1 (−42.1)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−12.5 / −13.9 / −10.9 (−22.6)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−12.5 / −13.9 / −10.9 (−22.6)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−24.8 / −26.1 / −21.1 (−42.1)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−6.0 / −7.6 / −1.4 (−1.4)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−29.3 / −30.4 / −21.1 (−42.1)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 revenue, $bn — rebuilt / original / Table 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6.83 / 5.77 / 5.8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6.23 / 5.18 / 5.2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6.19 / 5.18 / 5.2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1.53 / 2.38 / 1.1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0.32 / 0 / 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 / 0 / 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Q deaths avoided — rebuilt / original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1564 / 1656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1564 / 1564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1631 / 1631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546 / 546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410 / 345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633 / 621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 block emissions, % — rebuilt / original / proto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−12.3 / −15.3 / −6.8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−4.7 / −13.4 / −2.4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−4.7 / −13.4 / −2.4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−12.3 / −18.1 / −6.8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−6.6 / −15.3 / −1.1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−18.0 / −20.6 / −6.8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U block output, % — rebuilt / original / proto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−6.1 / −8.3 / −5.8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−2.6 / −8.3 / −2.4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−2.6 / −8.3 / −2.4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−6.1 / −11.4 / −5.8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 / −8.3 / 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−6.1 / −8.7 / −5.8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AR Δnet revenue, $bn — rebuilt / original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10.43 / 10.62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10.43 / 10.62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10.62 / 10.62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2.69 / 2.69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1.44 / 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1.21 / –</w:t>
            </w:r>
          </w:p>
        </w:tc>
      </w:tr>
    </w:tbl>
    <w:p/>
    <w:p>
      <w:r>
        <w:t xml:space="preserve">Verification: </w:t>
      </w:r>
      <w:r>
        <w:rPr>
          <w:rFonts w:ascii="Consolas" w:hAnsi="Consolas" w:eastAsia="Consolas"/>
        </w:rPr>
        <w:t>Mode = PROTOTYPE</w:t>
      </w:r>
      <w:r>
        <w:t xml:space="preserve"> reproduces all 21 block metrics × 6 bundles of v0.11 to &lt; 1e‑7 for FULL and NOPHASE (Comparison §2, Checks); REBUILD matches an independent Python re-implementation (534/534 values).</w:t>
      </w:r>
    </w:p>
    <w:p>
      <w:pPr>
        <w:pStyle w:val="Heading2"/>
      </w:pPr>
      <w:r>
        <w:t>4. Differences</w:t>
      </w:r>
    </w:p>
    <w:p>
      <w:r>
        <w:rPr>
          <w:b/>
        </w:rPr>
        <w:t>(a) vs the original AdHocCalculations.xlsb</w:t>
      </w:r>
    </w:p>
    <w:p>
      <w:pPr>
        <w:pStyle w:val="ListNumber"/>
      </w:pPr>
      <w:r>
        <w:t>One base: every % uses CPAT 2030 baseline total GHG (594.2 Mt); the original mixed 2026/2030 and three denominators (#4, #11).</w:t>
      </w:r>
    </w:p>
    <w:p>
      <w:pPr>
        <w:pStyle w:val="ListNumber"/>
      </w:pPr>
      <w:r>
        <w:t>Coverage computed, not typed; κ makes the partial industry coverage of the EG3 run explicit (J_int memo = 20.7% at κ = 1) (#12, #13).</w:t>
      </w:r>
    </w:p>
    <w:p>
      <w:pPr>
        <w:pStyle w:val="ListNumber"/>
      </w:pPr>
      <w:r>
        <w:t>CBAM base bottom-up (61.2 Mt from eight products) instead of 53.6 Mt (#16); process response via β and the output channel, CPAT's proportional IPPU scaling removed (#14, #17).</w:t>
      </w:r>
    </w:p>
    <w:p>
      <w:pPr>
        <w:pStyle w:val="ListNumber"/>
      </w:pPr>
      <w:r>
        <w:t>1A on EG1 (was EG2-based) (#3); 3B from EG3 with an explicit OBR correction instead of −13.592·(2/3)/0.5 (#9, #15); output change per bundle, not 3B's −8.3% for all (#18).</w:t>
      </w:r>
    </w:p>
    <w:p>
      <w:pPr>
        <w:pStyle w:val="ListNumber"/>
      </w:pPr>
      <w:r>
        <w:t>Revenue = CPAT fuel receipts (post-response) + block process revenue, net of rebates/fund; 3B now raises 0.33 $bn because only CBAM producers are rebated (</w:t>
      </w:r>
      <w:r>
        <w:rPr>
          <w:rFonts w:ascii="Consolas" w:hAnsi="Consolas" w:eastAsia="Consolas"/>
        </w:rPr>
        <w:t>ThetaOther</w:t>
      </w:r>
      <w:r>
        <w:t xml:space="preserve"> = 0) (#10).</w:t>
      </w:r>
    </w:p>
    <w:p>
      <w:pPr>
        <w:pStyle w:val="ListNumber"/>
      </w:pPr>
      <w:r>
        <w:t>Deaths from the bundle's own scenario, rescaled by energy CO2 only (#2, #19); AR from the bundle's own scenario (#6); price start 2028 (#5); nothing hard-typed (#7); EG4 excluded (#8). Net effect: K is 15–30% smaller than the original for the economy-wide bundles (the original's K included CPAT's IPPU scaling and an untraceable process term) and 10–30% smaller for the industry bundles.</w:t>
      </w:r>
    </w:p>
    <w:p>
      <w:r>
        <w:rPr>
          <w:b/>
        </w:rPr>
        <w:t>(b) vs the prototype kernel v0.11</w:t>
      </w:r>
    </w:p>
    <w:p>
      <w:pPr>
        <w:pStyle w:val="ListNumber"/>
      </w:pPr>
      <w:r>
        <w:t>Fuel-intensity channel x_f = exp(b_f(τ+σ)) (prototype: fuel intensity fixed) → N, T, O larger in magnitude.</w:t>
      </w:r>
    </w:p>
    <w:p>
      <w:pPr>
        <w:pStyle w:val="ListNumber"/>
      </w:pPr>
      <w:r>
        <w:t xml:space="preserve">IPCC-based β set (prototype set available via </w:t>
      </w:r>
      <w:r>
        <w:rPr>
          <w:rFonts w:ascii="Consolas" w:hAnsi="Consolas" w:eastAsia="Consolas"/>
        </w:rPr>
        <w:t>BetaSet</w:t>
      </w:r>
      <w:r>
        <w:t>) → ER_p 4× larger.</w:t>
      </w:r>
    </w:p>
    <w:p>
      <w:pPr>
        <w:pStyle w:val="ListNumber"/>
      </w:pPr>
      <w:r>
        <w:t>Fund (3C) modelled as shadow price σ = 20 $/t on both intensity channels (prototype: fund inactive) → 3C ≠ 3A.</w:t>
      </w:r>
    </w:p>
    <w:p>
      <w:pPr>
        <w:pStyle w:val="ListNumber"/>
      </w:pPr>
      <w:r>
        <w:t>National totals, coverage, revenue, deaths and AR from CPAT (outside the prototype's scope); OBR rebates deducted from revenue.</w:t>
      </w:r>
    </w:p>
    <w:p>
      <w:pPr>
        <w:pStyle w:val="ListNumber"/>
      </w:pPr>
      <w:r>
        <w:t>NOPHASE as default convention for O (prototype headline uses FULL; both shown).</w:t>
      </w:r>
    </w:p>
    <w:p>
      <w:pPr>
        <w:pStyle w:val="ListNumber"/>
      </w:pPr>
      <w:r>
        <w:t>Kernel v0.13/v0.14 (after this note's PROTOTYPE calibration on v0.11): 3B rebate capped by sector shares (0.97 vs 1.22 $bn), 3C fund active (shadow price 150 $/t), and Task M adds the prototype's own Table 2 (</w:t>
      </w:r>
      <w:r>
        <w:rPr>
          <w:rFonts w:ascii="Consolas" w:hAnsi="Consolas" w:eastAsia="Consolas"/>
        </w:rPr>
        <w:t>Table2_Industry</w:t>
      </w:r>
      <w:r>
        <w:t xml:space="preserve">). Full comparison of Table 2 vs this rebuild vs v0.14: </w:t>
      </w:r>
      <w:r>
        <w:rPr>
          <w:rFonts w:ascii="Consolas" w:hAnsi="Consolas" w:eastAsia="Consolas"/>
        </w:rPr>
        <w:t>ResultsComparison_Table2_v0.1.md</w:t>
      </w:r>
      <w:r>
        <w:t>.</w:t>
      </w:r>
    </w:p>
    <w:p>
      <w:pPr>
        <w:pStyle w:val="Heading2"/>
      </w:pPr>
      <w:r>
        <w:t>5. Format changes vs the original PolicyMatrix</w:t>
      </w:r>
    </w:p>
    <w:p>
      <w:pPr>
        <w:pStyle w:val="ListBullet"/>
      </w:pPr>
      <w:r>
        <w:t xml:space="preserve">Assumptions moved to </w:t>
      </w:r>
      <w:r>
        <w:rPr>
          <w:b/>
        </w:rPr>
        <w:t>Inputs</w:t>
      </w:r>
      <w:r>
        <w:t>; new sheets CPAT_Outputs, CBAM_Products, Results, Comparison, Issues resolved, Checks; GHG tab not rebuilt.</w:t>
      </w:r>
    </w:p>
    <w:p>
      <w:pPr>
        <w:pStyle w:val="ListBullet"/>
      </w:pPr>
      <w:r>
        <w:t xml:space="preserve">Columns </w:t>
      </w:r>
      <w:r>
        <w:rPr>
          <w:b/>
        </w:rPr>
        <w:t>AF–AQ redefined</w:t>
      </w:r>
      <w:r>
        <w:t xml:space="preserve"> (yellow headers): legacy half-elasticity block replaced by the K decomposition (AF–AM), export-weighted intensity change (AN), gross revenue (AO), rebates (AP), O under FULL (AQ).</w:t>
      </w:r>
    </w:p>
    <w:p>
      <w:pPr>
        <w:pStyle w:val="ListBullet"/>
      </w:pPr>
      <w:r>
        <w:t>Row 4 mode indicator; C3 is a formula; G7 label corrected ("$20 flat from 2028").</w:t>
      </w:r>
    </w:p>
    <w:p>
      <w:pPr>
        <w:pStyle w:val="ListBullet"/>
      </w:pPr>
      <w:r>
        <w:t>Rows 14–22 (non-modelled bundles) copied verbatim and greyed, not recomputed.</w:t>
      </w:r>
    </w:p>
    <w:p>
      <w:pPr>
        <w:pStyle w:val="ListBullet"/>
      </w:pPr>
      <w:r>
        <w:t>Trajectory rows 26–29 rebuilt as contiguous years 2027–2034 in F–M, live, plus a CBAM phase-in row.</w:t>
      </w:r>
    </w:p>
    <w:p>
      <w:pPr>
        <w:pStyle w:val="ListBullet"/>
      </w:pPr>
      <w:r>
        <w:t>Columns B, D, E hidden as in the original; widths and header styling preserved.</w:t>
      </w:r>
    </w:p>
    <w:p>
      <w:pPr>
        <w:pStyle w:val="Heading2"/>
      </w:pPr>
      <w:r>
        <w:t>6. Open flags for review</w:t>
      </w:r>
    </w:p>
    <w:p>
      <w:pPr>
        <w:pStyle w:val="ListNumber"/>
      </w:pPr>
      <w:r>
        <w:t xml:space="preserve">κ(EG3) = 0.54: the industry CPAT run prices only part of industrial energy CO2 (aluminium, other manufacturing excluded) — re-run EG3 with full coverage, then set </w:t>
      </w:r>
      <w:r>
        <w:rPr>
          <w:rFonts w:ascii="Consolas" w:hAnsi="Consolas" w:eastAsia="Consolas"/>
        </w:rPr>
        <w:t>KappaMode</w:t>
      </w:r>
      <w:r>
        <w:t xml:space="preserve"> = ONE.</w:t>
      </w:r>
    </w:p>
    <w:p>
      <w:pPr>
        <w:pStyle w:val="ListNumber"/>
      </w:pPr>
      <w:r>
        <w:t xml:space="preserve">3B revenue depends on </w:t>
      </w:r>
      <w:r>
        <w:rPr>
          <w:rFonts w:ascii="Consolas" w:hAnsi="Consolas" w:eastAsia="Consolas"/>
        </w:rPr>
        <w:t>ThetaOther</w:t>
      </w:r>
      <w:r>
        <w:t xml:space="preserve"> (0: CBAM producers rebated only, P = 0.33 $bn; 1: all covered industry rebated, P ≈ 0).</w:t>
      </w:r>
    </w:p>
    <w:p>
      <w:pPr>
        <w:pStyle w:val="ListNumber"/>
      </w:pPr>
      <w:r>
        <w:t>Non-CBAM IPPU (43% of IPPU) assumed unresponsive to a fuel-only price (</w:t>
      </w:r>
      <w:r>
        <w:rPr>
          <w:rFonts w:ascii="Consolas" w:hAnsi="Consolas" w:eastAsia="Consolas"/>
        </w:rPr>
        <w:t>IppuOther</w:t>
      </w:r>
      <w:r>
        <w:t>).</w:t>
      </w:r>
    </w:p>
    <w:p>
      <w:pPr>
        <w:pStyle w:val="ListNumber"/>
      </w:pPr>
      <w:r>
        <w:t>Deaths rescaling for 3B/3C is proportional to energy CO2 (approximation).</w:t>
      </w:r>
    </w:p>
    <w:p>
      <w:pPr>
        <w:pStyle w:val="ListNumber"/>
      </w:pPr>
      <w:r>
        <w:t>β set (IPCC central) and σ = 20 $/t are judgements; fund outlay bound (0.19 $bn) is far below the 3C budget (1.47 $bn).</w:t>
      </w:r>
    </w:p>
    <w:p>
      <w:pPr>
        <w:pStyle w:val="ListNumber"/>
      </w:pPr>
      <w:r>
        <w:t>O convention: NOPHASE default vs FULL; both reported.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