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Marginal Abatement Cost Curves for Process Emissions in CBAM Goods</w:t>
      </w:r>
    </w:p>
    <w:p>
      <w:pPr>
        <w:pBdr>
          <w:bottom w:val="single" w:color="1F3864" w:sz="6" w:space="4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Audit-trail method, intensity reduction at USD 100/tCO₂e, and derived semi-elasticities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September 2026. Working draft for verification.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Bottom 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At USD 100/tCO₂e, process-emissions intensity falls about 85–90% for ammonia and ammonium nitrate, about 25–35% for BOF steel, EAF steel and cement, and only 5–13% for urea and primary aluminium. The implied semi-elasticities run from about 0.05% to 2.2% per $1/t.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Which report. </w:t>
      </w:r>
      <w:r>
        <w:rPr>
          <w:rFonts w:ascii="Calibri" w:cs="Calibri" w:eastAsia="Calibri" w:hAnsi="Calibri"/>
          <w:sz w:val="21"/>
          <w:szCs w:val="21"/>
        </w:rPr>
        <w:t xml:space="preserve">IPCC AR6 WGIII (2022) remains the latest IPCC mitigation assessment. AR7 is underway, with its Synthesis Report due by late 2029.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is and is not sourced. </w:t>
      </w:r>
      <w:r>
        <w:rPr>
          <w:rFonts w:ascii="Calibri" w:cs="Calibri" w:eastAsia="Calibri" w:hAnsi="Calibri"/>
          <w:sz w:val="21"/>
          <w:szCs w:val="21"/>
        </w:rPr>
        <w:t xml:space="preserve">AR6 Chapter 11 does not provide product-level MACCs. Its headline finding is that industrial mitigation costs sit roughly in the USD 50–150/tCO₂e band, with wide variation inside and outside it. The Section 11.4.1.5 cost text was not retrieved directly for this draft. Each product curve is therefore built bottom-up: option costs from IPCC where available, technology literature elsewhere, and assumptions labeled as such.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Boundary. </w:t>
      </w:r>
      <w:r>
        <w:rPr>
          <w:rFonts w:ascii="Calibri" w:cs="Calibri" w:eastAsia="Calibri" w:hAnsi="Calibri"/>
          <w:sz w:val="21"/>
          <w:szCs w:val="21"/>
        </w:rPr>
        <w:t xml:space="preserve">Process emissions only, following the IPCC 2006 industrial-process categories, per tonne of product. Combustion and indirect emissions are excluded.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 intensity. </w:t>
      </w:r>
      <w:r>
        <w:rPr>
          <w:rFonts w:ascii="Calibri" w:cs="Calibri" w:eastAsia="Calibri" w:hAnsi="Calibri"/>
          <w:sz w:val="21"/>
          <w:szCs w:val="21"/>
        </w:rPr>
        <w:t xml:space="preserve">The process intensity I₀ for each good is shown in the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Options. </w:t>
      </w:r>
      <w:r>
        <w:rPr>
          <w:rFonts w:ascii="Calibri" w:cs="Calibri" w:eastAsia="Calibri" w:hAnsi="Calibri"/>
          <w:sz w:val="21"/>
          <w:szCs w:val="21"/>
        </w:rPr>
        <w:t xml:space="preserve">For each option i, record sᵢ (technical share of the remaining process emissions), its cost range, and fᵢ (fraction of the cost range at or below $100). Where a cost range straddles $100, apply IPCC AR6 Chapter 12’s convention: options spanning several cost bins are assumed evenly distributed across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Cumulate multiplicatively. </w:t>
      </w:r>
      <w:r>
        <w:rPr>
          <w:rFonts w:ascii="Calibri" w:cs="Calibri" w:eastAsia="Calibri" w:hAnsi="Calibri"/>
          <w:sz w:val="21"/>
          <w:szCs w:val="21"/>
        </w:rPr>
        <w:t xml:space="preserve">r(100) = 1 − Πᵢ(1 − fᵢ·sᵢ). This avoids double counting.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Semi-elasticity. </w:t>
      </w:r>
      <w:r>
        <w:rPr>
          <w:rFonts w:ascii="Calibri" w:cs="Calibri" w:eastAsia="Calibri" w:hAnsi="Calibri"/>
          <w:sz w:val="21"/>
          <w:szCs w:val="21"/>
        </w:rPr>
        <w:t xml:space="preserve">Assume I(p) = I₀·e^(−βp). Then β = −ln(1 − r)/100, reported as % change in intensity per $1/t. The point elasticity at price p is ε = −βp. Because β is proportional, it can be applied to country-specific intensities.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Horizon and cost definition. </w:t>
      </w:r>
      <w:r>
        <w:rPr>
          <w:rFonts w:ascii="Calibri" w:cs="Calibri" w:eastAsia="Calibri" w:hAnsi="Calibri"/>
          <w:sz w:val="21"/>
          <w:szCs w:val="21"/>
        </w:rPr>
        <w:t xml:space="preserve">Near-term (about 2030), limited by retrofits and plant turnover. Costs follow IPCC’s definition: net lifetime costs of avoided emissions relative to a reference technology.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Audit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00"/>
        <w:gridCol w:w="2700"/>
        <w:gridCol w:w="2010"/>
        <w:gridCol w:w="11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process intensity I₀ (t/t)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 at or below $100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basis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 share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BOF steel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~1.2–1.6 (blast-furnace reductant) [assumption]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More scrap in BOF charge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Low; scrap-limited [assumption]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Gas or H₂ injection in blast furnace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~$50–150, half counted [assumption]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CCS on blast-furnace gases: 50% capture × 30% of fleet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Verify: IEAGHG 2018-TR03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EAF steel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~0.05–0.15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Bio-carbon for charge and foaming carbon (60%)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~$50–150, half counted [assumption]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Electrode and lime efficiency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Below $0 [assumption]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Ammonia (gas)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~1.2–1.3 pure CO₂ stream, of ~1.7 total (IPCC 2006 Tier 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Capture of concentrated stream (95%) × storage access (90%)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$10–40 (IPCC AR6 WGIII 11.3.6)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Urea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0.73 (CO₂ bound in urea, 44/60)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real option if bound CO₂ counts as emitted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0–0.05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~2.0: N₂O ~1.5 + ammonia CO₂ ~0.53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N₂O catalysts (90% of 1.5)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~EUR 1–4/tCO₂e (incl. MRV)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1.35 t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Ammonia CO₂ capture (0.855 of 0.53)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$10–40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0.45 t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Aluminium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~1.8: anode CO₂ ~1.5 + PFC ~0.3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Anode-effect control (60% of PFC)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Negative to 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0.18 t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Anode carbon efficiency (3% of 1.5)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0.045 t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~0.37 (0.52/t clinker × 0.72 clinker ratio)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Clinker ratio 0.72 → 0.55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≤$50, often negative [assumption]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Post-combustion CCS: 90% capture, 16% of cost range ≤$100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$88–161 (IEAGHG)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Evidence anchors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Steel sequencing (IPCC). </w:t>
      </w:r>
      <w:r>
        <w:rPr>
          <w:rFonts w:ascii="Calibri" w:cs="Calibri" w:eastAsia="Calibri" w:hAnsi="Calibri"/>
          <w:sz w:val="21"/>
          <w:szCs w:val="21"/>
        </w:rPr>
        <w:t xml:space="preserve">Decarbonisation starts with retrofits for partial fuel switching plus CCU and CCS, followed by high-capture CCS or hydrogen direct reduction.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EAF floor. </w:t>
      </w:r>
      <w:r>
        <w:rPr>
          <w:rFonts w:ascii="Calibri" w:cs="Calibri" w:eastAsia="Calibri" w:hAnsi="Calibri"/>
          <w:sz w:val="21"/>
          <w:szCs w:val="21"/>
        </w:rPr>
        <w:t xml:space="preserve">Lime and graphite alone imply a lower bound of about 0.03 tCO₂/t steel.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Ammonia (IPCC). </w:t>
      </w:r>
      <w:r>
        <w:rPr>
          <w:rFonts w:ascii="Calibri" w:cs="Calibri" w:eastAsia="Calibri" w:hAnsi="Calibri"/>
          <w:sz w:val="21"/>
          <w:szCs w:val="21"/>
        </w:rPr>
        <w:t xml:space="preserve">CCS on concentrated CO₂ streams such as SMR hydrogen costs USD 10–40/tCO₂e sequestered.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removal. </w:t>
      </w:r>
      <w:r>
        <w:rPr>
          <w:rFonts w:ascii="Calibri" w:cs="Calibri" w:eastAsia="Calibri" w:hAnsi="Calibri"/>
          <w:sz w:val="21"/>
          <w:szCs w:val="21"/>
        </w:rPr>
        <w:t xml:space="preserve">Catalysts remove up to 99% of N₂O (tertiary) and 95% (secondary).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cost. </w:t>
      </w:r>
      <w:r>
        <w:rPr>
          <w:rFonts w:ascii="Calibri" w:cs="Calibri" w:eastAsia="Calibri" w:hAnsi="Calibri"/>
          <w:sz w:val="21"/>
          <w:szCs w:val="21"/>
        </w:rPr>
        <w:t xml:space="preserve">Abatement estimated at EUR 1–2 per credit, with monitoring and verification adding EUR 1–2.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Aluminium. </w:t>
      </w:r>
      <w:r>
        <w:rPr>
          <w:rFonts w:ascii="Calibri" w:cs="Calibri" w:eastAsia="Calibri" w:hAnsi="Calibri"/>
          <w:sz w:val="21"/>
          <w:szCs w:val="21"/>
        </w:rPr>
        <w:t xml:space="preserve">Inert anodes excluded as still pre-commercial.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Cement (IPCC). </w:t>
      </w:r>
      <w:r>
        <w:rPr>
          <w:rFonts w:ascii="Calibri" w:cs="Calibri" w:eastAsia="Calibri" w:hAnsi="Calibri"/>
          <w:sz w:val="21"/>
          <w:szCs w:val="21"/>
        </w:rPr>
        <w:t xml:space="preserve">Cementitious substitution can cut calcination emissions by up to 50%; calcination is 60% of emissions in best-practice plants.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Cement CCS. </w:t>
      </w:r>
      <w:r>
        <w:rPr>
          <w:rFonts w:ascii="Calibri" w:cs="Calibri" w:eastAsia="Calibri" w:hAnsi="Calibri"/>
          <w:sz w:val="21"/>
          <w:szCs w:val="21"/>
        </w:rPr>
        <w:t xml:space="preserve">Post-combustion capture at new plants: about US$161/t avoided (1 Mt/yr, Europe) and US$88/t (3 Mt/yr, Asia). Oxyfuel is cheaper but needs further R&amp;D, so it is excluded near-term.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Results at USD 100/tCO₂e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r(100) central [range]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β, % per $1/t central [range]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ε at $100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Steel BOF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27% [10–50]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0.31 [0.11–0.69]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−0.31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Steel EAF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33% [10–50]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0.41 [0.11–0.69]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−0.41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Ammonia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85% [50–95]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1.90 [0.69–3.00]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−1.90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Urea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5% [0–15]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 [0–0.16]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Ammonium nitrate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89% [50–95]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2.21 [0.69–3.00]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−2.21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Aluminium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13% [3–25]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0.13 [0.03–0.29]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−0.13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Cement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35% [20–60]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0.43 [0.22–0.92]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−0.43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Worked example (cement):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 = 1 − (1 − 0.24)(1 − 0.15) = 0.354; β = −ln(0.646)/100 = 0.0044 per $, i.e. 0.43% per $1/t.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Flags before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Concrete is not a CBAM good. </w:t>
      </w:r>
      <w:r>
        <w:rPr>
          <w:rFonts w:ascii="Calibri" w:cs="Calibri" w:eastAsia="Calibri" w:hAnsi="Calibri"/>
          <w:sz w:val="21"/>
          <w:szCs w:val="21"/>
        </w:rPr>
        <w:t xml:space="preserve">CBAM covers clinker and cement, so concrete is mapped to cement. Concrete-level material efficiency (IPCC’s 24–50%) reduces demand, not intensity; place it in the demand elasticity to avoid double counting.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Clinker as a separate good. </w:t>
      </w:r>
      <w:r>
        <w:rPr>
          <w:rFonts w:ascii="Calibri" w:cs="Calibri" w:eastAsia="Calibri" w:hAnsi="Calibri"/>
          <w:sz w:val="21"/>
          <w:szCs w:val="21"/>
        </w:rPr>
        <w:t xml:space="preserve">No benefit from lower clinker ratios, so r(100) is CCS-only, roughly 15%.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Urea is accounting-dependent. </w:t>
      </w:r>
      <w:r>
        <w:rPr>
          <w:rFonts w:ascii="Calibri" w:cs="Calibri" w:eastAsia="Calibri" w:hAnsi="Calibri"/>
          <w:sz w:val="21"/>
          <w:szCs w:val="21"/>
        </w:rPr>
        <w:t xml:space="preserve">Under the IPCC inventory convention, CO₂ bound in urea is netted at the plant, so plant-level process emissions are near zero. If bound CO₂ counts as emitted, capture at the ammonia plant does not help.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is baseline-dependent. </w:t>
      </w:r>
      <w:r>
        <w:rPr>
          <w:rFonts w:ascii="Calibri" w:cs="Calibri" w:eastAsia="Calibri" w:hAnsi="Calibri"/>
          <w:sz w:val="21"/>
          <w:szCs w:val="21"/>
        </w:rPr>
        <w:t xml:space="preserve">Plants already running secondary catalysts (common in the EU) sit near the bottom of the range; most of the effect comes from unabated N₂O.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N₂O GWP. </w:t>
      </w:r>
      <w:r>
        <w:rPr>
          <w:rFonts w:ascii="Calibri" w:cs="Calibri" w:eastAsia="Calibri" w:hAnsi="Calibri"/>
          <w:sz w:val="21"/>
          <w:szCs w:val="21"/>
        </w:rPr>
        <w:t xml:space="preserve">AR6 GWP100 = 273 with the IPCC 2006 default of 7 kg N₂O/t HNO₃ (medium-pressure plants). For EU ETS alignment, substitute their GWP value.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Functional form is a smoothing. </w:t>
      </w:r>
      <w:r>
        <w:rPr>
          <w:rFonts w:ascii="Calibri" w:cs="Calibri" w:eastAsia="Calibri" w:hAnsi="Calibri"/>
          <w:sz w:val="21"/>
          <w:szCs w:val="21"/>
        </w:rPr>
        <w:t xml:space="preserve">Ammonia and AN have near-step MACCs, so β is an arc value between $0 and $100. Cap intensity at the technical floor rather than extrapolating above $100.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Verify before citing. </w:t>
      </w:r>
      <w:r>
        <w:rPr>
          <w:rFonts w:ascii="Calibri" w:cs="Calibri" w:eastAsia="Calibri" w:hAnsi="Calibri"/>
          <w:sz w:val="21"/>
          <w:szCs w:val="21"/>
        </w:rPr>
        <w:t xml:space="preserve">BOF CCS cost, BOF and aluminium baselines, and the PFC share should be checked against IEAGHG 2018-TR03, IAI data and CBAM default values. Costs are roughly 2016–2022 dollars.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IPCC AR6 WGIII Chapter 11, Industry (Bashmakov, Nilsson et al., 2022):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https://www.ipcc.ch/report/ar6/wg3/chapter/chapter-11/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IPCC AR6 WGIII Chapter 12, Cross-sectoral perspectives (cost-bin distribution convention):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https://www.ipcc.ch/report/ar6/wg3/chapter/chapter-12/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IPCC AR6 WGIII Figure SPM.7 (cost definitions):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https://www.ipcc.ch/report/ar6/wg3/figures/summary-for-policymakers/figure-spm-7/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IPCC AR7 timeline: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https://www.ipcc.ch/assessment-report/ar7/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IEAGHG, CO₂ Capture in the Cement Industry (2008/3):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https://ieaghg.org/publications/co2-capture-in-the-cement-industry/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IEAGHG, Cost of CO₂ Capture in the Industrial Sector: Cement and Iron and Steel (2018-TR03):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https://publications.ieaghg.org/technicalreports/2018-TR03%20Cost%20of%20CO2%20capture%20in%20the%20industrial%20sector%20cement%20and%20iron%20and%20steel%20industries.pdf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SEI, Industrial N₂O Projects Under the CDM: Nitric Acid Production (2010):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https://www.sei.org/mediamanager/documents/Publications/Climate/sei-nitricacid-9nov2010.pdf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Clariant, EnviCat N₂O-S catalyst (2024):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https://www.clariant.com/en/Corporate/News/2024/12/Clariant-EnviCattrade-N2OS-catalyst-expected-to-cutnbsp275-KTY-CO2eq-at-Sichuan-Lutianhua-nitric-aci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Steel CCS and hydrogen in IAM modeling (Int. J. Greenhouse Gas Control, 2023):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https://www.sciencedirect.com/science/article/pii/S1750583623001330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NRDC, The Role of Inert Anodes in Aluminum Decarbonization (2026):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https://www.nrdc.org/bio/ian-wells/role-inert-anodes-aluminum-decarbonization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IPCC 2006 Guidelines, Vol. 3 IPPU (default factors; verify tables): 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https://www.ipcc-nggip.iges.or.jp/public/2006gl/vol3.html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2026-09-15T22:39:48.557Z</dcterms:created>
  <dcterms:modified xsi:type="dcterms:W3CDTF">2026-09-15T22:39:48.565Z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