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(72%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5.8</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-41.6</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-7.6%</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-26.1%</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1,656</w:t>
            </w:r>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(65%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5.2</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-38.9</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-13.9%</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1,564</w:t>
            </w:r>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5.2</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-41.0</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-13.9%</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1,631</w:t>
            </w:r>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(20%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1.1</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-21.5</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-7.6%</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-26.1%</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546</w:t>
            </w:r>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-18.1</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-7.6%</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-7.6%</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345</w:t>
            </w:r>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-24.5</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-13.1%</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-30.4%</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621</w:t>
            </w:r>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72</w:t>
      </w:r>
      <w:r>
        <w:rPr>
          <w:rFonts w:eastAsia="Segoe UI" w:cs="Segoe UI"/>
        </w:rPr>
        <w:t>%</w:t>
      </w:r>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65</w:t>
      </w:r>
      <w:r>
        <w:rPr>
          <w:rFonts w:eastAsia="Segoe UI" w:cs="Segoe UI"/>
        </w:rPr>
        <w:t>%</w:t>
      </w:r>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20%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r>
        <w:rPr>
          <w:rFonts w:eastAsia="Segoe UI" w:cs="Segoe UI"/>
        </w:rPr>
        <w:t>USD</w:t>
      </w:r>
      <w:r w:rsidRPr="285A2F06">
        <w:rPr>
          <w:rFonts w:eastAsia="Segoe UI" w:cs="Segoe UI"/>
        </w:rPr>
        <w:t>5.8 billion</w:t>
      </w:r>
      <w:r>
        <w:rPr>
          <w:rFonts w:eastAsia="Segoe UI" w:cs="Segoe UI"/>
        </w:rPr>
        <w:t>—roughly 10%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r>
        <w:rPr>
          <w:rFonts w:eastAsia="Segoe UI" w:cs="Segoe UI"/>
        </w:rPr>
        <w:t>USD</w:t>
      </w:r>
      <w:r w:rsidRPr="285A2F06">
        <w:rPr>
          <w:rFonts w:eastAsia="Segoe UI" w:cs="Segoe UI"/>
        </w:rPr>
        <w:t>5.2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r>
        <w:rPr>
          <w:rFonts w:eastAsia="Segoe UI" w:cs="Segoe UI"/>
        </w:rPr>
        <w:t>USD</w:t>
      </w:r>
      <w:r w:rsidRPr="285A2F06">
        <w:rPr>
          <w:rFonts w:eastAsia="Segoe UI" w:cs="Segoe UI"/>
        </w:rPr>
        <w:t xml:space="preserve">1.1 billion, reflecting its narrower base. The two remaining downstream designs raise no carbon revenue: free allocation for CBAM producers (3B) and the rebate for industrial abatement (3C) both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r w:rsidRPr="285A2F06">
        <w:rPr>
          <w:rFonts w:eastAsia="Segoe UI" w:cs="Segoe UI"/>
          <w:b/>
          <w:bCs/>
        </w:rPr>
        <w:t xml:space="preserve">13.6 </w:t>
      </w:r>
      <w:commentRangeEnd w:id="1"/>
      <w:r w:rsidRPr="285A2F06">
        <w:rPr>
          <w:rStyle w:val="CommentReference"/>
          <w:rFonts w:eastAsia="Segoe UI" w:cs="Segoe UI"/>
          <w:b/>
          <w:bCs/>
          <w:sz w:val="22"/>
          <w:szCs w:val="22"/>
        </w:rPr>
        <w:commentReference w:id="1"/>
      </w:r>
      <w:r w:rsidRPr="285A2F06">
        <w:rPr>
          <w:rFonts w:eastAsia="Segoe UI" w:cs="Segoe UI"/>
          <w:b/>
          <w:bCs/>
        </w:rPr>
        <w:t>to 41.6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5</w:t>
      </w:r>
      <w:r>
        <w:rPr>
          <w:rFonts w:eastAsia="Segoe UI" w:cs="Segoe UI"/>
          <w:b/>
          <w:bCs/>
        </w:rPr>
        <w:t>-</w:t>
      </w:r>
      <w:r w:rsidRPr="285A2F06">
        <w:rPr>
          <w:rFonts w:eastAsia="Segoe UI" w:cs="Segoe UI"/>
          <w:b/>
          <w:bCs/>
        </w:rPr>
        <w:t>17</w:t>
      </w:r>
      <w:r>
        <w:rPr>
          <w:rFonts w:eastAsia="Segoe UI" w:cs="Segoe UI"/>
          <w:b/>
          <w:bCs/>
        </w:rPr>
        <w:t>%</w:t>
      </w:r>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r w:rsidRPr="285A2F06">
        <w:rPr>
          <w:rFonts w:eastAsia="Segoe UI" w:cs="Segoe UI"/>
        </w:rPr>
        <w:t>41.6 MtCO₂ (about 17</w:t>
      </w:r>
      <w:r>
        <w:rPr>
          <w:rFonts w:eastAsia="Segoe UI" w:cs="Segoe UI"/>
        </w:rPr>
        <w:t>%</w:t>
      </w:r>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about 16</w:t>
      </w:r>
      <w:r>
        <w:rPr>
          <w:rFonts w:eastAsia="Segoe UI" w:cs="Segoe UI"/>
        </w:rPr>
        <w:t>% of national emissions</w:t>
      </w:r>
      <w:r w:rsidRPr="285A2F06">
        <w:rPr>
          <w:rFonts w:eastAsia="Segoe UI" w:cs="Segoe UI"/>
        </w:rPr>
        <w:t xml:space="preserve">: 41 MtCO₂ </w:t>
      </w:r>
      <w:r>
        <w:rPr>
          <w:rFonts w:eastAsia="Segoe UI" w:cs="Segoe UI"/>
        </w:rPr>
        <w:t xml:space="preserve">for </w:t>
      </w:r>
      <w:r w:rsidRPr="285A2F06">
        <w:rPr>
          <w:rFonts w:eastAsia="Segoe UI" w:cs="Segoe UI"/>
        </w:rPr>
        <w:t xml:space="preserve">the household-recycling variant (2B) and </w:t>
      </w:r>
      <w:r>
        <w:rPr>
          <w:rFonts w:eastAsia="Segoe UI" w:cs="Segoe UI"/>
        </w:rPr>
        <w:t xml:space="preserve">nearly </w:t>
      </w:r>
      <w:r w:rsidRPr="285A2F06">
        <w:rPr>
          <w:rFonts w:eastAsia="Segoe UI" w:cs="Segoe UI"/>
        </w:rPr>
        <w:t xml:space="preserve">39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r>
        <w:rPr>
          <w:rFonts w:eastAsia="Segoe UI" w:cs="Segoe UI"/>
        </w:rPr>
        <w:t xml:space="preserve"> reduce emissions less because they cover</w:t>
      </w:r>
      <w:r w:rsidRPr="285A2F06">
        <w:rPr>
          <w:rFonts w:eastAsia="Segoe UI" w:cs="Segoe UI"/>
        </w:rPr>
        <w:t xml:space="preserve"> a narrower industrial base</w:t>
      </w:r>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24.5 MtCO₂ (about 10</w:t>
      </w:r>
      <w:r>
        <w:rPr>
          <w:rFonts w:eastAsia="Segoe UI" w:cs="Segoe UI"/>
        </w:rPr>
        <w:t>%</w:t>
      </w:r>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r w:rsidRPr="285A2F06">
        <w:rPr>
          <w:rFonts w:eastAsia="Segoe UI" w:cs="Segoe UI"/>
        </w:rPr>
        <w:t>21.5 MtCO₂ (about 9</w:t>
      </w:r>
      <w:r>
        <w:rPr>
          <w:rFonts w:eastAsia="Segoe UI" w:cs="Segoe UI"/>
        </w:rPr>
        <w:t>%</w:t>
      </w:r>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r w:rsidRPr="285A2F06">
        <w:rPr>
          <w:rFonts w:eastAsia="Segoe UI" w:cs="Segoe UI"/>
        </w:rPr>
        <w:t>13.6</w:t>
      </w:r>
      <w:commentRangeEnd w:id="2"/>
      <w:r w:rsidRPr="285A2F06">
        <w:rPr>
          <w:rStyle w:val="CommentReference"/>
          <w:rFonts w:eastAsia="Segoe UI" w:cs="Segoe UI"/>
          <w:sz w:val="22"/>
          <w:szCs w:val="22"/>
        </w:rPr>
        <w:commentReference w:id="2"/>
      </w:r>
      <w:r w:rsidRPr="285A2F06">
        <w:rPr>
          <w:rFonts w:eastAsia="Segoe UI" w:cs="Segoe UI"/>
        </w:rPr>
        <w:t xml:space="preserve"> MtCO₂ (about 5</w:t>
      </w:r>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about 8</w:t>
      </w:r>
      <w:r w:rsidRPr="285A2F06">
        <w:rPr>
          <w:rFonts w:eastAsia="Segoe UI" w:cs="Segoe UI"/>
        </w:rPr>
        <w:t xml:space="preserve"> to 30</w:t>
      </w:r>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r>
        <w:rPr>
          <w:rFonts w:eastAsia="Segoe UI" w:cs="Segoe UI"/>
        </w:rPr>
        <w:t>nearly 8%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obligations by 26</w:t>
      </w:r>
      <w:r>
        <w:rPr>
          <w:rFonts w:eastAsia="Segoe UI" w:cs="Segoe UI"/>
        </w:rPr>
        <w:t>%.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8%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r>
        <w:rPr>
          <w:rFonts w:eastAsia="Segoe UI" w:cs="Segoe UI"/>
        </w:rPr>
        <w:t>nearly 6%; they result in</w:t>
      </w:r>
      <w:r w:rsidRPr="285A2F06">
        <w:rPr>
          <w:rFonts w:eastAsia="Segoe UI" w:cs="Segoe UI"/>
        </w:rPr>
        <w:t xml:space="preserve"> a 1</w:t>
      </w:r>
      <w:r>
        <w:rPr>
          <w:rFonts w:eastAsia="Segoe UI" w:cs="Segoe UI"/>
        </w:rPr>
        <w:t>4%</w:t>
      </w:r>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r w:rsidRPr="285A2F06">
        <w:rPr>
          <w:rFonts w:eastAsia="Segoe UI" w:cs="Segoe UI"/>
        </w:rPr>
        <w:t xml:space="preserve"> 13</w:t>
      </w:r>
      <w:r>
        <w:rPr>
          <w:rFonts w:eastAsia="Segoe UI" w:cs="Segoe UI"/>
        </w:rPr>
        <w:t>%</w:t>
      </w:r>
      <w:r w:rsidRPr="285A2F06">
        <w:rPr>
          <w:rFonts w:eastAsia="Segoe UI" w:cs="Segoe UI"/>
        </w:rPr>
        <w:t xml:space="preserve"> and obligations</w:t>
      </w:r>
      <w:r>
        <w:rPr>
          <w:rFonts w:eastAsia="Segoe UI" w:cs="Segoe UI"/>
        </w:rPr>
        <w:t xml:space="preserve"> by</w:t>
      </w:r>
      <w:r w:rsidRPr="285A2F06">
        <w:rPr>
          <w:rFonts w:eastAsia="Segoe UI" w:cs="Segoe UI"/>
        </w:rPr>
        <w:t xml:space="preserve"> 30</w:t>
      </w:r>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345 </w:t>
      </w:r>
      <w:r>
        <w:rPr>
          <w:rFonts w:eastAsia="Segoe UI" w:cs="Segoe UI"/>
        </w:rPr>
        <w:t>to</w:t>
      </w:r>
      <w:r w:rsidRPr="285A2F06">
        <w:rPr>
          <w:rFonts w:eastAsia="Segoe UI" w:cs="Segoe UI"/>
        </w:rPr>
        <w:t xml:space="preserve"> 1,656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the largest health gain, </w:t>
      </w:r>
      <w:r>
        <w:rPr>
          <w:rFonts w:eastAsia="Segoe UI" w:cs="Segoe UI"/>
        </w:rPr>
        <w:t>of</w:t>
      </w:r>
      <w:r w:rsidRPr="285A2F06">
        <w:rPr>
          <w:rFonts w:eastAsia="Segoe UI" w:cs="Segoe UI"/>
        </w:rPr>
        <w:t xml:space="preserve"> 1,656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follow closely: the household-recycling variant (2B) avoids 1,631 deaths </w:t>
      </w:r>
      <w:r>
        <w:rPr>
          <w:rFonts w:eastAsia="Segoe UI" w:cs="Segoe UI"/>
        </w:rPr>
        <w:t xml:space="preserve">compared with </w:t>
      </w:r>
      <w:r w:rsidRPr="285A2F06">
        <w:rPr>
          <w:rFonts w:eastAsia="Segoe UI" w:cs="Segoe UI"/>
        </w:rPr>
        <w:t>1,564</w:t>
      </w:r>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621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r w:rsidRPr="285A2F06">
        <w:rPr>
          <w:rFonts w:eastAsia="Segoe UI" w:cs="Segoe UI"/>
        </w:rPr>
        <w:t xml:space="preserve">546, and the free-allocation design (3B) </w:t>
      </w:r>
      <w:r>
        <w:rPr>
          <w:rFonts w:eastAsia="Segoe UI" w:cs="Segoe UI"/>
        </w:rPr>
        <w:t>with</w:t>
      </w:r>
      <w:r w:rsidRPr="285A2F06">
        <w:rPr>
          <w:rFonts w:eastAsia="Segoe UI" w:cs="Segoe UI"/>
        </w:rPr>
        <w:t xml:space="preserve"> 345.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the broadest emissions coverage with the largest emissions reductions (41.6 MtCO₂), highest carbon revenues (</w:t>
      </w:r>
      <w:r>
        <w:rPr>
          <w:rFonts w:eastAsia="Segoe UI" w:cs="Segoe UI"/>
        </w:rPr>
        <w:t>USD</w:t>
      </w:r>
      <w:r w:rsidRPr="285A2F06">
        <w:rPr>
          <w:rFonts w:eastAsia="Segoe UI" w:cs="Segoe UI"/>
        </w:rPr>
        <w:t xml:space="preserve">5.8 billion), and greatest air pollution co-benefits (1,656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r w:rsidRPr="285A2F06">
        <w:rPr>
          <w:rFonts w:eastAsia="Segoe UI" w:cs="Segoe UI"/>
        </w:rPr>
        <w:t>26</w:t>
      </w:r>
      <w:r>
        <w:rPr>
          <w:rFonts w:eastAsia="Segoe UI" w:cs="Segoe UI"/>
        </w:rPr>
        <w:t>%</w:t>
      </w:r>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