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Egypt carbon pricing and CBAM: key caveats on the final results (v1.2)</w:t>
      </w:r>
    </w:p>
    <w:p>
      <w:r>
        <w:rPr>
          <w:b/>
        </w:rPr>
        <w:t>Applies to the final results:</w:t>
      </w:r>
    </w:p>
    <w:p>
      <w:pPr>
        <w:pStyle w:val="ListBullet"/>
      </w:pPr>
      <w:r>
        <w:rPr>
          <w:rFonts w:ascii="Consolas" w:hAnsi="Consolas" w:eastAsia="Consolas"/>
        </w:rPr>
        <w:t>EGYPT_CarveOut_Table2_v0.3</w:t>
      </w:r>
      <w:r>
        <w:t xml:space="preserve"> (final Table 2);</w:t>
      </w:r>
    </w:p>
    <w:p>
      <w:pPr>
        <w:pStyle w:val="ListBullet"/>
      </w:pPr>
      <w:r>
        <w:rPr>
          <w:rFonts w:ascii="Consolas" w:hAnsi="Consolas" w:eastAsia="Consolas"/>
        </w:rPr>
        <w:t>EgyptResultsInitial_UpdatedResults_v0.7_tracked.docx</w:t>
      </w:r>
      <w:r>
        <w:t xml:space="preserve"> (results text);</w:t>
      </w:r>
    </w:p>
    <w:p>
      <w:pPr>
        <w:pStyle w:val="ListBullet"/>
      </w:pPr>
      <w:r>
        <w:rPr>
          <w:rFonts w:ascii="Consolas" w:hAnsi="Consolas" w:eastAsia="Consolas"/>
        </w:rPr>
        <w:t>EGYPT_Methodology_v1.3</w:t>
      </w:r>
      <w:r>
        <w:t xml:space="preserve"> (section 5.0);</w:t>
      </w:r>
    </w:p>
    <w:p>
      <w:pPr>
        <w:pStyle w:val="ListBullet"/>
      </w:pPr>
      <w:r>
        <w:t xml:space="preserve">background models: prototype </w:t>
      </w:r>
      <w:r>
        <w:rPr>
          <w:rFonts w:ascii="Consolas" w:hAnsi="Consolas" w:eastAsia="Consolas"/>
        </w:rPr>
        <w:t>CPAT_Industry_Kernel_Egypt_v0.17.xlsx</w:t>
      </w:r>
      <w:r>
        <w:t xml:space="preserve"> (sheet </w:t>
      </w:r>
      <w:r>
        <w:rPr>
          <w:rFonts w:ascii="Consolas" w:hAnsi="Consolas" w:eastAsia="Consolas"/>
        </w:rPr>
        <w:t>CarveOut_Table2</w:t>
      </w:r>
      <w:r>
        <w:t xml:space="preserve"> computes the final Table 2 line by line) and ad hoc rebuild </w:t>
      </w:r>
      <w:r>
        <w:rPr>
          <w:rFonts w:ascii="Consolas" w:hAnsi="Consolas" w:eastAsia="Consolas"/>
        </w:rPr>
        <w:t>AdHocCalculations_Rebuild_v0.3.xlsx</w:t>
      </w:r>
      <w:r>
        <w:t>.</w:t>
      </w:r>
    </w:p>
    <w:p>
      <w:r>
        <w:t xml:space="preserve">All figures are for 2030 at a carbon price of USD 20/t. This list covers only the material caveats, most important first. The full log is </w:t>
      </w:r>
      <w:r>
        <w:rPr>
          <w:rFonts w:ascii="Consolas" w:hAnsi="Consolas" w:eastAsia="Consolas"/>
        </w:rPr>
        <w:t>CAVEATS.md</w:t>
      </w:r>
      <w:r>
        <w:t>.</w:t>
      </w:r>
    </w:p>
    <w:p>
      <w:r>
        <w:rPr>
          <w:b/>
        </w:rPr>
        <w:t>Changes in v1.2.</w:t>
      </w:r>
      <w:r>
        <w:t xml:space="preserve"> The final Table 2 is now the </w:t>
      </w:r>
      <w:r>
        <w:rPr>
          <w:b/>
        </w:rPr>
        <w:t>CBAM carve-out</w:t>
      </w:r>
      <w:r>
        <w:t>: original CPAT runs everywhere, with only the CBAM block (steel, cement, fertilisers, aluminium) replaced, counted once. CBAM obligations are on the FULL convention (2030 CBAM phase-in). Section F is new. Sections A–D describe the prototype and rebuild, which now feed only the block response.</w:t>
      </w:r>
    </w:p>
    <w:p>
      <w:pPr>
        <w:pStyle w:val="Heading2"/>
      </w:pPr>
      <w:r>
        <w:t>F. Caveats on the final results (carve-out)</w:t>
      </w:r>
    </w:p>
    <w:p>
      <w:r>
        <w:t xml:space="preserve">F1. </w:t>
      </w:r>
      <w:r>
        <w:rPr>
          <w:b/>
        </w:rPr>
        <w:t>3A–3C use CPAT run EG3 as it was run.</w:t>
      </w:r>
      <w:r>
        <w:t xml:space="preserve"> EG3 prices only 54 % of industrial energy CO₂ (κ = 0.537), so coverage is 14 % and the non-block industry cut is diluted. The 1/κ scaling in the prototype and rebuild is not used. </w:t>
      </w:r>
      <w:r>
        <w:rPr>
          <w:b/>
        </w:rPr>
        <w:t>A true full-coverage EG3 CPAT run is still needed.</w:t>
      </w:r>
    </w:p>
    <w:p>
      <w:r>
        <w:t xml:space="preserve">F2. </w:t>
      </w:r>
      <w:r>
        <w:rPr>
          <w:b/>
        </w:rPr>
        <w:t>CBAM-sector fuel intensity uses CPAT's own response.</w:t>
      </w:r>
      <w:r>
        <w:t xml:space="preserve"> Fuel per tonne falls by CPAT's efficiency share (1/3) of its industry fuel response (about −5 %). This is an industry average, not product-specific. 3A–3C use the EG1 value because the block is fully priced at the same USD 20/t.</w:t>
      </w:r>
    </w:p>
    <w:p>
      <w:r>
        <w:t xml:space="preserve">F3. </w:t>
      </w:r>
      <w:r>
        <w:rPr>
          <w:b/>
        </w:rPr>
        <w:t>Output and process responses come from kernel v0.16,</w:t>
      </w:r>
      <w:r>
        <w:t xml:space="preserve"> so caveats 5–7 (emission factors, process semi-elasticities, placeholders) apply to the block.</w:t>
      </w:r>
    </w:p>
    <w:p>
      <w:r>
        <w:t xml:space="preserve">F4. </w:t>
      </w:r>
      <w:r>
        <w:rPr>
          <w:b/>
        </w:rPr>
        <w:t>3B rebate and 3C fund are kernel v0.16 values.</w:t>
      </w:r>
      <w:r>
        <w:t xml:space="preserve"> They are not re-solved for the slightly lower block fuel payments (under USD 0.05bn). The 3C fund follows the prototype convention (caveat 2).</w:t>
      </w:r>
    </w:p>
    <w:p>
      <w:r>
        <w:t xml:space="preserve">F5. </w:t>
      </w:r>
      <w:r>
        <w:rPr>
          <w:b/>
        </w:rPr>
        <w:t>CBAM obligations use FULL</w:t>
      </w:r>
      <w:r>
        <w:t xml:space="preserve"> (CBAM factor 0.485 in 2030, full credit for the domestic price). This roughly doubles the % cut compared with NOPHASE, which the original Table 2 used. The O changes from the fuel-intensity term are linear approximations.</w:t>
      </w:r>
    </w:p>
    <w:p>
      <w:r>
        <w:t xml:space="preserve">F6. </w:t>
      </w:r>
      <w:r>
        <w:rPr>
          <w:b/>
        </w:rPr>
        <w:t>Growth.</w:t>
      </w:r>
      <w:r>
        <w:t xml:space="preserve"> Block output is rescaled to CPAT 2024–2030 sector growth (steel ×0.976, cement ×1.001). Fertilisers (mining &amp; chemicals) and aluminium (non-ferrous metals) have no CPAT energy for Egypt, so they follow total CPAT industry growth.</w:t>
      </w:r>
    </w:p>
    <w:p>
      <w:r>
        <w:t xml:space="preserve">F7. </w:t>
      </w:r>
      <w:r>
        <w:rPr>
          <w:b/>
        </w:rPr>
        <w:t>Deaths</w:t>
      </w:r>
      <w:r>
        <w:t xml:space="preserve"> are CPAT deaths scaled by the block fuel-CO₂ adjustment. The original 3B figure (345) cannot be traced.</w:t>
      </w:r>
    </w:p>
    <w:p>
      <w:pPr>
        <w:pStyle w:val="Heading2"/>
      </w:pPr>
      <w:r>
        <w:t>A. Background: prototype and rebuild caveats</w:t>
      </w:r>
    </w:p>
    <w:p>
      <w:pPr>
        <w:pStyle w:val="ListNumber"/>
      </w:pPr>
      <w:r>
        <w:rPr>
          <w:b/>
        </w:rPr>
        <w:t>The industry-only bundles (3A–3C) rest on a linear full-coverage approximation.</w:t>
      </w:r>
    </w:p>
    <w:p>
      <w:pPr>
        <w:pStyle w:val="ListBullet"/>
      </w:pPr>
      <w:r>
        <w:t>The CPAT run behind them (EG3) prices only 54 % of industrial fuel use (κ = 0.537).</w:t>
      </w:r>
    </w:p>
    <w:p>
      <w:pPr>
        <w:pStyle w:val="ListBullet"/>
      </w:pPr>
      <w:r>
        <w:t>Both models now divide EG3's industry energy-CO₂ change, receipts and deaths by κ. This gives:</w:t>
      </w:r>
    </w:p>
    <w:p>
      <w:pPr>
        <w:pStyle w:val="ListBullet"/>
      </w:pPr>
      <w:r>
        <w:t>coverage of 20.8 % (rebuild) or 18.5 % (prototype);</w:t>
      </w:r>
    </w:p>
    <w:p>
      <w:pPr>
        <w:pStyle w:val="ListBullet"/>
      </w:pPr>
      <w:r>
        <w:t>reductions of −25.1 / −19.6 / −30.6 Mt (rebuild) and −21.1 / −17.4 / −32.9 Mt (prototype);</w:t>
      </w:r>
    </w:p>
    <w:p>
      <w:pPr>
        <w:pStyle w:val="ListBullet"/>
      </w:pPr>
      <w:r>
        <w:t>deaths avoided of 850 / 714 / 997.</w:t>
      </w:r>
    </w:p>
    <w:p>
      <w:pPr>
        <w:pStyle w:val="ListBullet"/>
      </w:pPr>
      <w:r>
        <w:t>These replace the previous figures of −18.2 / −12.7 / −22.6 Mt, which were lower bounds.</w:t>
      </w:r>
    </w:p>
    <w:p>
      <w:pPr>
        <w:pStyle w:val="ListBullet"/>
      </w:pPr>
      <w:r>
        <w:t>The approximation assumes that the sectors left out of EG3 (mainly aluminium and other manufacturing) respond like the average priced industry.</w:t>
      </w:r>
    </w:p>
    <w:p>
      <w:pPr>
        <w:pStyle w:val="ListBullet"/>
      </w:pPr>
      <w:r>
        <w:rPr>
          <w:b/>
        </w:rPr>
        <w:t>A true full-coverage EG3 CPAT run is still needed to confirm 3A–3C.</w:t>
      </w:r>
    </w:p>
    <w:p>
      <w:pPr>
        <w:pStyle w:val="ListNumber"/>
      </w:pPr>
      <w:r>
        <w:rPr>
          <w:b/>
        </w:rPr>
        <w:t>The 3C fund convention differs between the two models.</w:t>
      </w:r>
    </w:p>
    <w:p>
      <w:pPr>
        <w:pStyle w:val="ListBullet"/>
      </w:pPr>
      <w:r>
        <w:t>The prototype's fund equals the CBAM block's own carbon payments after abatement (USD 0.93bn), solved as a fixed point. The other industrial carbon revenue (USD 0.73bn) stays with the budget.</w:t>
      </w:r>
    </w:p>
    <w:p>
      <w:pPr>
        <w:pStyle w:val="ListBullet"/>
      </w:pPr>
      <w:r>
        <w:t>The rebuild sends all industrial carbon revenue to the fund (net revenue 0) and abates at a fixed USD 20/t.</w:t>
      </w:r>
    </w:p>
    <w:p>
      <w:pPr>
        <w:pStyle w:val="ListBullet"/>
      </w:pPr>
      <w:r>
        <w:t>As a result, the prototype's 3C reduction (−32.9 Mt) exceeds the rebuild's (−30.6 Mt).</w:t>
      </w:r>
    </w:p>
    <w:p>
      <w:pPr>
        <w:pStyle w:val="ListBullet"/>
      </w:pPr>
      <w:r>
        <w:rPr>
          <w:b/>
        </w:rPr>
        <w:t>Which convention is intended changes 3C revenue by about USD 0.7bn.</w:t>
      </w:r>
    </w:p>
    <w:p>
      <w:pPr>
        <w:pStyle w:val="ListNumber"/>
      </w:pPr>
      <w:r>
        <w:rPr>
          <w:b/>
        </w:rPr>
        <w:t>The prototype still mixes two CPAT data vintages.</w:t>
      </w:r>
    </w:p>
    <w:p>
      <w:pPr>
        <w:pStyle w:val="ListBullet"/>
      </w:pPr>
      <w:r>
        <w:t>Industrial energy CO₂ is 75.4 Mt (stored CPAT) vs 89.0 Mt (new Egypt runs). The prototype combines only changes within each source.</w:t>
      </w:r>
    </w:p>
    <w:p>
      <w:pPr>
        <w:pStyle w:val="ListBullet"/>
      </w:pPr>
      <w:r>
        <w:t>The mix accounts for most of the prototype–rebuild gap: about 1.9 Mt in 1A–2B and about 3.5 Mt in 3A/3B after 1/κ.</w:t>
      </w:r>
    </w:p>
    <w:p>
      <w:pPr>
        <w:pStyle w:val="ListBullet"/>
      </w:pPr>
      <w:r>
        <w:t>It also lowers the prototype's industry-only coverage and revenue.</w:t>
      </w:r>
    </w:p>
    <w:p>
      <w:pPr>
        <w:pStyle w:val="ListNumber"/>
      </w:pPr>
      <w:r>
        <w:rPr>
          <w:b/>
        </w:rPr>
        <w:t>Block fuel CO₂ is still above CPAT's sector energy CO₂</w:t>
      </w:r>
      <w:r>
        <w:t xml:space="preserve"> (cement 19.05 vs 10.91 Mt in 2030; chemicals and non-ferrous metals small).</w:t>
      </w:r>
    </w:p>
    <w:p>
      <w:pPr>
        <w:pStyle w:val="ListBullet"/>
      </w:pPr>
      <w:r>
        <w:t>The prototype now reallocates the excess out of non-kernel industry, so industry totals are unchanged.</w:t>
      </w:r>
    </w:p>
    <w:p>
      <w:pPr>
        <w:pStyle w:val="ListBullet"/>
      </w:pPr>
      <w:r>
        <w:t>The underlying mismatch between the product-level fuel use and CPAT's energy balance is not resolved. The Egypt clinker fuel factor (0.314) is part of it.</w:t>
      </w:r>
    </w:p>
    <w:p>
      <w:pPr>
        <w:pStyle w:val="Heading2"/>
      </w:pPr>
      <w:r>
        <w:t>B. Provisional parameters</w:t>
      </w:r>
    </w:p>
    <w:p>
      <w:pPr>
        <w:pStyle w:val="ListNumber"/>
      </w:pPr>
      <w:r>
        <w:rPr>
          <w:b/>
        </w:rPr>
        <w:t>The Egypt emission factors (EF v0.1) are Tier C/D estimates and still need verifying.</w:t>
      </w:r>
    </w:p>
    <w:p>
      <w:pPr>
        <w:pStyle w:val="ListBullet"/>
      </w:pPr>
      <w:r>
        <w:t>Open items:</w:t>
      </w:r>
    </w:p>
    <w:p>
      <w:pPr>
        <w:pStyle w:val="ListBullet"/>
      </w:pPr>
      <w:r>
        <w:t>ammonia energy per tonne;</w:t>
      </w:r>
    </w:p>
    <w:p>
      <w:pPr>
        <w:pStyle w:val="ListBullet"/>
      </w:pPr>
      <w:r>
        <w:t>the nitric-acid N₂O abatement share;</w:t>
      </w:r>
    </w:p>
    <w:p>
      <w:pPr>
        <w:pStyle w:val="ListBullet"/>
      </w:pPr>
      <w:r>
        <w:t>Egyptalum PFC rates;</w:t>
      </w:r>
    </w:p>
    <w:p>
      <w:pPr>
        <w:pStyle w:val="ListBullet"/>
      </w:pPr>
      <w:r>
        <w:t>the kiln fuel mix;</w:t>
      </w:r>
    </w:p>
    <w:p>
      <w:pPr>
        <w:pStyle w:val="ListBullet"/>
      </w:pPr>
      <w:r>
        <w:t>DRI gas use;</w:t>
      </w:r>
    </w:p>
    <w:p>
      <w:pPr>
        <w:pStyle w:val="ListBullet"/>
      </w:pPr>
      <w:r>
        <w:t>the EISCO blast-furnace closure.</w:t>
      </w:r>
    </w:p>
    <w:p>
      <w:pPr>
        <w:pStyle w:val="ListBullet"/>
      </w:pPr>
      <w:r>
        <w:t>Egyptian data portals could not be reached.</w:t>
      </w:r>
    </w:p>
    <w:p>
      <w:pPr>
        <w:pStyle w:val="ListBullet"/>
      </w:pPr>
      <w:r>
        <w:t>The EU default values were copied, not re-verified.</w:t>
      </w:r>
    </w:p>
    <w:p>
      <w:pPr>
        <w:pStyle w:val="ListNumber"/>
      </w:pPr>
      <w:r>
        <w:rPr>
          <w:b/>
        </w:rPr>
        <w:t>The process responses to the carbon price (IPCC AR6 based) involve judgement.</w:t>
      </w:r>
    </w:p>
    <w:p>
      <w:pPr>
        <w:pStyle w:val="ListBullet"/>
      </w:pPr>
      <w:r>
        <w:t>The price anchor is now deflated: USD 100 in 2019 dollars = USD 122 in 2024 dollars. This lowered the process responses by about 18 %.</w:t>
      </w:r>
    </w:p>
    <w:p>
      <w:pPr>
        <w:pStyle w:val="ListBullet"/>
      </w:pPr>
      <w:r>
        <w:rPr>
          <w:b/>
        </w:rPr>
        <w:t>Ammonium nitrate:</w:t>
      </w:r>
      <w:r>
        <w:t xml:space="preserve"> assumes 50 % existing N₂O abatement.</w:t>
      </w:r>
    </w:p>
    <w:p>
      <w:pPr>
        <w:pStyle w:val="ListBullet"/>
      </w:pPr>
      <w:r>
        <w:rPr>
          <w:b/>
        </w:rPr>
        <w:t>Aluminium:</w:t>
      </w:r>
      <w:r>
        <w:t xml:space="preserve"> applies the combined response (0.2164) to both of its process categories.</w:t>
      </w:r>
    </w:p>
    <w:p>
      <w:pPr>
        <w:pStyle w:val="ListBullet"/>
      </w:pPr>
      <w:r>
        <w:rPr>
          <w:b/>
        </w:rPr>
        <w:t>Ammonia and urea:</w:t>
      </w:r>
      <w:r>
        <w:t xml:space="preserve"> no process response, because the CCS/feedstock route (fp routing) is not implemented. This understates the fertiliser response.</w:t>
      </w:r>
    </w:p>
    <w:p>
      <w:pPr>
        <w:pStyle w:val="ListBullet"/>
      </w:pPr>
      <w:r>
        <w:rPr>
          <w:b/>
        </w:rPr>
        <w:t>Basis:</w:t>
      </w:r>
      <w:r>
        <w:t xml:space="preserve"> global IPCC cost data, not Egyptian abatement cost curves.</w:t>
      </w:r>
    </w:p>
    <w:p>
      <w:pPr>
        <w:pStyle w:val="ListNumber"/>
      </w:pPr>
      <w:r>
        <w:rPr>
          <w:b/>
        </w:rPr>
        <w:t>Several inputs are still placeholders:</w:t>
      </w:r>
    </w:p>
    <w:p>
      <w:pPr>
        <w:pStyle w:val="ListBullet"/>
      </w:pPr>
      <w:r>
        <w:t>the output elasticity ε_Q (−0.5);</w:t>
      </w:r>
    </w:p>
    <w:p>
      <w:pPr>
        <w:pStyle w:val="ListBullet"/>
      </w:pPr>
      <w:r>
        <w:t>the EU allowance price P_EU (USD 100);</w:t>
      </w:r>
    </w:p>
    <w:p>
      <w:pPr>
        <w:pStyle w:val="ListBullet"/>
      </w:pPr>
      <w:r>
        <w:t>the rebuild's fund shadow price σ (USD 20/t).</w:t>
      </w:r>
    </w:p>
    <w:p>
      <w:pPr>
        <w:pStyle w:val="Heading2"/>
      </w:pPr>
      <w:r>
        <w:t>C. Structural limitations</w:t>
      </w:r>
    </w:p>
    <w:p>
      <w:pPr>
        <w:pStyle w:val="ListNumber"/>
      </w:pPr>
      <w:r>
        <w:rPr>
          <w:b/>
        </w:rPr>
        <w:t>Some response channels are missing.</w:t>
      </w:r>
    </w:p>
    <w:p>
      <w:pPr>
        <w:pStyle w:val="ListBullet"/>
      </w:pPr>
      <w:r>
        <w:t>The prototype holds the block's fuel intensity fixed. Its CBAM intensity change for 2A/2B is therefore 0 (rebuild −2.2 %), and its obligation cuts and deaths avoided are slightly smaller.</w:t>
      </w:r>
    </w:p>
    <w:p>
      <w:pPr>
        <w:pStyle w:val="ListBullet"/>
      </w:pPr>
      <w:r>
        <w:t>The output-based rebate (3B) is applied on two paths that are not reconciled.</w:t>
      </w:r>
    </w:p>
    <w:p>
      <w:pPr>
        <w:pStyle w:val="ListNumber"/>
      </w:pPr>
      <w:r>
        <w:rPr>
          <w:b/>
        </w:rPr>
        <w:t>CBAM obligation convention.</w:t>
      </w:r>
    </w:p>
    <w:p>
      <w:pPr>
        <w:pStyle w:val="ListBullet"/>
      </w:pPr>
      <w:r>
        <w:t>The prototype and the final carve-out use FULL (phase-in factor 0.485 in 2030). The rebuild and the original Table 2 use NOPHASE.</w:t>
      </w:r>
    </w:p>
    <w:p>
      <w:pPr>
        <w:pStyle w:val="ListBullet"/>
      </w:pPr>
      <w:r>
        <w:t>FULL roughly doubles the percentage reduction in obligations, so quote the convention with every obligation figure.</w:t>
      </w:r>
    </w:p>
    <w:p>
      <w:pPr>
        <w:pStyle w:val="ListNumber"/>
      </w:pPr>
      <w:r>
        <w:rPr>
          <w:b/>
        </w:rPr>
        <w:t>General limitations:</w:t>
      </w:r>
    </w:p>
    <w:p>
      <w:pPr>
        <w:pStyle w:val="ListBullet"/>
      </w:pPr>
      <w:r>
        <w:t>long-run elasticities are applied within one year;</w:t>
      </w:r>
    </w:p>
    <w:p>
      <w:pPr>
        <w:pStyle w:val="ListBullet"/>
      </w:pPr>
      <w:r>
        <w:t>industrial output is inferred rather than modelled, so read it as an upper bound;</w:t>
      </w:r>
    </w:p>
    <w:p>
      <w:pPr>
        <w:pStyle w:val="ListBullet"/>
      </w:pPr>
      <w:r>
        <w:t>there is no trade or leakage model;</w:t>
      </w:r>
    </w:p>
    <w:p>
      <w:pPr>
        <w:pStyle w:val="ListBullet"/>
      </w:pPr>
      <w:r>
        <w:t>emission factors are fleet averages;</w:t>
      </w:r>
    </w:p>
    <w:p>
      <w:pPr>
        <w:pStyle w:val="ListBullet"/>
      </w:pPr>
      <w:r>
        <w:t>revenue is simple revenue, excluding interactions with existing taxes and subsidies;</w:t>
      </w:r>
    </w:p>
    <w:p>
      <w:pPr>
        <w:pStyle w:val="ListBullet"/>
      </w:pPr>
      <w:r>
        <w:t>the CPAT runs have no recycling outputs.</w:t>
      </w:r>
    </w:p>
    <w:p>
      <w:pPr>
        <w:pStyle w:val="Heading2"/>
      </w:pPr>
      <w:r>
        <w:t>D. Relation to the initial results</w:t>
      </w:r>
    </w:p>
    <w:p>
      <w:pPr>
        <w:pStyle w:val="ListNumber"/>
      </w:pPr>
      <w:r>
        <w:rPr>
          <w:b/>
        </w:rPr>
        <w:t>The initial results (Table 2) overstated reductions for the economy-wide bundles.</w:t>
      </w:r>
    </w:p>
    <w:p>
      <w:pPr>
        <w:pStyle w:val="ListBullet"/>
      </w:pPr>
      <w:r>
        <w:t>The rebuild gives 8–29 % smaller reductions for these bundles and about USD 1bn more revenue.</w:t>
      </w:r>
    </w:p>
    <w:p>
      <w:pPr>
        <w:pStyle w:val="ListBullet"/>
      </w:pPr>
      <w:r>
        <w:t>The main causes:</w:t>
      </w:r>
    </w:p>
    <w:p>
      <w:pPr>
        <w:pStyle w:val="ListBullet"/>
      </w:pPr>
      <w:r>
        <w:t>CPAT scaled all industrial process emissions with fuel CO₂;</w:t>
      </w:r>
    </w:p>
    <w:p>
      <w:pPr>
        <w:pStyle w:val="ListBullet"/>
      </w:pPr>
      <w:r>
        <w:t>coverage was typed in by hand;</w:t>
      </w:r>
    </w:p>
    <w:p>
      <w:pPr>
        <w:pStyle w:val="ListBullet"/>
      </w:pPr>
      <w:r>
        <w:t>1A was built on the wrong run;</w:t>
      </w:r>
    </w:p>
    <w:p>
      <w:pPr>
        <w:pStyle w:val="ListBullet"/>
      </w:pPr>
      <w:r>
        <w:t>the 3B figures were stale.</w:t>
      </w:r>
    </w:p>
    <w:p>
      <w:pPr>
        <w:pStyle w:val="ListBullet"/>
      </w:pPr>
      <w:r>
        <w:t>Under the full-coverage approximation, the industry-only bundles are now *larger* than Table 2 (3A −25.1 vs −21.5 Mt).</w:t>
      </w:r>
    </w:p>
    <w:p>
      <w:r>
        <w:t xml:space="preserve">The initial document is also internally inconsistent. For 3B the table says −18.1 Mt and the text says 13.6 Mt, and the emission bases are mixed. See </w:t>
      </w:r>
      <w:r>
        <w:rPr>
          <w:rFonts w:ascii="Consolas" w:hAnsi="Consolas" w:eastAsia="Consolas"/>
        </w:rPr>
        <w:t>ResultsComparison_Table2_v0.3</w:t>
      </w:r>
      <w:r>
        <w:t>, section 4.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Stretton</dc:creator>
  <cp:keywords/>
  <dc:description>generated by python-docx</dc:description>
  <cp:lastModifiedBy>Stephen Stretton</cp:lastModifiedBy>
  <cp:revision>1</cp:revision>
  <dcterms:created xsi:type="dcterms:W3CDTF">2013-12-23T23:15:00Z</dcterms:created>
  <dcterms:modified xsi:type="dcterms:W3CDTF">2013-12-23T23:15:00Z</dcterms:modified>
  <cp:category/>
</cp:coreProperties>
</file>