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Egypt Table 2 – ultra summary (2026-10-02)</w:t>
      </w:r>
    </w:p>
    <w:p>
      <w:r>
        <w:t xml:space="preserve">Year 2030, carbon price $20/t, all % of CPAT 2030 baseline GHG (594.2 Mt). Full method: </w:t>
      </w:r>
      <w:r>
        <w:rPr>
          <w:rFonts w:ascii="Consolas" w:hAnsi="Consolas" w:eastAsia="Consolas"/>
        </w:rPr>
        <w:t>EGYPT_Methodology_v1.0</w:t>
      </w:r>
      <w:r>
        <w:t xml:space="preserve"> (.md/.docx). Workbook: </w:t>
      </w:r>
      <w:r>
        <w:rPr>
          <w:rFonts w:ascii="Consolas" w:hAnsi="Consolas" w:eastAsia="Consolas"/>
        </w:rPr>
        <w:t>AdHocRebuild/AdHocCalculations_Rebuild_v0.1.xlsx</w:t>
      </w:r>
      <w:r>
        <w:t>.</w:t>
      </w:r>
    </w:p>
    <w:p>
      <w:pPr>
        <w:pStyle w:val="Heading2"/>
      </w:pPr>
      <w:r>
        <w:t>1. Final results vs initial results (rebuilt / original)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Metric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Coverage, % GHG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63 / 72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 / 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 / 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14 / 24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14 / 24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14 / 24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Reduction, Mt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−31.6 / −41.6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−27.7 / −38.9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−29.3 / −41.0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−18.0 / −21.5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−12.8 / −18.1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−22.4 / −24.5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Reduction, % GHG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−5.3 / −8.5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−4.7 / −8.0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−4.9 / −8.4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−3.0 / −4.4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−2.1 / −3.7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−3.8 / −5.0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CBAM intensity, %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−6.6 / −7.6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−2.2 / −5.5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−2.2 / −5.5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−6.6 / −7.6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−6.6 / −7.6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−12.7 / −13.1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CBAM obligation/unit, %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−24.9 / −26.1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−13.1 / −13.9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−13.1 / −13.9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−24.9 / −26.1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−6.2 / −7.6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−29.5 / −30.4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Revenue, $bn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6.81 / 5.77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6.23 / 5.18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6.19 / 5.18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1.51 / 2.38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0.33 / 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 / 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Deaths avoided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1564 / 1656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1564 / 1564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1631 / 1631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546 / 546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412 / 345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633 / 621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CBAM-sector output, %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−5.8 / −8.3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−2.4 / −8.3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−2.4 / −8.3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−5.8 / −11.4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 / −8.3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−5.8 / −8.7</w:t>
            </w:r>
          </w:p>
        </w:tc>
      </w:tr>
    </w:tbl>
    <w:p/>
    <w:p>
      <w:r>
        <w:rPr>
          <w:b/>
        </w:rPr>
        <w:t>Headline:</w:t>
      </w:r>
      <w:r>
        <w:t xml:space="preserve"> reductions fall 15–30% (economy-wide) and 10–30% (industry bundles); coverage falls 8–10 pp; revenue rises ~$1bn for economy-wide bundles and falls for 3A.</w:t>
      </w:r>
    </w:p>
    <w:p>
      <w:pPr>
        <w:pStyle w:val="Heading2"/>
      </w:pPr>
      <w:r>
        <w:t>2. Why the numbers changed</w:t>
      </w:r>
    </w:p>
    <w:p>
      <w:pPr>
        <w:pStyle w:val="ListNumber"/>
      </w:pPr>
      <w:r>
        <w:rPr>
          <w:b/>
        </w:rPr>
        <w:t>One denominator</w:t>
      </w:r>
      <w:r>
        <w:t xml:space="preserve"> (2030 baseline GHG); the original mixed years and three bases.</w:t>
      </w:r>
    </w:p>
    <w:p>
      <w:pPr>
        <w:pStyle w:val="ListNumber"/>
      </w:pPr>
      <w:r>
        <w:rPr>
          <w:b/>
        </w:rPr>
        <w:t>IPPU double count removed:</w:t>
      </w:r>
      <w:r>
        <w:t xml:space="preserve"> CPAT's proportional IPPU scaling dropped; process emissions now come bottom-up from 8 CBAM products (base 61.2 Mt vs 53.6 Mt).</w:t>
      </w:r>
    </w:p>
    <w:p>
      <w:pPr>
        <w:pStyle w:val="ListNumber"/>
      </w:pPr>
      <w:r>
        <w:rPr>
          <w:b/>
        </w:rPr>
        <w:t>Coverage computed, not typed;</w:t>
      </w:r>
      <w:r>
        <w:t xml:space="preserve"> EG3 industry run only prices 54% of industrial energy CO₂ (κ = 0.54).</w:t>
      </w:r>
    </w:p>
    <w:p>
      <w:pPr>
        <w:pStyle w:val="ListNumber"/>
      </w:pPr>
      <w:r>
        <w:rPr>
          <w:b/>
        </w:rPr>
        <w:t>Scenario mapping fixed:</w:t>
      </w:r>
      <w:r>
        <w:t xml:space="preserve"> 1A on EG1 (was EG2); 3B from EG3 with explicit OBR correction (was hard-coded scaling).</w:t>
      </w:r>
    </w:p>
    <w:p>
      <w:pPr>
        <w:pStyle w:val="ListNumber"/>
      </w:pPr>
      <w:r>
        <w:rPr>
          <w:b/>
        </w:rPr>
        <w:t>Output change per bundle</w:t>
      </w:r>
      <w:r>
        <w:t xml:space="preserve"> (original used 3B's −8.3% for all).</w:t>
      </w:r>
    </w:p>
    <w:p>
      <w:pPr>
        <w:pStyle w:val="ListNumber"/>
      </w:pPr>
      <w:r>
        <w:rPr>
          <w:b/>
        </w:rPr>
        <w:t>Revenue</w:t>
      </w:r>
      <w:r>
        <w:t xml:space="preserve"> = CPAT fuel receipts + process revenue, net of rebates/fund; 3B now 0.33 $bn (only CBAM producers rebated).</w:t>
      </w:r>
    </w:p>
    <w:p>
      <w:pPr>
        <w:pStyle w:val="ListNumber"/>
      </w:pPr>
      <w:r>
        <w:rPr>
          <w:b/>
        </w:rPr>
        <w:t>Deaths</w:t>
      </w:r>
      <w:r>
        <w:t xml:space="preserve"> from each bundle's own scenario, rescaled by energy CO₂ only.</w:t>
      </w:r>
    </w:p>
    <w:p>
      <w:pPr>
        <w:pStyle w:val="Heading2"/>
      </w:pPr>
      <w:r>
        <w:t>3. Ad hoc rebuild vs main prototype kernel (v0.11)</w:t>
      </w:r>
    </w:p>
    <w:p>
      <w:r>
        <w:rPr>
          <w:rFonts w:ascii="Consolas" w:hAnsi="Consolas" w:eastAsia="Consolas"/>
        </w:rPr>
        <w:t>Mode = PROTOTYPE</w:t>
      </w:r>
      <w:r>
        <w:t xml:space="preserve"> reproduces the kernel exactly (&lt;1e‑7). Differences in </w:t>
      </w:r>
      <w:r>
        <w:rPr>
          <w:rFonts w:ascii="Consolas" w:hAnsi="Consolas" w:eastAsia="Consolas"/>
        </w:rPr>
        <w:t>REBUILD</w:t>
      </w:r>
      <w:r>
        <w:t xml:space="preserve"> mode: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Item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Rebuild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Prototype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Fuel-intensity response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x_f = exp(b_f·(τ+σ)), b_f = −0.0025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fixed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Process semi-elasticities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IPCC-based (Task D) → process ER ~4× larger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legacy E40:E47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Fund (3C)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shadow price σ = $20/t on both intensity channels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inactive (3C = 3A)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National GHG, coverage, revenue, deaths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from CPAT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out of scope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CBAM obligation convention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NOPHASE default (FULL shown)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</w:tr>
    </w:tbl>
    <w:p/>
    <w:p>
      <w:r>
        <w:t>Effect: intensity change (e.g. 1A −6.6% vs −1.1%) and CBAM-sector emissions change (−12.0% vs −6.8%) are larger; output change identical. Kernel v0.14 Table 2 (before T1/T3) gives K = −27.7/−25.7/−27.1/−9.7/−6.6/−17.3 Mt.</w:t>
      </w:r>
    </w:p>
    <w:p>
      <w:pPr>
        <w:pStyle w:val="Heading2"/>
      </w:pPr>
      <w:r>
        <w:t>4. Methodology document</w:t>
      </w:r>
    </w:p>
    <w:p>
      <w:r>
        <w:t xml:space="preserve">Complete: </w:t>
      </w:r>
      <w:r>
        <w:rPr>
          <w:rFonts w:ascii="Consolas" w:hAnsi="Consolas" w:eastAsia="Consolas"/>
        </w:rPr>
        <w:t>EGYPT_Methodology_v1.0.md/.docx</w:t>
      </w:r>
      <w:r>
        <w:t xml:space="preserve"> (App. A emission factors, App. B process semi-elasticities). Rebuild-specific note: </w:t>
      </w:r>
      <w:r>
        <w:rPr>
          <w:rFonts w:ascii="Consolas" w:hAnsi="Consolas" w:eastAsia="Consolas"/>
        </w:rPr>
        <w:t>AdHocRebuild/MethodologyNote_v0.1</w:t>
      </w:r>
      <w:r>
        <w:t>.</w:t>
      </w:r>
    </w:p>
    <w:p>
      <w:pPr>
        <w:pStyle w:val="Heading2"/>
      </w:pPr>
      <w:r>
        <w:t>5. Open flags</w:t>
      </w:r>
    </w:p>
    <w:p>
      <w:pPr>
        <w:pStyle w:val="ListBullet"/>
      </w:pPr>
      <w:r>
        <w:t>Re-run EG3 with full industry coverage (κ → 1); will raise 3A–3C coverage/reductions.</w:t>
      </w:r>
    </w:p>
    <w:p>
      <w:pPr>
        <w:pStyle w:val="ListBullet"/>
      </w:pPr>
      <w:r>
        <w:t>Apply new EFs (T5) and IPCC semi-elasticities (T1) in the kernel, then re-run Task M.</w:t>
      </w:r>
    </w:p>
    <w:p>
      <w:pPr>
        <w:pStyle w:val="ListBullet"/>
      </w:pPr>
      <w:r>
        <w:t>3B revenue sensitive to who is rebated (0.33 vs ≈0 $bn).</w:t>
      </w:r>
    </w:p>
    <w:p>
      <w:pPr>
        <w:pStyle w:val="ListBullet"/>
      </w:pPr>
      <w:r>
        <w:t>β set and σ = $20/t are judgements.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