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Egypt carbon pricing and CBAM: summary</w:t>
      </w:r>
    </w:p>
    <w:p>
      <w:r>
        <w:t>All numbers are for 2030 with a carbon price of USD 20 per tonne of CO₂.</w:t>
      </w:r>
    </w:p>
    <w:p>
      <w:pPr>
        <w:pStyle w:val="Heading2"/>
      </w:pPr>
      <w:r>
        <w:t>What was done</w:t>
      </w:r>
    </w:p>
    <w:p>
      <w:r>
        <w:t>We tested six ways Egypt could put a price on carbon. We used the World Bank climate tool (CPAT) to measure the effect on emissions, revenue and health. CPAT cannot model steel, cement, fertiliser and aluminium well, and these are the goods the EU taxes at its border under CBAM. So we took those four sectors out of CPAT and modelled them separately, with their own emission factors and their own response to the price. Everything else in CPAT is unchanged.</w:t>
      </w:r>
    </w:p>
    <w:p>
      <w:pPr>
        <w:pStyle w:val="Heading2"/>
      </w:pPr>
      <w:r>
        <w:t>The six scenarios</w:t>
      </w:r>
    </w:p>
    <w:tbl>
      <w:tblPr>
        <w:tblStyle w:val="TableGrid"/>
        <w:tblW w:type="auto" w:w="0"/>
        <w:tblLayout w:type="fixed"/>
        <w:tblLook w:firstColumn="1" w:firstRow="1" w:lastColumn="0" w:lastRow="0" w:noHBand="0" w:noVBand="1" w:val="04A0"/>
      </w:tblPr>
      <w:tblGrid>
        <w:gridCol w:w="680"/>
        <w:gridCol w:w="5839"/>
        <w:gridCol w:w="3231"/>
      </w:tblGrid>
      <w:tr>
        <w:tc>
          <w:tcPr>
            <w:tcW w:type="dxa" w:w="680"/>
            <w:shd w:val="clear" w:fill="DCE6F1"/>
          </w:tcPr>
          <w:p>
            <w:pPr>
              <w:spacing w:after="0"/>
            </w:pPr>
            <w:r/>
            <w:r>
              <w:rPr>
                <w:b/>
                <w:sz w:val="18"/>
              </w:rPr>
            </w:r>
          </w:p>
        </w:tc>
        <w:tc>
          <w:tcPr>
            <w:tcW w:type="dxa" w:w="5839"/>
            <w:shd w:val="clear" w:fill="DCE6F1"/>
          </w:tcPr>
          <w:p>
            <w:pPr>
              <w:spacing w:after="0"/>
              <w:jc w:val="center"/>
            </w:pPr>
            <w:r/>
            <w:r>
              <w:rPr>
                <w:b/>
                <w:sz w:val="18"/>
              </w:rPr>
              <w:t>What is priced</w:t>
            </w:r>
          </w:p>
        </w:tc>
        <w:tc>
          <w:tcPr>
            <w:tcW w:type="dxa" w:w="3231"/>
            <w:shd w:val="clear" w:fill="DCE6F1"/>
          </w:tcPr>
          <w:p>
            <w:pPr>
              <w:spacing w:after="0"/>
              <w:jc w:val="center"/>
            </w:pPr>
            <w:r/>
            <w:r>
              <w:rPr>
                <w:b/>
                <w:sz w:val="18"/>
              </w:rPr>
              <w:t>What happens to the money</w:t>
            </w:r>
          </w:p>
        </w:tc>
      </w:tr>
      <w:tr>
        <w:tc>
          <w:tcPr>
            <w:tcW w:type="dxa" w:w="680"/>
          </w:tcPr>
          <w:p>
            <w:pPr>
              <w:spacing w:after="0"/>
            </w:pPr>
            <w:r/>
            <w:r>
              <w:rPr>
                <w:sz w:val="18"/>
              </w:rPr>
              <w:t>1A</w:t>
            </w:r>
          </w:p>
        </w:tc>
        <w:tc>
          <w:tcPr>
            <w:tcW w:type="dxa" w:w="5839"/>
          </w:tcPr>
          <w:p>
            <w:pPr>
              <w:spacing w:after="0"/>
            </w:pPr>
            <w:r/>
            <w:r>
              <w:rPr>
                <w:sz w:val="18"/>
              </w:rPr>
              <w:t>All energy CO₂, plus process emissions from CBAM goods</w:t>
            </w:r>
          </w:p>
        </w:tc>
        <w:tc>
          <w:tcPr>
            <w:tcW w:type="dxa" w:w="3231"/>
          </w:tcPr>
          <w:p>
            <w:pPr>
              <w:spacing w:after="0"/>
            </w:pPr>
            <w:r/>
            <w:r>
              <w:rPr>
                <w:sz w:val="18"/>
              </w:rPr>
              <w:t>Public investment</w:t>
            </w:r>
          </w:p>
        </w:tc>
      </w:tr>
      <w:tr>
        <w:tc>
          <w:tcPr>
            <w:tcW w:type="dxa" w:w="680"/>
          </w:tcPr>
          <w:p>
            <w:pPr>
              <w:spacing w:after="0"/>
            </w:pPr>
            <w:r/>
            <w:r>
              <w:rPr>
                <w:sz w:val="18"/>
              </w:rPr>
              <w:t>2A</w:t>
            </w:r>
          </w:p>
        </w:tc>
        <w:tc>
          <w:tcPr>
            <w:tcW w:type="dxa" w:w="5839"/>
          </w:tcPr>
          <w:p>
            <w:pPr>
              <w:spacing w:after="0"/>
            </w:pPr>
            <w:r/>
            <w:r>
              <w:rPr>
                <w:sz w:val="18"/>
              </w:rPr>
              <w:t>All energy CO₂ (charged upstream, at the fuel supplier)</w:t>
            </w:r>
          </w:p>
        </w:tc>
        <w:tc>
          <w:tcPr>
            <w:tcW w:type="dxa" w:w="3231"/>
          </w:tcPr>
          <w:p>
            <w:pPr>
              <w:spacing w:after="0"/>
            </w:pPr>
            <w:r/>
            <w:r>
              <w:rPr>
                <w:sz w:val="18"/>
              </w:rPr>
              <w:t>Public investment</w:t>
            </w:r>
          </w:p>
        </w:tc>
      </w:tr>
      <w:tr>
        <w:tc>
          <w:tcPr>
            <w:tcW w:type="dxa" w:w="680"/>
          </w:tcPr>
          <w:p>
            <w:pPr>
              <w:spacing w:after="0"/>
            </w:pPr>
            <w:r/>
            <w:r>
              <w:rPr>
                <w:sz w:val="18"/>
              </w:rPr>
              <w:t>2B</w:t>
            </w:r>
          </w:p>
        </w:tc>
        <w:tc>
          <w:tcPr>
            <w:tcW w:type="dxa" w:w="5839"/>
          </w:tcPr>
          <w:p>
            <w:pPr>
              <w:spacing w:after="0"/>
              <w:jc w:val="center"/>
            </w:pPr>
            <w:r/>
            <w:r>
              <w:rPr>
                <w:sz w:val="18"/>
              </w:rPr>
              <w:t>Same as 2A</w:t>
            </w:r>
          </w:p>
        </w:tc>
        <w:tc>
          <w:tcPr>
            <w:tcW w:type="dxa" w:w="3231"/>
          </w:tcPr>
          <w:p>
            <w:pPr>
              <w:spacing w:after="0"/>
            </w:pPr>
            <w:r/>
            <w:r>
              <w:rPr>
                <w:sz w:val="18"/>
              </w:rPr>
              <w:t>Paid out per person</w:t>
            </w:r>
          </w:p>
        </w:tc>
      </w:tr>
      <w:tr>
        <w:tc>
          <w:tcPr>
            <w:tcW w:type="dxa" w:w="680"/>
          </w:tcPr>
          <w:p>
            <w:pPr>
              <w:spacing w:after="0"/>
            </w:pPr>
            <w:r/>
            <w:r>
              <w:rPr>
                <w:sz w:val="18"/>
              </w:rPr>
              <w:t>3A</w:t>
            </w:r>
          </w:p>
        </w:tc>
        <w:tc>
          <w:tcPr>
            <w:tcW w:type="dxa" w:w="5839"/>
          </w:tcPr>
          <w:p>
            <w:pPr>
              <w:spacing w:after="0"/>
            </w:pPr>
            <w:r/>
            <w:r>
              <w:rPr>
                <w:sz w:val="18"/>
              </w:rPr>
              <w:t>Industry only (charged downstream), plus CBAM process emissions</w:t>
            </w:r>
          </w:p>
        </w:tc>
        <w:tc>
          <w:tcPr>
            <w:tcW w:type="dxa" w:w="3231"/>
          </w:tcPr>
          <w:p>
            <w:pPr>
              <w:spacing w:after="0"/>
              <w:jc w:val="center"/>
            </w:pPr>
            <w:r/>
            <w:r>
              <w:rPr>
                <w:sz w:val="18"/>
              </w:rPr>
              <w:t>Households</w:t>
            </w:r>
          </w:p>
        </w:tc>
      </w:tr>
      <w:tr>
        <w:tc>
          <w:tcPr>
            <w:tcW w:type="dxa" w:w="680"/>
          </w:tcPr>
          <w:p>
            <w:pPr>
              <w:spacing w:after="0"/>
            </w:pPr>
            <w:r/>
            <w:r>
              <w:rPr>
                <w:sz w:val="18"/>
              </w:rPr>
              <w:t>3B</w:t>
            </w:r>
          </w:p>
        </w:tc>
        <w:tc>
          <w:tcPr>
            <w:tcW w:type="dxa" w:w="5839"/>
          </w:tcPr>
          <w:p>
            <w:pPr>
              <w:spacing w:after="0"/>
            </w:pPr>
            <w:r>
              <w:t>As 3A, but all covered industry gets free allowances per unit of output</w:t>
            </w:r>
          </w:p>
        </w:tc>
        <w:tc>
          <w:tcPr>
            <w:tcW w:type="dxa" w:w="3231"/>
          </w:tcPr>
          <w:p>
            <w:pPr>
              <w:spacing w:after="0"/>
            </w:pPr>
            <w:r/>
            <w:r>
              <w:rPr>
                <w:sz w:val="18"/>
              </w:rPr>
              <w:t>Returned to producers</w:t>
            </w:r>
          </w:p>
        </w:tc>
      </w:tr>
      <w:tr>
        <w:tc>
          <w:tcPr>
            <w:tcW w:type="dxa" w:w="680"/>
          </w:tcPr>
          <w:p>
            <w:pPr>
              <w:spacing w:after="0"/>
            </w:pPr>
            <w:r/>
            <w:r>
              <w:rPr>
                <w:sz w:val="18"/>
              </w:rPr>
              <w:t>3C</w:t>
            </w:r>
          </w:p>
        </w:tc>
        <w:tc>
          <w:tcPr>
            <w:tcW w:type="dxa" w:w="5839"/>
          </w:tcPr>
          <w:p>
            <w:pPr>
              <w:spacing w:after="0"/>
            </w:pPr>
            <w:r/>
            <w:r>
              <w:rPr>
                <w:sz w:val="18"/>
              </w:rPr>
              <w:t>As 3A, but revenue funds industrial clean-up</w:t>
            </w:r>
          </w:p>
        </w:tc>
        <w:tc>
          <w:tcPr>
            <w:tcW w:type="dxa" w:w="3231"/>
          </w:tcPr>
          <w:p>
            <w:pPr>
              <w:spacing w:after="0"/>
            </w:pPr>
            <w:r/>
            <w:r>
              <w:rPr>
                <w:sz w:val="18"/>
              </w:rPr>
              <w:t>Abatement fund</w:t>
            </w:r>
          </w:p>
        </w:tc>
      </w:tr>
    </w:tbl>
    <w:p>
      <w:pPr>
        <w:spacing w:after="40"/>
      </w:pPr>
    </w:p>
    <w:p>
      <w:pPr>
        <w:pStyle w:val="Heading2"/>
      </w:pPr>
      <w:r>
        <w:t>Core results</w:t>
      </w:r>
    </w:p>
    <w:tbl>
      <w:tblPr>
        <w:tblStyle w:val="TableGrid"/>
        <w:tblW w:type="auto" w:w="0"/>
        <w:tblLayout w:type="fixed"/>
        <w:tblLook w:firstColumn="1" w:firstRow="1" w:lastColumn="0" w:lastRow="0" w:noHBand="0" w:noVBand="1" w:val="04A0"/>
      </w:tblPr>
      <w:tblGrid>
        <w:gridCol w:w="3628"/>
        <w:gridCol w:w="1020"/>
        <w:gridCol w:w="1020"/>
        <w:gridCol w:w="1020"/>
        <w:gridCol w:w="1020"/>
        <w:gridCol w:w="1020"/>
        <w:gridCol w:w="1020"/>
      </w:tblGrid>
      <w:tr>
        <w:tc>
          <w:tcPr>
            <w:tcW w:type="dxa" w:w="3628"/>
            <w:shd w:val="clear" w:fill="DCE6F1"/>
          </w:tcPr>
          <w:p>
            <w:pPr>
              <w:spacing w:after="0"/>
            </w:pPr>
            <w:r/>
            <w:r>
              <w:rPr>
                <w:b/>
                <w:sz w:val="18"/>
              </w:rPr>
            </w:r>
          </w:p>
        </w:tc>
        <w:tc>
          <w:tcPr>
            <w:tcW w:type="dxa" w:w="1020"/>
            <w:shd w:val="clear" w:fill="DCE6F1"/>
          </w:tcPr>
          <w:p>
            <w:pPr>
              <w:spacing w:after="0"/>
              <w:jc w:val="center"/>
            </w:pPr>
            <w:r/>
            <w:r>
              <w:rPr>
                <w:b/>
                <w:sz w:val="18"/>
              </w:rPr>
              <w:t>1A</w:t>
            </w:r>
          </w:p>
        </w:tc>
        <w:tc>
          <w:tcPr>
            <w:tcW w:type="dxa" w:w="1020"/>
            <w:shd w:val="clear" w:fill="DCE6F1"/>
          </w:tcPr>
          <w:p>
            <w:pPr>
              <w:spacing w:after="0"/>
              <w:jc w:val="center"/>
            </w:pPr>
            <w:r/>
            <w:r>
              <w:rPr>
                <w:b/>
                <w:sz w:val="18"/>
              </w:rPr>
              <w:t>2A</w:t>
            </w:r>
          </w:p>
        </w:tc>
        <w:tc>
          <w:tcPr>
            <w:tcW w:type="dxa" w:w="1020"/>
            <w:shd w:val="clear" w:fill="DCE6F1"/>
          </w:tcPr>
          <w:p>
            <w:pPr>
              <w:spacing w:after="0"/>
              <w:jc w:val="center"/>
            </w:pPr>
            <w:r/>
            <w:r>
              <w:rPr>
                <w:b/>
                <w:sz w:val="18"/>
              </w:rPr>
              <w:t>2B</w:t>
            </w:r>
          </w:p>
        </w:tc>
        <w:tc>
          <w:tcPr>
            <w:tcW w:type="dxa" w:w="1020"/>
            <w:shd w:val="clear" w:fill="DCE6F1"/>
          </w:tcPr>
          <w:p>
            <w:pPr>
              <w:spacing w:after="0"/>
              <w:jc w:val="center"/>
            </w:pPr>
            <w:r/>
            <w:r>
              <w:rPr>
                <w:b/>
                <w:sz w:val="18"/>
              </w:rPr>
              <w:t>3A</w:t>
            </w:r>
          </w:p>
        </w:tc>
        <w:tc>
          <w:tcPr>
            <w:tcW w:type="dxa" w:w="1020"/>
            <w:shd w:val="clear" w:fill="DCE6F1"/>
          </w:tcPr>
          <w:p>
            <w:pPr>
              <w:spacing w:after="0"/>
              <w:jc w:val="center"/>
            </w:pPr>
            <w:r/>
            <w:r>
              <w:rPr>
                <w:b/>
                <w:sz w:val="18"/>
              </w:rPr>
              <w:t>3B</w:t>
            </w:r>
          </w:p>
        </w:tc>
        <w:tc>
          <w:tcPr>
            <w:tcW w:type="dxa" w:w="1020"/>
            <w:shd w:val="clear" w:fill="DCE6F1"/>
          </w:tcPr>
          <w:p>
            <w:pPr>
              <w:spacing w:after="0"/>
              <w:jc w:val="center"/>
            </w:pPr>
            <w:r/>
            <w:r>
              <w:rPr>
                <w:b/>
                <w:sz w:val="18"/>
              </w:rPr>
              <w:t>3C</w:t>
            </w:r>
          </w:p>
        </w:tc>
      </w:tr>
      <w:tr>
        <w:tc>
          <w:tcPr>
            <w:tcW w:type="dxa" w:w="3628"/>
          </w:tcPr>
          <w:p>
            <w:pPr>
              <w:spacing w:after="0"/>
            </w:pPr>
            <w:r/>
            <w:r>
              <w:rPr>
                <w:sz w:val="18"/>
              </w:rPr>
              <w:t>Share of national emissions priced (%)</w:t>
            </w:r>
          </w:p>
        </w:tc>
        <w:tc>
          <w:tcPr>
            <w:tcW w:type="dxa" w:w="1020"/>
          </w:tcPr>
          <w:p>
            <w:pPr>
              <w:spacing w:after="0"/>
              <w:jc w:val="center"/>
            </w:pPr>
            <w:r/>
            <w:r>
              <w:rPr>
                <w:sz w:val="18"/>
              </w:rPr>
              <w:t>63</w:t>
            </w:r>
          </w:p>
        </w:tc>
        <w:tc>
          <w:tcPr>
            <w:tcW w:type="dxa" w:w="1020"/>
          </w:tcPr>
          <w:p>
            <w:pPr>
              <w:spacing w:after="0"/>
              <w:jc w:val="center"/>
            </w:pPr>
            <w:r/>
            <w:r>
              <w:rPr>
                <w:sz w:val="18"/>
              </w:rPr>
              <w:t>57</w:t>
            </w:r>
          </w:p>
        </w:tc>
        <w:tc>
          <w:tcPr>
            <w:tcW w:type="dxa" w:w="1020"/>
          </w:tcPr>
          <w:p>
            <w:pPr>
              <w:spacing w:after="0"/>
              <w:jc w:val="center"/>
            </w:pPr>
            <w:r/>
            <w:r>
              <w:rPr>
                <w:sz w:val="18"/>
              </w:rPr>
              <w:t>57</w:t>
            </w:r>
          </w:p>
        </w:tc>
        <w:tc>
          <w:tcPr>
            <w:tcW w:type="dxa" w:w="1020"/>
          </w:tcPr>
          <w:p>
            <w:pPr>
              <w:spacing w:after="0"/>
              <w:jc w:val="center"/>
            </w:pPr>
            <w:r/>
            <w:r>
              <w:rPr>
                <w:sz w:val="18"/>
              </w:rPr>
              <w:t>14</w:t>
            </w:r>
          </w:p>
        </w:tc>
        <w:tc>
          <w:tcPr>
            <w:tcW w:type="dxa" w:w="1020"/>
          </w:tcPr>
          <w:p>
            <w:pPr>
              <w:spacing w:after="0"/>
              <w:jc w:val="center"/>
            </w:pPr>
            <w:r/>
            <w:r>
              <w:rPr>
                <w:sz w:val="18"/>
              </w:rPr>
              <w:t>14</w:t>
            </w:r>
          </w:p>
        </w:tc>
        <w:tc>
          <w:tcPr>
            <w:tcW w:type="dxa" w:w="1020"/>
          </w:tcPr>
          <w:p>
            <w:pPr>
              <w:spacing w:after="0"/>
              <w:jc w:val="center"/>
            </w:pPr>
            <w:r/>
            <w:r>
              <w:rPr>
                <w:sz w:val="18"/>
              </w:rPr>
              <w:t>14</w:t>
            </w:r>
          </w:p>
        </w:tc>
      </w:tr>
      <w:tr>
        <w:tc>
          <w:tcPr>
            <w:tcW w:type="dxa" w:w="3628"/>
          </w:tcPr>
          <w:p>
            <w:pPr>
              <w:spacing w:after="0"/>
            </w:pPr>
            <w:r/>
            <w:r>
              <w:rPr>
                <w:sz w:val="18"/>
              </w:rPr>
              <w:t>Emissions cut (Mt CO₂e)</w:t>
            </w:r>
          </w:p>
        </w:tc>
        <w:tc>
          <w:tcPr>
            <w:tcW w:type="dxa" w:w="1020"/>
          </w:tcPr>
          <w:p>
            <w:pPr>
              <w:spacing w:after="0"/>
              <w:jc w:val="center"/>
            </w:pPr>
            <w:r>
              <w:t>−34.7</w:t>
            </w:r>
          </w:p>
        </w:tc>
        <w:tc>
          <w:tcPr>
            <w:tcW w:type="dxa" w:w="1020"/>
          </w:tcPr>
          <w:p>
            <w:pPr>
              <w:spacing w:after="0"/>
              <w:jc w:val="center"/>
            </w:pPr>
            <w:r>
              <w:t>−31.9</w:t>
            </w:r>
          </w:p>
        </w:tc>
        <w:tc>
          <w:tcPr>
            <w:tcW w:type="dxa" w:w="1020"/>
          </w:tcPr>
          <w:p>
            <w:pPr>
              <w:spacing w:after="0"/>
              <w:jc w:val="center"/>
            </w:pPr>
            <w:r>
              <w:t>−33.7</w:t>
            </w:r>
          </w:p>
        </w:tc>
        <w:tc>
          <w:tcPr>
            <w:tcW w:type="dxa" w:w="1020"/>
          </w:tcPr>
          <w:p>
            <w:pPr>
              <w:spacing w:after="0"/>
              <w:jc w:val="center"/>
            </w:pPr>
            <w:r>
              <w:t>−20.0</w:t>
            </w:r>
          </w:p>
        </w:tc>
        <w:tc>
          <w:tcPr>
            <w:tcW w:type="dxa" w:w="1020"/>
          </w:tcPr>
          <w:p>
            <w:pPr>
              <w:spacing w:after="0"/>
              <w:jc w:val="center"/>
            </w:pPr>
            <w:r>
              <w:t>−12.0</w:t>
            </w:r>
          </w:p>
        </w:tc>
        <w:tc>
          <w:tcPr>
            <w:tcW w:type="dxa" w:w="1020"/>
          </w:tcPr>
          <w:p>
            <w:pPr>
              <w:spacing w:after="0"/>
              <w:jc w:val="center"/>
            </w:pPr>
            <w:r>
              <w:t>−30.8</w:t>
            </w:r>
          </w:p>
        </w:tc>
      </w:tr>
      <w:tr>
        <w:tc>
          <w:tcPr>
            <w:tcW w:type="dxa" w:w="3628"/>
          </w:tcPr>
          <w:p>
            <w:pPr>
              <w:spacing w:after="0"/>
            </w:pPr>
            <w:r/>
            <w:r>
              <w:rPr>
                <w:sz w:val="18"/>
              </w:rPr>
              <w:t>Emissions cut (% of national total)</w:t>
            </w:r>
          </w:p>
        </w:tc>
        <w:tc>
          <w:tcPr>
            <w:tcW w:type="dxa" w:w="1020"/>
          </w:tcPr>
          <w:p>
            <w:pPr>
              <w:spacing w:after="0"/>
              <w:jc w:val="center"/>
            </w:pPr>
            <w:r>
              <w:t>−5.8</w:t>
            </w:r>
          </w:p>
        </w:tc>
        <w:tc>
          <w:tcPr>
            <w:tcW w:type="dxa" w:w="1020"/>
          </w:tcPr>
          <w:p>
            <w:pPr>
              <w:spacing w:after="0"/>
              <w:jc w:val="center"/>
            </w:pPr>
            <w:r>
              <w:t>−5.4</w:t>
            </w:r>
          </w:p>
        </w:tc>
        <w:tc>
          <w:tcPr>
            <w:tcW w:type="dxa" w:w="1020"/>
          </w:tcPr>
          <w:p>
            <w:pPr>
              <w:spacing w:after="0"/>
              <w:jc w:val="center"/>
            </w:pPr>
            <w:r>
              <w:t>−5.7</w:t>
            </w:r>
          </w:p>
        </w:tc>
        <w:tc>
          <w:tcPr>
            <w:tcW w:type="dxa" w:w="1020"/>
          </w:tcPr>
          <w:p>
            <w:pPr>
              <w:spacing w:after="0"/>
              <w:jc w:val="center"/>
            </w:pPr>
            <w:r>
              <w:t>−3.4</w:t>
            </w:r>
          </w:p>
        </w:tc>
        <w:tc>
          <w:tcPr>
            <w:tcW w:type="dxa" w:w="1020"/>
          </w:tcPr>
          <w:p>
            <w:pPr>
              <w:spacing w:after="0"/>
              <w:jc w:val="center"/>
            </w:pPr>
            <w:r>
              <w:t>−2.0</w:t>
            </w:r>
          </w:p>
        </w:tc>
        <w:tc>
          <w:tcPr>
            <w:tcW w:type="dxa" w:w="1020"/>
          </w:tcPr>
          <w:p>
            <w:pPr>
              <w:spacing w:after="0"/>
              <w:jc w:val="center"/>
            </w:pPr>
            <w:r>
              <w:t>−5.2</w:t>
            </w:r>
          </w:p>
        </w:tc>
      </w:tr>
      <w:tr>
        <w:tc>
          <w:tcPr>
            <w:tcW w:type="dxa" w:w="3628"/>
          </w:tcPr>
          <w:p>
            <w:pPr>
              <w:spacing w:after="0"/>
            </w:pPr>
            <w:r/>
            <w:r>
              <w:rPr>
                <w:sz w:val="18"/>
              </w:rPr>
              <w:t>Carbon revenue (USD bn)</w:t>
            </w:r>
          </w:p>
        </w:tc>
        <w:tc>
          <w:tcPr>
            <w:tcW w:type="dxa" w:w="1020"/>
          </w:tcPr>
          <w:p>
            <w:pPr>
              <w:spacing w:after="0"/>
              <w:jc w:val="center"/>
            </w:pPr>
            <w:r>
              <w:t>6.9</w:t>
            </w:r>
          </w:p>
        </w:tc>
        <w:tc>
          <w:tcPr>
            <w:tcW w:type="dxa" w:w="1020"/>
          </w:tcPr>
          <w:p>
            <w:pPr>
              <w:spacing w:after="0"/>
              <w:jc w:val="center"/>
            </w:pPr>
            <w:r>
              <w:t>6.3</w:t>
            </w:r>
          </w:p>
        </w:tc>
        <w:tc>
          <w:tcPr>
            <w:tcW w:type="dxa" w:w="1020"/>
          </w:tcPr>
          <w:p>
            <w:pPr>
              <w:spacing w:after="0"/>
              <w:jc w:val="center"/>
            </w:pPr>
            <w:r>
              <w:t>6.2</w:t>
            </w:r>
          </w:p>
        </w:tc>
        <w:tc>
          <w:tcPr>
            <w:tcW w:type="dxa" w:w="1020"/>
          </w:tcPr>
          <w:p>
            <w:pPr>
              <w:spacing w:after="0"/>
              <w:jc w:val="center"/>
            </w:pPr>
            <w:r>
              <w:t>1.6</w:t>
            </w:r>
          </w:p>
        </w:tc>
        <w:tc>
          <w:tcPr>
            <w:tcW w:type="dxa" w:w="1020"/>
          </w:tcPr>
          <w:p>
            <w:pPr>
              <w:spacing w:after="0"/>
              <w:jc w:val="center"/>
            </w:pPr>
            <w:r>
              <w:t>0.3</w:t>
            </w:r>
          </w:p>
        </w:tc>
        <w:tc>
          <w:tcPr>
            <w:tcW w:type="dxa" w:w="1020"/>
          </w:tcPr>
          <w:p>
            <w:pPr>
              <w:spacing w:after="0"/>
              <w:jc w:val="center"/>
            </w:pPr>
            <w:r>
              <w:t>0.4</w:t>
            </w:r>
          </w:p>
        </w:tc>
      </w:tr>
      <w:tr>
        <w:tc>
          <w:tcPr>
            <w:tcW w:type="dxa" w:w="3628"/>
          </w:tcPr>
          <w:p>
            <w:pPr>
              <w:spacing w:after="0"/>
            </w:pPr>
            <w:r/>
            <w:r>
              <w:rPr>
                <w:sz w:val="18"/>
              </w:rPr>
              <w:t>Air-pollution deaths avoided</w:t>
            </w:r>
          </w:p>
        </w:tc>
        <w:tc>
          <w:tcPr>
            <w:tcW w:type="dxa" w:w="1020"/>
          </w:tcPr>
          <w:p>
            <w:pPr>
              <w:spacing w:after="0"/>
              <w:jc w:val="center"/>
            </w:pPr>
            <w:r>
              <w:t>1,440</w:t>
            </w:r>
          </w:p>
        </w:tc>
        <w:tc>
          <w:tcPr>
            <w:tcW w:type="dxa" w:w="1020"/>
          </w:tcPr>
          <w:p>
            <w:pPr>
              <w:spacing w:after="0"/>
              <w:jc w:val="center"/>
            </w:pPr>
            <w:r>
              <w:t>1,431</w:t>
            </w:r>
          </w:p>
        </w:tc>
        <w:tc>
          <w:tcPr>
            <w:tcW w:type="dxa" w:w="1020"/>
          </w:tcPr>
          <w:p>
            <w:pPr>
              <w:spacing w:after="0"/>
              <w:jc w:val="center"/>
            </w:pPr>
            <w:r>
              <w:t>1,492</w:t>
            </w:r>
          </w:p>
        </w:tc>
        <w:tc>
          <w:tcPr>
            <w:tcW w:type="dxa" w:w="1020"/>
          </w:tcPr>
          <w:p>
            <w:pPr>
              <w:spacing w:after="0"/>
              <w:jc w:val="center"/>
            </w:pPr>
            <w:r>
              <w:t>509</w:t>
            </w:r>
          </w:p>
        </w:tc>
        <w:tc>
          <w:tcPr>
            <w:tcW w:type="dxa" w:w="1020"/>
          </w:tcPr>
          <w:p>
            <w:pPr>
              <w:spacing w:after="0"/>
              <w:jc w:val="center"/>
            </w:pPr>
            <w:r>
              <w:t>330</w:t>
            </w:r>
          </w:p>
        </w:tc>
        <w:tc>
          <w:tcPr>
            <w:tcW w:type="dxa" w:w="1020"/>
          </w:tcPr>
          <w:p>
            <w:pPr>
              <w:spacing w:after="0"/>
              <w:jc w:val="center"/>
            </w:pPr>
            <w:r>
              <w:t>607</w:t>
            </w:r>
          </w:p>
        </w:tc>
      </w:tr>
      <w:tr>
        <w:tc>
          <w:tcPr>
            <w:tcW w:type="dxa" w:w="3628"/>
          </w:tcPr>
          <w:p>
            <w:pPr>
              <w:spacing w:after="0"/>
            </w:pPr>
            <w:r/>
            <w:r>
              <w:rPr>
                <w:sz w:val="18"/>
              </w:rPr>
              <w:t>CBAM goods: emissions per tonne (%)</w:t>
            </w:r>
          </w:p>
        </w:tc>
        <w:tc>
          <w:tcPr>
            <w:tcW w:type="dxa" w:w="1020"/>
          </w:tcPr>
          <w:p>
            <w:pPr>
              <w:spacing w:after="0"/>
              <w:jc w:val="center"/>
            </w:pPr>
            <w:r>
              <w:t>−5.7</w:t>
            </w:r>
          </w:p>
        </w:tc>
        <w:tc>
          <w:tcPr>
            <w:tcW w:type="dxa" w:w="1020"/>
          </w:tcPr>
          <w:p>
            <w:pPr>
              <w:spacing w:after="0"/>
              <w:jc w:val="center"/>
            </w:pPr>
            <w:r>
              <w:t>−2.1</w:t>
            </w:r>
          </w:p>
        </w:tc>
        <w:tc>
          <w:tcPr>
            <w:tcW w:type="dxa" w:w="1020"/>
          </w:tcPr>
          <w:p>
            <w:pPr>
              <w:spacing w:after="0"/>
              <w:jc w:val="center"/>
            </w:pPr>
            <w:r>
              <w:t>−2.2</w:t>
            </w:r>
          </w:p>
        </w:tc>
        <w:tc>
          <w:tcPr>
            <w:tcW w:type="dxa" w:w="1020"/>
          </w:tcPr>
          <w:p>
            <w:pPr>
              <w:spacing w:after="0"/>
              <w:jc w:val="center"/>
            </w:pPr>
            <w:r>
              <w:t>−5.7</w:t>
            </w:r>
          </w:p>
        </w:tc>
        <w:tc>
          <w:tcPr>
            <w:tcW w:type="dxa" w:w="1020"/>
          </w:tcPr>
          <w:p>
            <w:pPr>
              <w:spacing w:after="0"/>
              <w:jc w:val="center"/>
            </w:pPr>
            <w:r>
              <w:t>−5.8</w:t>
            </w:r>
          </w:p>
        </w:tc>
        <w:tc>
          <w:tcPr>
            <w:tcW w:type="dxa" w:w="1020"/>
          </w:tcPr>
          <w:p>
            <w:pPr>
              <w:spacing w:after="0"/>
              <w:jc w:val="center"/>
            </w:pPr>
            <w:r>
              <w:t>−23.0</w:t>
            </w:r>
          </w:p>
        </w:tc>
      </w:tr>
      <w:tr>
        <w:tc>
          <w:tcPr>
            <w:tcW w:type="dxa" w:w="3628"/>
          </w:tcPr>
          <w:p>
            <w:pPr>
              <w:spacing w:after="0"/>
            </w:pPr>
            <w:r/>
            <w:r>
              <w:rPr>
                <w:sz w:val="18"/>
              </w:rPr>
              <w:t>CBAM bill per tonne exported (%)</w:t>
            </w:r>
          </w:p>
        </w:tc>
        <w:tc>
          <w:tcPr>
            <w:tcW w:type="dxa" w:w="1020"/>
          </w:tcPr>
          <w:p>
            <w:pPr>
              <w:spacing w:after="0"/>
              <w:jc w:val="center"/>
            </w:pPr>
            <w:r>
              <w:t>−5.4</w:t>
            </w:r>
          </w:p>
        </w:tc>
        <w:tc>
          <w:tcPr>
            <w:tcW w:type="dxa" w:w="1020"/>
          </w:tcPr>
          <w:p>
            <w:pPr>
              <w:spacing w:after="0"/>
              <w:jc w:val="center"/>
            </w:pPr>
            <w:r>
              <w:t>−2.6</w:t>
            </w:r>
          </w:p>
        </w:tc>
        <w:tc>
          <w:tcPr>
            <w:tcW w:type="dxa" w:w="1020"/>
          </w:tcPr>
          <w:p>
            <w:pPr>
              <w:spacing w:after="0"/>
              <w:jc w:val="center"/>
            </w:pPr>
            <w:r>
              <w:t>−2.7</w:t>
            </w:r>
          </w:p>
        </w:tc>
        <w:tc>
          <w:tcPr>
            <w:tcW w:type="dxa" w:w="1020"/>
          </w:tcPr>
          <w:p>
            <w:pPr>
              <w:spacing w:after="0"/>
              <w:jc w:val="center"/>
            </w:pPr>
            <w:r>
              <w:t>−5.4</w:t>
            </w:r>
          </w:p>
        </w:tc>
        <w:tc>
          <w:tcPr>
            <w:tcW w:type="dxa" w:w="1020"/>
          </w:tcPr>
          <w:p>
            <w:pPr>
              <w:spacing w:after="0"/>
              <w:jc w:val="center"/>
            </w:pPr>
            <w:r>
              <w:t>−5.4</w:t>
            </w:r>
          </w:p>
        </w:tc>
        <w:tc>
          <w:tcPr>
            <w:tcW w:type="dxa" w:w="1020"/>
          </w:tcPr>
          <w:p>
            <w:pPr>
              <w:spacing w:after="0"/>
              <w:jc w:val="center"/>
            </w:pPr>
            <w:r>
              <w:t>−20.7</w:t>
            </w:r>
          </w:p>
        </w:tc>
      </w:tr>
    </w:tbl>
    <w:p>
      <w:pPr>
        <w:spacing w:after="40"/>
      </w:pPr>
    </w:p>
    <w:p>
      <w:pPr>
        <w:pStyle w:val="Heading2"/>
      </w:pPr>
      <w:r>
        <w:t>What the results say</w:t>
      </w:r>
    </w:p>
    <w:p>
      <w:pPr>
        <w:pStyle w:val="ListBullet"/>
        <w:spacing w:after="20"/>
      </w:pPr>
      <w:r>
        <w:t>Pricing all energy (1A–2B) cuts emissions by about 32–35 Mt, around 5–6% of national emissions, and raises USD 6–7bn.</w:t>
      </w:r>
    </w:p>
    <w:p>
      <w:pPr>
        <w:pStyle w:val="ListBullet"/>
        <w:spacing w:after="20"/>
      </w:pPr>
      <w:r>
        <w:t>Pricing industry only (3A–3B) cuts less (12–20 Mt) and raises much less, because only part of industry was priced in the model run. In 3B the free allowances cover all covered industry, so net revenue is only about USD 0.3bn and the cut is the smallest.</w:t>
      </w:r>
    </w:p>
    <w:p>
      <w:pPr>
        <w:pStyle w:val="ListBullet"/>
        <w:spacing w:after="20"/>
      </w:pPr>
      <w:r>
        <w:t>Using the money to fund clean-up (3C) gives by far the biggest drop in the emissions of CBAM goods and in the CBAM bill.</w:t>
      </w:r>
    </w:p>
    <w:p>
      <w:pPr>
        <w:pStyle w:val="ListBullet"/>
        <w:spacing w:after="20"/>
      </w:pPr>
      <w:r>
        <w:t>Compared with the earlier table, revenue is higher and the 1A–2B emission cuts are smaller, because the CBAM sectors are now modelled directly.</w:t>
      </w:r>
    </w:p>
    <w:p>
      <w:pPr>
        <w:pStyle w:val="Heading2"/>
      </w:pPr>
      <w:r>
        <w:t>How the CBAM part works</w:t>
      </w:r>
    </w:p>
    <w:p>
      <w:r>
        <w:t>For each CBAM product (steel, cement clinker, ammonia, urea, ammonium nitrate, aluminium) we model four things:</w:t>
      </w:r>
    </w:p>
    <w:p>
      <w:pPr>
        <w:pStyle w:val="ListBullet"/>
        <w:spacing w:after="20"/>
      </w:pPr>
      <w:r>
        <w:rPr>
          <w:b/>
        </w:rPr>
        <w:t xml:space="preserve">Emissions per tonne. </w:t>
      </w:r>
      <w:r>
        <w:t>Fuel burned, fuel used as a raw material, chemical reactions in the process, and other gases such as N₂O. These are split so each can be priced separately.</w:t>
      </w:r>
    </w:p>
    <w:p>
      <w:pPr>
        <w:pStyle w:val="ListBullet"/>
        <w:spacing w:after="20"/>
      </w:pPr>
      <w:r>
        <w:rPr>
          <w:b/>
        </w:rPr>
        <w:t xml:space="preserve">Output. </w:t>
      </w:r>
      <w:r>
        <w:t>A carbon charge raises costs. Higher costs reduce output a little. Free allowances in 3B soften this.</w:t>
      </w:r>
    </w:p>
    <w:p>
      <w:pPr>
        <w:pStyle w:val="ListBullet"/>
        <w:spacing w:after="20"/>
      </w:pPr>
      <w:r>
        <w:rPr>
          <w:b/>
        </w:rPr>
        <w:t xml:space="preserve">Fuel efficiency. </w:t>
      </w:r>
      <w:r>
        <w:t>Plants use less fuel per tonne when fuel is dearer. We use CPAT’s own response (about −5%).</w:t>
      </w:r>
    </w:p>
    <w:p>
      <w:pPr>
        <w:pStyle w:val="ListBullet"/>
        <w:spacing w:after="20"/>
      </w:pPr>
      <w:r>
        <w:rPr>
          <w:b/>
        </w:rPr>
        <w:t xml:space="preserve">Process clean-up. </w:t>
      </w:r>
      <w:r>
        <w:t>Where process emissions are charged (1A, 3A–3C), they fall per tonne. This is based on international cost data (IPCC).</w:t>
      </w:r>
    </w:p>
    <w:p>
      <w:r>
        <w:t>The CBAM bill is what exporters pay the EU for the emissions in the goods they export. We measure how much it changes per tonne exported. We hold the EU carbon price, export mix and volumes fixed, so the change is just the change in emissions per tonne. We do not give credit for Egypt’s own carbon price. Each effect is counted once only.</w:t>
      </w:r>
    </w:p>
    <w:p>
      <w:pPr>
        <w:pStyle w:val="Heading2"/>
      </w:pPr>
      <w:r>
        <w:t>Main assumptions and limits</w:t>
      </w:r>
    </w:p>
    <w:p>
      <w:pPr>
        <w:pStyle w:val="ListBullet"/>
        <w:spacing w:after="20"/>
      </w:pPr>
      <w:r>
        <w:t>Output falls by 0.1% (cement) to 0.5% (aluminium) for every 1% rise in net cost. These are judgements from the literature; only cement matters.</w:t>
      </w:r>
    </w:p>
    <w:p>
      <w:pPr>
        <w:pStyle w:val="ListBullet"/>
        <w:spacing w:after="20"/>
      </w:pPr>
      <w:r>
        <w:t>Emission factors are estimates for Egypt’s plants, not measured plant data. Ammonia gas use, nitric acid N₂O control and aluminium PFC rates need checking.</w:t>
      </w:r>
    </w:p>
    <w:p>
      <w:pPr>
        <w:pStyle w:val="ListBullet"/>
        <w:spacing w:after="20"/>
      </w:pPr>
      <w:r>
        <w:t>Process clean-up rates come from global cost data, not Egyptian plant studies.</w:t>
      </w:r>
    </w:p>
    <w:p>
      <w:pPr>
        <w:pStyle w:val="ListBullet"/>
        <w:spacing w:after="20"/>
      </w:pPr>
      <w:r>
        <w:t>The industry-only scenarios (3A–3C) use a CPAT run that priced only 54% of industry. A full-coverage run is still needed.</w:t>
      </w:r>
    </w:p>
    <w:p>
      <w:pPr>
        <w:pStyle w:val="ListBullet"/>
        <w:spacing w:after="20"/>
      </w:pPr>
      <w:r>
        <w:t>There is no trade or leakage model, and no change in technology (e.g. carbon capture or hydrogen steel).</w:t>
      </w:r>
    </w:p>
    <w:p>
      <w:pPr>
        <w:pStyle w:val="ListBullet"/>
        <w:spacing w:after="20"/>
      </w:pPr>
      <w:r>
        <w:t>The CBAM-bill calculation is a working estimate awaiting confirmation by a colleague (Carolyn).</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Calibri" w:hAnsi="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