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c87b49dd073ee55251f50026c9aab586bafa06"/>
    <w:p>
      <w:pPr>
        <w:pStyle w:val="Heading1"/>
      </w:pPr>
      <w:r>
        <w:t xml:space="preserve">CPAT run EG3 with full industrial coverage: run specification and regeneration steps (v0.1)</w:t>
      </w:r>
    </w:p>
    <w:bookmarkStart w:id="9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The CPAT run behind scenarios 3A–3C (EG3) prices only 54% of industrial energy CO₂ (κ = 0.537; the effective carbon price in 2030 is USD 2.8/t against the headline USD 20/t). The methodology says aluminium and other manufacturing were not covered. The final Table 2 uses EG3 as run, so 3A–3C are lower bounds (coverage 14%). A run that prices all industry gives the intended scenario (</w:t>
      </w:r>
      <w:r>
        <w:t xml:space="preserve">“Energy CO₂ for all industry plus process emissions in CBAM sectors”</w:t>
      </w:r>
      <w:r>
        <w:t xml:space="preserve">).</w:t>
      </w:r>
    </w:p>
    <w:bookmarkEnd w:id="9"/>
    <w:bookmarkStart w:id="10" w:name="X58b98c17933b6c0a7826bbf60719bee8049d943"/>
    <w:p>
      <w:pPr>
        <w:pStyle w:val="Heading2"/>
      </w:pPr>
      <w:r>
        <w:t xml:space="preserve">Settings for the new run (CPAT</w:t>
      </w:r>
      <w:r>
        <w:t xml:space="preserve"> </w:t>
      </w:r>
      <w:r>
        <w:rPr>
          <w:rStyle w:val="VerbatimChar"/>
        </w:rPr>
        <w:t xml:space="preserve">MTInputs</w:t>
      </w:r>
      <w:r>
        <w:t xml:space="preserve"> </w:t>
      </w:r>
      <w:r>
        <w:t xml:space="preserve">/ Dashboard parameters)</w:t>
      </w:r>
    </w:p>
    <w:p>
      <w:pPr>
        <w:pStyle w:val="FirstParagraph"/>
      </w:pPr>
      <w:r>
        <w:t xml:space="preserve">Same as EG3 except the sector coverage. Parameter names are CPAT’s</w:t>
      </w:r>
      <w:r>
        <w:t xml:space="preserve"> </w:t>
      </w:r>
      <w:r>
        <w:rPr>
          <w:rStyle w:val="VerbatimChar"/>
        </w:rPr>
        <w:t xml:space="preserve">NameOfParameter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 pricing start year</w:t>
            </w:r>
            <w:r>
              <w:t xml:space="preserve"> </w:t>
            </w:r>
            <w:r>
              <w:rPr>
                <w:rStyle w:val="VerbatimChar"/>
              </w:rPr>
              <w:t xml:space="preserve">CPIntro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carbon price</w:t>
            </w:r>
            <w:r>
              <w:t xml:space="preserve"> </w:t>
            </w:r>
            <w:r>
              <w:rPr>
                <w:rStyle w:val="VerbatimChar"/>
              </w:rPr>
              <w:t xml:space="preserve">CPLevelStart</w:t>
            </w:r>
          </w:p>
        </w:tc>
        <w:tc>
          <w:tcPr/>
          <w:p>
            <w:pPr>
              <w:pStyle w:val="Compact"/>
            </w:pPr>
            <w:r>
              <w:t xml:space="preserve">USD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level</w:t>
            </w:r>
            <w:r>
              <w:t xml:space="preserve"> </w:t>
            </w:r>
            <w:r>
              <w:rPr>
                <w:rStyle w:val="VerbatimChar"/>
              </w:rPr>
              <w:t xml:space="preserve">CPLevelTarget</w:t>
            </w:r>
          </w:p>
        </w:tc>
        <w:tc>
          <w:tcPr/>
          <w:p>
            <w:pPr>
              <w:pStyle w:val="Compact"/>
            </w:pPr>
            <w:r>
              <w:t xml:space="preserve">USD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to reach target</w:t>
            </w:r>
            <w:r>
              <w:t xml:space="preserve"> </w:t>
            </w:r>
            <w:r>
              <w:rPr>
                <w:rStyle w:val="VerbatimChar"/>
              </w:rPr>
              <w:t xml:space="preserve">CPOutro</w:t>
            </w:r>
          </w:p>
        </w:tc>
        <w:tc>
          <w:tcPr/>
          <w:p>
            <w:pPr>
              <w:pStyle w:val="Compact"/>
            </w:pPr>
            <w:r>
              <w:t xml:space="preserve">2034 (USD 20 in 2030)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coverage</w:t>
            </w:r>
            <w:r>
              <w:t xml:space="preserve"> </w:t>
            </w:r>
            <w:r>
              <w:rPr>
                <w:rStyle w:val="VerbatimChar"/>
              </w:rPr>
              <w:t xml:space="preserve">MCovCoa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MCovNga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MCovGso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MCovDie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MCovLpg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MCovOop</w:t>
            </w:r>
          </w:p>
        </w:tc>
        <w:tc>
          <w:tcPr/>
          <w:p>
            <w:pPr>
              <w:pStyle w:val="Compact"/>
            </w:pPr>
            <w:r>
              <w:t xml:space="preserve">all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 coverage, industry:</w:t>
            </w:r>
            <w:r>
              <w:t xml:space="preserve"> </w:t>
            </w:r>
            <w:r>
              <w:rPr>
                <w:rStyle w:val="VerbatimChar"/>
              </w:rPr>
              <w:t xml:space="preserve">MCovMch</w:t>
            </w:r>
            <w:r>
              <w:t xml:space="preserve"> </w:t>
            </w:r>
            <w:r>
              <w:t xml:space="preserve">(mining &amp; chemicals),</w:t>
            </w:r>
            <w:r>
              <w:t xml:space="preserve"> </w:t>
            </w:r>
            <w:r>
              <w:rPr>
                <w:rStyle w:val="VerbatimChar"/>
              </w:rPr>
              <w:t xml:space="preserve">MCovIrn</w:t>
            </w:r>
            <w:r>
              <w:t xml:space="preserve"> </w:t>
            </w:r>
            <w:r>
              <w:t xml:space="preserve">(iron and steel),</w:t>
            </w:r>
            <w:r>
              <w:t xml:space="preserve"> </w:t>
            </w:r>
            <w:r>
              <w:rPr>
                <w:rStyle w:val="VerbatimChar"/>
              </w:rPr>
              <w:t xml:space="preserve">MCovNfm</w:t>
            </w:r>
            <w:r>
              <w:t xml:space="preserve"> </w:t>
            </w:r>
            <w:r>
              <w:t xml:space="preserve">(non-ferrous metals),</w:t>
            </w:r>
            <w:r>
              <w:t xml:space="preserve"> </w:t>
            </w:r>
            <w:r>
              <w:rPr>
                <w:rStyle w:val="VerbatimChar"/>
              </w:rPr>
              <w:t xml:space="preserve">MCovMac</w:t>
            </w:r>
            <w:r>
              <w:t xml:space="preserve"> </w:t>
            </w:r>
            <w:r>
              <w:t xml:space="preserve">(machinery),</w:t>
            </w:r>
            <w:r>
              <w:t xml:space="preserve"> </w:t>
            </w:r>
            <w:r>
              <w:rPr>
                <w:rStyle w:val="VerbatimChar"/>
              </w:rPr>
              <w:t xml:space="preserve">MCovCem</w:t>
            </w:r>
            <w:r>
              <w:t xml:space="preserve"> </w:t>
            </w:r>
            <w:r>
              <w:t xml:space="preserve">(cement),</w:t>
            </w:r>
            <w:r>
              <w:t xml:space="preserve"> </w:t>
            </w:r>
            <w:r>
              <w:rPr>
                <w:rStyle w:val="VerbatimChar"/>
              </w:rPr>
              <w:t xml:space="preserve">MCovOmn</w:t>
            </w:r>
            <w:r>
              <w:t xml:space="preserve"> </w:t>
            </w:r>
            <w:r>
              <w:t xml:space="preserve">(other manufacturing),</w:t>
            </w:r>
            <w:r>
              <w:t xml:space="preserve"> </w:t>
            </w:r>
            <w:r>
              <w:rPr>
                <w:rStyle w:val="VerbatimChar"/>
              </w:rPr>
              <w:t xml:space="preserve">MCovCst</w:t>
            </w:r>
            <w:r>
              <w:t xml:space="preserve"> </w:t>
            </w:r>
            <w:r>
              <w:t xml:space="preserve">(construction)</w:t>
            </w:r>
          </w:p>
        </w:tc>
        <w:tc>
          <w:tcPr/>
          <w:p>
            <w:pPr>
              <w:pStyle w:val="Compact"/>
            </w:pPr>
            <w:r>
              <w:t xml:space="preserve">all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 coverage, everything else:</w:t>
            </w:r>
            <w:r>
              <w:t xml:space="preserve"> </w:t>
            </w:r>
            <w:r>
              <w:rPr>
                <w:rStyle w:val="VerbatimChar"/>
              </w:rPr>
              <w:t xml:space="preserve">MCovPow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MCovAvi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MCovNav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MCovFoo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MCovSrv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MCovFtr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MCovOen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recycling</w:t>
            </w:r>
          </w:p>
        </w:tc>
        <w:tc>
          <w:tcPr/>
          <w:p>
            <w:pPr>
              <w:pStyle w:val="Compact"/>
            </w:pPr>
            <w:r>
              <w:t xml:space="preserve">as EG3 (households)</w:t>
            </w:r>
          </w:p>
        </w:tc>
      </w:tr>
    </w:tbl>
    <w:p>
      <w:pPr>
        <w:pStyle w:val="BodyText"/>
      </w:pPr>
      <w:r>
        <w:t xml:space="preserve">The existing EG3 sector switches are not recorded in this repository. Open the saved EG3 scenario and compare: the sectors that are False there (expected:</w:t>
      </w:r>
      <w:r>
        <w:t xml:space="preserve"> </w:t>
      </w:r>
      <w:r>
        <w:rPr>
          <w:rStyle w:val="VerbatimChar"/>
        </w:rPr>
        <w:t xml:space="preserve">MCovNfm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MCovOmn</w:t>
      </w:r>
      <w:r>
        <w:t xml:space="preserve">) are the gap.</w:t>
      </w:r>
    </w:p>
    <w:bookmarkEnd w:id="10"/>
    <w:bookmarkStart w:id="11" w:name="acceptance-check"/>
    <w:p>
      <w:pPr>
        <w:pStyle w:val="Heading2"/>
      </w:pPr>
      <w:r>
        <w:t xml:space="preserve">Acceptance check</w:t>
      </w:r>
    </w:p>
    <w:p>
      <w:pPr>
        <w:pStyle w:val="FirstParagraph"/>
      </w:pPr>
      <w:r>
        <w:t xml:space="preserve">After the run, in 2030: effective carbon tax trajectory</w:t>
      </w:r>
      <w:r>
        <w:t xml:space="preserve"> </w:t>
      </w:r>
      <w:r>
        <w:rPr>
          <w:rStyle w:val="VerbatimChar"/>
        </w:rPr>
        <w:t xml:space="preserve">egy.mit.eff.cptraj.2</w:t>
      </w:r>
      <w:r>
        <w:t xml:space="preserve"> </w:t>
      </w:r>
      <w:r>
        <w:t xml:space="preserve">≈ cptraj × (industry energy CO₂ ÷ total energy CO₂) = 20 × 88.97 ÷ 340.66 =</w:t>
      </w:r>
      <w:r>
        <w:t xml:space="preserve"> </w:t>
      </w:r>
      <w:r>
        <w:rPr>
          <w:b/>
          <w:bCs/>
        </w:rPr>
        <w:t xml:space="preserve">5.22</w:t>
      </w:r>
      <w:r>
        <w:t xml:space="preserve"> </w:t>
      </w:r>
      <w:r>
        <w:t xml:space="preserve">(it was 2.81). Equivalently κ = min(1, eff.cptraj ÷ cptraj × enr0 ÷ ind0) ≥ 0.99.</w:t>
      </w:r>
      <w:r>
        <w:t xml:space="preserve"> </w:t>
      </w:r>
      <w:r>
        <w:rPr>
          <w:rStyle w:val="VerbatimChar"/>
        </w:rPr>
        <w:t xml:space="preserve">python cpat_run_constants.py &lt;csv&gt;</w:t>
      </w:r>
      <w:r>
        <w:t xml:space="preserve"> </w:t>
      </w:r>
      <w:r>
        <w:t xml:space="preserve">prints κ.</w:t>
      </w:r>
    </w:p>
    <w:bookmarkEnd w:id="11"/>
    <w:bookmarkStart w:id="12" w:name="export"/>
    <w:p>
      <w:pPr>
        <w:pStyle w:val="Heading2"/>
      </w:pPr>
      <w:r>
        <w:t xml:space="preserve">Export</w:t>
      </w:r>
    </w:p>
    <w:p>
      <w:pPr>
        <w:pStyle w:val="FirstParagraph"/>
      </w:pPr>
      <w:r>
        <w:t xml:space="preserve">Export the same 32 CPAT output codes for run EG3 (years 2022–2041) and replace the EG3 rows in</w:t>
      </w:r>
      <w:r>
        <w:t xml:space="preserve"> </w:t>
      </w:r>
      <w:r>
        <w:rPr>
          <w:rStyle w:val="VerbatimChar"/>
        </w:rPr>
        <w:t xml:space="preserve">egypt/supporting/AdHocRebuild/cpat_outputs_egypt_2022_2041.csv</w:t>
      </w:r>
      <w:r>
        <w:t xml:space="preserve">. Do not change EG1, EG2 or EG4 (baselines must stay identical across runs). Keep the 128 keys and the column layout.</w:t>
      </w:r>
    </w:p>
    <w:bookmarkEnd w:id="12"/>
    <w:bookmarkStart w:id="13" w:name="regeneration-after-the-csv-is-replaced"/>
    <w:p>
      <w:pPr>
        <w:pStyle w:val="Heading2"/>
      </w:pPr>
      <w:r>
        <w:t xml:space="preserve">Regeneration (after the csv is replaced)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 cpat_run_constants.py</w:t>
      </w:r>
      <w:r>
        <w:t xml:space="preserve"> </w:t>
      </w:r>
      <w:r>
        <w:t xml:space="preserve">: κ ≈ 1; EG3 receipts, deaths, ΔGHG, ΔEnergy CO₂ listed.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 make_carveout_v0_6.py</w:t>
      </w:r>
      <w:r>
        <w:t xml:space="preserve"> </w:t>
      </w:r>
      <w:r>
        <w:t xml:space="preserve">: preview of the new final Table 2 (Python mirror; writes</w:t>
      </w:r>
      <w:r>
        <w:t xml:space="preserve"> </w:t>
      </w:r>
      <w:r>
        <w:rPr>
          <w:rStyle w:val="VerbatimChar"/>
        </w:rPr>
        <w:t xml:space="preserve">carveout_v1_7_results.json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Windows,</w:t>
      </w:r>
      <w:r>
        <w:t xml:space="preserve"> </w:t>
      </w:r>
      <w:r>
        <w:rPr>
          <w:rStyle w:val="VerbatimChar"/>
        </w:rPr>
        <w:t xml:space="preserve">egypt/supporting/AdHocRebuild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build_adhoc_rebuild_v0_5.py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 recalc_and_check_adhoc_v0_5.py</w:t>
      </w:r>
      <w:r>
        <w:t xml:space="preserve">. The builder reads the csv; with κ = 1 the 1/κ scaling switches itself off, so no setting change is needed.</w:t>
      </w:r>
    </w:p>
    <w:p>
      <w:pPr>
        <w:pStyle w:val="Compact"/>
        <w:numPr>
          <w:ilvl w:val="0"/>
          <w:numId w:val="1001"/>
        </w:numPr>
      </w:pPr>
      <w:r>
        <w:t xml:space="preserve">Windows,</w:t>
      </w:r>
      <w:r>
        <w:t xml:space="preserve"> </w:t>
      </w:r>
      <w:r>
        <w:rPr>
          <w:rStyle w:val="VerbatimChar"/>
        </w:rPr>
        <w:t xml:space="preserve">cpat_excel_new/standalone_working_version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build_v1_7.py</w:t>
      </w:r>
      <w:r>
        <w:t xml:space="preserve"> </w:t>
      </w:r>
      <w:r>
        <w:t xml:space="preserve">(refreshes</w:t>
      </w:r>
      <w:r>
        <w:t xml:space="preserve"> </w:t>
      </w:r>
      <w:r>
        <w:rPr>
          <w:rStyle w:val="VerbatimChar"/>
        </w:rPr>
        <w:t xml:space="preserve">CPAT_National</w:t>
      </w:r>
      <w:r>
        <w:t xml:space="preserve">, the stored snapshots and</w:t>
      </w:r>
      <w:r>
        <w:t xml:space="preserve"> </w:t>
      </w:r>
      <w:r>
        <w:rPr>
          <w:rStyle w:val="VerbatimChar"/>
        </w:rPr>
        <w:t xml:space="preserve">Table2_Final</w:t>
      </w:r>
      <w:r>
        <w:t xml:space="preserve">; saves only if the regression is clean).</w:t>
      </w:r>
    </w:p>
    <w:p>
      <w:pPr>
        <w:pStyle w:val="Compact"/>
        <w:numPr>
          <w:ilvl w:val="0"/>
          <w:numId w:val="1001"/>
        </w:numPr>
      </w:pPr>
      <w:r>
        <w:t xml:space="preserve">Regenerate the final documents from</w:t>
      </w:r>
      <w:r>
        <w:t xml:space="preserve"> </w:t>
      </w:r>
      <w:r>
        <w:rPr>
          <w:rStyle w:val="VerbatimChar"/>
        </w:rPr>
        <w:t xml:space="preserve">carveout_v1_7_results_live.json</w:t>
      </w:r>
      <w:r>
        <w:t xml:space="preserve">, then rewrite the statements that depend on the partial run (below). The generating scripts for v1.6 (</w:t>
      </w:r>
      <w:r>
        <w:rPr>
          <w:rStyle w:val="VerbatimChar"/>
        </w:rPr>
        <w:t xml:space="preserve">make_documents_v1_6.py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edit_methodology_v1_6.py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update_egypt_final_v1_6.py</w:t>
      </w:r>
      <w:r>
        <w:t xml:space="preserve">) are the template for v1.7.</w:t>
      </w:r>
    </w:p>
    <w:bookmarkEnd w:id="13"/>
    <w:bookmarkStart w:id="14" w:name="indicative-effect-before-the-run"/>
    <w:p>
      <w:pPr>
        <w:pStyle w:val="Heading2"/>
      </w:pPr>
      <w:r>
        <w:t xml:space="preserve">Indicative effect (before the run)</w:t>
      </w:r>
    </w:p>
    <w:p>
      <w:pPr>
        <w:pStyle w:val="FirstParagraph"/>
      </w:pPr>
      <w:r>
        <w:t xml:space="preserve">If the full-coverage run behaves like the 1/κ scaling used in the rebuild and the prototype, the final Table 2 would move as follows (2030; mirror on a synthetic EG3; the real run will differ):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3C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Emission cut, Mt: now (as run)</w:t>
            </w:r>
          </w:p>
        </w:tc>
        <w:tc>
          <w:tcPr/>
          <w:p>
            <w:pPr>
              <w:pStyle w:val="Compact"/>
            </w:pPr>
            <w:r>
              <w:t xml:space="preserve">−20.0</w:t>
            </w:r>
          </w:p>
        </w:tc>
        <w:tc>
          <w:tcPr/>
          <w:p>
            <w:pPr>
              <w:pStyle w:val="Compact"/>
            </w:pPr>
            <w:r>
              <w:t xml:space="preserve">−12.0</w:t>
            </w:r>
          </w:p>
        </w:tc>
        <w:tc>
          <w:tcPr/>
          <w:p>
            <w:pPr>
              <w:pStyle w:val="Compact"/>
            </w:pPr>
            <w:r>
              <w:t xml:space="preserve">−30.8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Emission cut, Mt: indicative full coverage</w:t>
            </w:r>
          </w:p>
        </w:tc>
        <w:tc>
          <w:tcPr/>
          <w:p>
            <w:pPr>
              <w:pStyle w:val="Compact"/>
            </w:pPr>
            <w:r>
              <w:t xml:space="preserve">−29.3</w:t>
            </w:r>
          </w:p>
        </w:tc>
        <w:tc>
          <w:tcPr/>
          <w:p>
            <w:pPr>
              <w:pStyle w:val="Compact"/>
            </w:pPr>
            <w:r>
              <w:t xml:space="preserve">−15.1</w:t>
            </w:r>
          </w:p>
        </w:tc>
        <w:tc>
          <w:tcPr/>
          <w:p>
            <w:pPr>
              <w:pStyle w:val="Compact"/>
            </w:pPr>
            <w:r>
              <w:t xml:space="preserve">−40.1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Revenue, USD bn: now / indicative</w:t>
            </w:r>
          </w:p>
        </w:tc>
        <w:tc>
          <w:tcPr/>
          <w:p>
            <w:pPr>
              <w:pStyle w:val="Compact"/>
            </w:pPr>
            <w:r>
              <w:t xml:space="preserve">1.6 / 2.4</w:t>
            </w:r>
          </w:p>
        </w:tc>
        <w:tc>
          <w:tcPr/>
          <w:p>
            <w:pPr>
              <w:pStyle w:val="Compact"/>
            </w:pPr>
            <w:r>
              <w:t xml:space="preserve">0.3 / 0.6</w:t>
            </w:r>
          </w:p>
        </w:tc>
        <w:tc>
          <w:tcPr/>
          <w:p>
            <w:pPr>
              <w:pStyle w:val="Compact"/>
            </w:pPr>
            <w:r>
              <w:t xml:space="preserve">0.4 /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avoided: now / indicative</w:t>
            </w:r>
          </w:p>
        </w:tc>
        <w:tc>
          <w:tcPr/>
          <w:p>
            <w:pPr>
              <w:pStyle w:val="Compact"/>
            </w:pPr>
            <w:r>
              <w:t xml:space="preserve">509 / 716</w:t>
            </w:r>
          </w:p>
        </w:tc>
        <w:tc>
          <w:tcPr/>
          <w:p>
            <w:pPr>
              <w:pStyle w:val="Compact"/>
            </w:pPr>
            <w:r>
              <w:t xml:space="preserve">330 / 399</w:t>
            </w:r>
          </w:p>
        </w:tc>
        <w:tc>
          <w:tcPr/>
          <w:p>
            <w:pPr>
              <w:pStyle w:val="Compact"/>
            </w:pPr>
            <w:r>
              <w:t xml:space="preserve">607 / 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Coverage, % of GHG: now / indicative</w:t>
            </w:r>
          </w:p>
        </w:tc>
        <w:tc>
          <w:tcPr/>
          <w:p>
            <w:pPr>
              <w:pStyle w:val="Compact"/>
            </w:pPr>
            <w:r>
              <w:t xml:space="preserve">13.9 / 20.8</w:t>
            </w:r>
          </w:p>
        </w:tc>
        <w:tc>
          <w:tcPr/>
          <w:p>
            <w:pPr>
              <w:pStyle w:val="Compact"/>
            </w:pPr>
            <w:r>
              <w:t xml:space="preserve">13.9 / 20.8</w:t>
            </w:r>
          </w:p>
        </w:tc>
        <w:tc>
          <w:tcPr/>
          <w:p>
            <w:pPr>
              <w:pStyle w:val="Compact"/>
            </w:pPr>
            <w:r>
              <w:t xml:space="preserve">13.9 / 20.8</w:t>
            </w:r>
          </w:p>
        </w:tc>
      </w:tr>
    </w:tbl>
    <w:p>
      <w:pPr>
        <w:pStyle w:val="BodyText"/>
      </w:pPr>
      <w:r>
        <w:t xml:space="preserve">1A, 2A and 2B do not change (EG1 and EG2 already price all energy).</w:t>
      </w:r>
    </w:p>
    <w:bookmarkEnd w:id="14"/>
    <w:bookmarkStart w:id="15" w:name="statements-to-rewrite-after-the-run"/>
    <w:p>
      <w:pPr>
        <w:pStyle w:val="Heading2"/>
      </w:pPr>
      <w:r>
        <w:t xml:space="preserve">Statements to rewrite after the run</w:t>
      </w:r>
    </w:p>
    <w:p>
      <w:pPr>
        <w:pStyle w:val="Compact"/>
        <w:numPr>
          <w:ilvl w:val="0"/>
          <w:numId w:val="1002"/>
        </w:numPr>
      </w:pPr>
      <w:r>
        <w:t xml:space="preserve">Final caveats F1 (</w:t>
      </w:r>
      <w:r>
        <w:t xml:space="preserve">“3A–3C use CPAT run EG3 as it was run… lower bounds… A true full-coverage EG3 CPAT run is still needed”</w:t>
      </w:r>
      <w:r>
        <w:t xml:space="preserve">) and caveat A1.</w:t>
      </w:r>
    </w:p>
    <w:p>
      <w:pPr>
        <w:pStyle w:val="Compact"/>
        <w:numPr>
          <w:ilvl w:val="0"/>
          <w:numId w:val="1002"/>
        </w:numPr>
      </w:pPr>
      <w:r>
        <w:t xml:space="preserve">Methodology 4.7 (</w:t>
      </w:r>
      <w:r>
        <w:t xml:space="preserve">“EG3 prices 54% … no scaling to full coverage”</w:t>
      </w:r>
      <w:r>
        <w:t xml:space="preserve">;</w:t>
      </w:r>
      <w:r>
        <w:t xml:space="preserve"> </w:t>
      </w:r>
      <w:r>
        <w:t xml:space="preserve">“κ × industry”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Carve-out note:</w:t>
      </w:r>
      <w:r>
        <w:t xml:space="preserve"> </w:t>
      </w:r>
      <w:r>
        <w:t xml:space="preserve">“Why 3A–3C are low”</w:t>
      </w:r>
      <w:r>
        <w:t xml:space="preserve">,</w:t>
      </w:r>
      <w:r>
        <w:t xml:space="preserve"> </w:t>
      </w:r>
      <w:r>
        <w:t xml:space="preserve">“Runs”</w:t>
      </w:r>
      <w:r>
        <w:t xml:space="preserve">,</w:t>
      </w:r>
      <w:r>
        <w:t xml:space="preserve"> </w:t>
      </w:r>
      <w:r>
        <w:t xml:space="preserve">“Coverage J”</w:t>
      </w:r>
      <w:r>
        <w:t xml:space="preserve">, header sentence.</w:t>
      </w:r>
    </w:p>
    <w:p>
      <w:pPr>
        <w:pStyle w:val="Compact"/>
        <w:numPr>
          <w:ilvl w:val="0"/>
          <w:numId w:val="1002"/>
        </w:numPr>
      </w:pPr>
      <w:r>
        <w:t xml:space="preserve">Results text:</w:t>
      </w:r>
      <w:r>
        <w:t xml:space="preserve"> </w:t>
      </w:r>
      <w:r>
        <w:t xml:space="preserve">“only about half of industrial energy-related CO₂ is priced, which is why coverage is 14% rather than about 21%”</w:t>
      </w:r>
      <w:r>
        <w:t xml:space="preserve">; 3A–3C figures and the ranking sentences.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egypt-final/</w:t>
      </w:r>
      <w:r>
        <w:t xml:space="preserve"> </w:t>
      </w:r>
      <w:r>
        <w:t xml:space="preserve">summary, results table and methodology (the</w:t>
      </w:r>
      <w:r>
        <w:t xml:space="preserve"> </w:t>
      </w:r>
      <w:r>
        <w:t xml:space="preserve">“54%”</w:t>
      </w:r>
      <w:r>
        <w:t xml:space="preserve"> </w:t>
      </w:r>
      <w:r>
        <w:t xml:space="preserve">limit and the footnotes).</w:t>
      </w:r>
    </w:p>
    <w:p>
      <w:pPr>
        <w:pStyle w:val="Compact"/>
        <w:numPr>
          <w:ilvl w:val="0"/>
          <w:numId w:val="1002"/>
        </w:numPr>
      </w:pPr>
      <w:r>
        <w:t xml:space="preserve">3B rule: the +7.2 Mt and USD 0.33bn figures (they use κ).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2026-10-04T17:24:24Z</dcterms:created>
  <dcterms:modified xsi:type="dcterms:W3CDTF">2026-10-04T17:24:24Z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