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How the change in CBAM obligations is calculated (v1.6)</w:t>
      </w:r>
    </w:p>
    <w:p>
      <w:pPr>
        <w:pStyle w:val="Author"/>
      </w:pPr>
      <w:r>
        <w:t xml:space="preserve">Stephen Stretton</w:t>
      </w:r>
    </w:p>
    <w:p>
      <w:pPr>
        <w:pStyle w:val="FirstParagraph"/>
      </w:pPr>
      <w:r>
        <w:t xml:space="preserve">The CBAM obligation is what Egyptian exporters of steel, cement, fertilisers and aluminium would pay at the EU border for the emissions embedded in their exports. Table 2 reports the change in this obligation per tonne exported in 2030, relative to a baseline without an Egyptian carbon price. The EU export mix, export volumes and the EU carbon price are held fixed, so the figure reflects only the change in the emissions embedded in each tonne exported.</w:t>
      </w:r>
    </w:p>
    <w:p>
      <w:pPr>
        <w:pStyle w:val="BodyText"/>
      </w:pPr>
      <w:r>
        <w:rPr>
          <w:b/>
          <w:bCs/>
        </w:rPr>
        <w:t xml:space="preserve">Obligation per tonne.</w:t>
      </w:r>
      <w:r>
        <w:t xml:space="preserve"> </w:t>
      </w:r>
      <w:r>
        <w:t xml:space="preserve">For each CBAM product</w:t>
      </w:r>
      <w:r>
        <w:t xml:space="preserve"> </w:t>
      </w:r>
      <m:oMath>
        <m:r>
          <m:t>i</m:t>
        </m:r>
      </m:oMath>
      <w:r>
        <w:t xml:space="preserve">:</w:t>
      </w:r>
    </w:p>
    <w:p>
      <w:pPr>
        <w:pStyle w:val="BodyText"/>
      </w:pPr>
      <m:oMathPara>
        <m:oMathParaPr>
          <m:jc m:val="center"/>
        </m:oMathParaPr>
        <m:oMath>
          <m:sSub>
            <m:e>
              <m:r>
                <m:rPr>
                  <m:nor/>
                  <m:sty m:val="p"/>
                </m:rPr>
                <m:t>obl</m:t>
              </m:r>
            </m:e>
            <m:sub>
              <m:r>
                <m:t>i</m:t>
              </m:r>
            </m:sub>
          </m:sSub>
          <m:r>
            <m:rPr>
              <m:sty m:val="p"/>
            </m:rPr>
            <m:t>=</m:t>
          </m:r>
          <m:r>
            <m:rPr>
              <m:nor/>
              <m:sty m:val="p"/>
            </m:rPr>
            <m:t>CBF</m:t>
          </m:r>
          <m:r>
            <m:rPr>
              <m:sty m:val="p"/>
            </m:rPr>
            <m:t>⋅</m:t>
          </m:r>
          <m:sSub>
            <m:e>
              <m:r>
                <m:t>P</m:t>
              </m:r>
            </m:e>
            <m:sub>
              <m:r>
                <m:t>E</m:t>
              </m:r>
              <m:r>
                <m:t>U</m:t>
              </m:r>
            </m:sub>
          </m:sSub>
          <m:r>
            <m:rPr>
              <m:sty m:val="p"/>
            </m:rPr>
            <m:t>⋅</m:t>
          </m:r>
          <m:r>
            <m:t>E</m:t>
          </m:r>
          <m:sSub>
            <m:e>
              <m:r>
                <m:t>I</m:t>
              </m:r>
            </m:e>
            <m:sub>
              <m:r>
                <m:t>i</m:t>
              </m:r>
            </m:sub>
          </m:sSub>
        </m:oMath>
      </m:oMathPara>
    </w:p>
    <w:p>
      <w:pPr>
        <w:pStyle w:val="FirstParagraph"/>
      </w:pPr>
      <w:r>
        <w:t xml:space="preserve">where:</w:t>
      </w:r>
    </w:p>
    <w:p>
      <w:pPr>
        <w:pStyle w:val="Compact"/>
        <w:numPr>
          <w:ilvl w:val="0"/>
          <w:numId w:val="1001"/>
        </w:numPr>
      </w:pPr>
      <m:oMath>
        <m:sSub>
          <m:e>
            <m:r>
              <m:t>P</m:t>
            </m:r>
          </m:e>
          <m:sub>
            <m:r>
              <m:t>E</m:t>
            </m:r>
            <m:r>
              <m:t>U</m:t>
            </m:r>
          </m:sub>
        </m:sSub>
      </m:oMath>
      <w:r>
        <w:t xml:space="preserve"> </w:t>
      </w:r>
      <w:r>
        <w:t xml:space="preserve">is the EU allowance price;</w:t>
      </w:r>
    </w:p>
    <w:p>
      <w:pPr>
        <w:pStyle w:val="Compact"/>
        <w:numPr>
          <w:ilvl w:val="0"/>
          <w:numId w:val="1001"/>
        </w:numPr>
      </w:pPr>
      <m:oMath>
        <m:r>
          <m:rPr>
            <m:nor/>
            <m:sty m:val="p"/>
          </m:rPr>
          <m:t>CBF</m:t>
        </m:r>
      </m:oMath>
      <w:r>
        <w:t xml:space="preserve"> </w:t>
      </w:r>
      <w:r>
        <w:t xml:space="preserve">is the share of embedded emissions charged by the EU CBAM in the reporting year (48.5% in 2030);</w:t>
      </w:r>
    </w:p>
    <w:p>
      <w:pPr>
        <w:pStyle w:val="Compact"/>
        <w:numPr>
          <w:ilvl w:val="0"/>
          <w:numId w:val="1001"/>
        </w:numPr>
      </w:pPr>
      <m:oMath>
        <m:r>
          <m:t>E</m:t>
        </m:r>
        <m:sSub>
          <m:e>
            <m:r>
              <m:t>I</m:t>
            </m:r>
          </m:e>
          <m:sub>
            <m:r>
              <m:t>i</m:t>
            </m:r>
          </m:sub>
        </m:sSub>
      </m:oMath>
      <w:r>
        <w:t xml:space="preserve"> </w:t>
      </w:r>
      <w:r>
        <w:t xml:space="preserve">is embedded emissions per tonne of product (fuel plus process).</w:t>
      </w:r>
    </w:p>
    <w:p>
      <w:pPr>
        <w:pStyle w:val="FirstParagraph"/>
      </w:pPr>
      <w:r>
        <w:rPr>
          <w:b/>
          <w:bCs/>
        </w:rPr>
        <w:t xml:space="preserve">Reported change.</w:t>
      </w:r>
      <w:r>
        <w:t xml:space="preserve"> </w:t>
      </w:r>
      <w:r>
        <w:t xml:space="preserve">The change is weighted by base-year (2024) EU exports</w:t>
      </w:r>
      <w:r>
        <w:t xml:space="preserve"> </w:t>
      </w:r>
      <m:oMath>
        <m:sSub>
          <m:e>
            <m:r>
              <m:t>X</m:t>
            </m:r>
          </m:e>
          <m:sub>
            <m:r>
              <m:t>i</m:t>
            </m:r>
          </m:sub>
        </m:sSub>
      </m:oMath>
      <w:r>
        <w:t xml:space="preserve">:</w:t>
      </w:r>
    </w:p>
    <w:p>
      <w:pPr>
        <w:pStyle w:val="BodyText"/>
      </w:pPr>
      <m:oMathPara>
        <m:oMathParaPr>
          <m:jc m:val="center"/>
        </m:oMathParaPr>
        <m:oMath>
          <m:r>
            <m:t>O</m:t>
          </m:r>
          <m:r>
            <m:t> </m:t>
          </m:r>
          <m:r>
            <m:rPr>
              <m:sty m:val="p"/>
            </m:rPr>
            <m:t>=</m:t>
          </m:r>
          <m:r>
            <m:t> </m:t>
          </m:r>
          <m:f>
            <m:fPr>
              <m:type m:val="bar"/>
            </m:fPr>
            <m:num>
              <m:nary>
                <m:naryPr>
                  <m:chr m:val="∑"/>
                  <m:limLoc m:val="undOvr"/>
                  <m:subHide m:val="off"/>
                  <m:supHide m:val="on"/>
                </m:naryPr>
                <m:sub>
                  <m:r>
                    <m:t>i</m:t>
                  </m:r>
                </m:sub>
                <m:sup>
                  <m:r>
                    <m:t>​</m:t>
                  </m:r>
                </m:sup>
                <m:e>
                  <m:sSub>
                    <m:e>
                      <m:r>
                        <m:t>X</m:t>
                      </m:r>
                    </m:e>
                    <m:sub>
                      <m:r>
                        <m:t>i</m:t>
                      </m:r>
                    </m:sub>
                  </m:sSub>
                </m:e>
              </m:nary>
              <m:r>
                <m:t> </m:t>
              </m:r>
              <m:sSubSup>
                <m:e>
                  <m:r>
                    <m:rPr>
                      <m:nor/>
                      <m:sty m:val="p"/>
                    </m:rPr>
                    <m:t>obl</m:t>
                  </m:r>
                </m:e>
                <m:sub>
                  <m:r>
                    <m:t>i</m:t>
                  </m:r>
                </m:sub>
                <m:sup>
                  <m:r>
                    <m:t> </m:t>
                  </m:r>
                  <m:r>
                    <m:t>p</m:t>
                  </m:r>
                  <m:r>
                    <m:t>o</m:t>
                  </m:r>
                  <m:r>
                    <m:t>l</m:t>
                  </m:r>
                  <m:r>
                    <m:t>i</m:t>
                  </m:r>
                  <m:r>
                    <m:t>c</m:t>
                  </m:r>
                  <m:r>
                    <m:t>y</m:t>
                  </m:r>
                </m:sup>
              </m:sSubSup>
            </m:num>
            <m:den>
              <m:nary>
                <m:naryPr>
                  <m:chr m:val="∑"/>
                  <m:limLoc m:val="undOvr"/>
                  <m:subHide m:val="off"/>
                  <m:supHide m:val="on"/>
                </m:naryPr>
                <m:sub>
                  <m:r>
                    <m:t>i</m:t>
                  </m:r>
                </m:sub>
                <m:sup>
                  <m:r>
                    <m:t>​</m:t>
                  </m:r>
                </m:sup>
                <m:e>
                  <m:sSub>
                    <m:e>
                      <m:r>
                        <m:t>X</m:t>
                      </m:r>
                    </m:e>
                    <m:sub>
                      <m:r>
                        <m:t>i</m:t>
                      </m:r>
                    </m:sub>
                  </m:sSub>
                </m:e>
              </m:nary>
              <m:r>
                <m:t> </m:t>
              </m:r>
              <m:sSubSup>
                <m:e>
                  <m:r>
                    <m:rPr>
                      <m:nor/>
                      <m:sty m:val="p"/>
                    </m:rPr>
                    <m:t>obl</m:t>
                  </m:r>
                </m:e>
                <m:sub>
                  <m:r>
                    <m:t>i</m:t>
                  </m:r>
                </m:sub>
                <m:sup>
                  <m:r>
                    <m:t> </m:t>
                  </m:r>
                  <m:r>
                    <m:t>b</m:t>
                  </m:r>
                  <m:r>
                    <m:t>a</m:t>
                  </m:r>
                  <m:r>
                    <m:t>s</m:t>
                  </m:r>
                  <m:r>
                    <m:t>e</m:t>
                  </m:r>
                </m:sup>
              </m:sSubSup>
            </m:den>
          </m:f>
          <m:r>
            <m:rPr>
              <m:sty m:val="p"/>
            </m:rPr>
            <m:t>−</m:t>
          </m:r>
          <m:r>
            <m:t>1</m:t>
          </m:r>
          <m:r>
            <m:t> </m:t>
          </m:r>
          <m:r>
            <m:rPr>
              <m:sty m:val="p"/>
            </m:rPr>
            <m:t>=</m:t>
          </m:r>
          <m:r>
            <m:t> </m:t>
          </m:r>
          <m:f>
            <m:fPr>
              <m:type m:val="bar"/>
            </m:fPr>
            <m:num>
              <m:nary>
                <m:naryPr>
                  <m:chr m:val="∑"/>
                  <m:limLoc m:val="undOvr"/>
                  <m:subHide m:val="off"/>
                  <m:supHide m:val="on"/>
                </m:naryPr>
                <m:sub>
                  <m:r>
                    <m:t>i</m:t>
                  </m:r>
                </m:sub>
                <m:sup>
                  <m:r>
                    <m:t>​</m:t>
                  </m:r>
                </m:sup>
                <m:e>
                  <m:sSub>
                    <m:e>
                      <m:r>
                        <m:t>X</m:t>
                      </m:r>
                    </m:e>
                    <m:sub>
                      <m:r>
                        <m:t>i</m:t>
                      </m:r>
                    </m:sub>
                  </m:sSub>
                </m:e>
              </m:nary>
              <m:r>
                <m:t> </m:t>
              </m:r>
              <m:r>
                <m:t>E</m:t>
              </m:r>
              <m:sSubSup>
                <m:e>
                  <m:r>
                    <m:t>I</m:t>
                  </m:r>
                </m:e>
                <m:sub>
                  <m:r>
                    <m:t>i</m:t>
                  </m:r>
                </m:sub>
                <m:sup>
                  <m:r>
                    <m:t> </m:t>
                  </m:r>
                  <m:r>
                    <m:t>p</m:t>
                  </m:r>
                  <m:r>
                    <m:t>o</m:t>
                  </m:r>
                  <m:r>
                    <m:t>l</m:t>
                  </m:r>
                  <m:r>
                    <m:t>i</m:t>
                  </m:r>
                  <m:r>
                    <m:t>c</m:t>
                  </m:r>
                  <m:r>
                    <m:t>y</m:t>
                  </m:r>
                </m:sup>
              </m:sSubSup>
            </m:num>
            <m:den>
              <m:nary>
                <m:naryPr>
                  <m:chr m:val="∑"/>
                  <m:limLoc m:val="undOvr"/>
                  <m:subHide m:val="off"/>
                  <m:supHide m:val="on"/>
                </m:naryPr>
                <m:sub>
                  <m:r>
                    <m:t>i</m:t>
                  </m:r>
                </m:sub>
                <m:sup>
                  <m:r>
                    <m:t>​</m:t>
                  </m:r>
                </m:sup>
                <m:e>
                  <m:sSub>
                    <m:e>
                      <m:r>
                        <m:t>X</m:t>
                      </m:r>
                    </m:e>
                    <m:sub>
                      <m:r>
                        <m:t>i</m:t>
                      </m:r>
                    </m:sub>
                  </m:sSub>
                </m:e>
              </m:nary>
              <m:r>
                <m:t> </m:t>
              </m:r>
              <m:r>
                <m:t>E</m:t>
              </m:r>
              <m:sSubSup>
                <m:e>
                  <m:r>
                    <m:t>I</m:t>
                  </m:r>
                </m:e>
                <m:sub>
                  <m:r>
                    <m:t>i</m:t>
                  </m:r>
                </m:sub>
                <m:sup>
                  <m:r>
                    <m:t> </m:t>
                  </m:r>
                  <m:r>
                    <m:t>b</m:t>
                  </m:r>
                  <m:r>
                    <m:t>a</m:t>
                  </m:r>
                  <m:r>
                    <m:t>s</m:t>
                  </m:r>
                  <m:r>
                    <m:t>e</m:t>
                  </m:r>
                </m:sup>
              </m:sSubSup>
            </m:den>
          </m:f>
          <m:r>
            <m:rPr>
              <m:sty m:val="p"/>
            </m:rPr>
            <m:t>−</m:t>
          </m:r>
          <m:r>
            <m:t>1</m:t>
          </m:r>
        </m:oMath>
      </m:oMathPara>
    </w:p>
    <w:p>
      <w:pPr>
        <w:pStyle w:val="FirstParagraph"/>
      </w:pPr>
      <m:oMath>
        <m:sSub>
          <m:e>
            <m:r>
              <m:t>P</m:t>
            </m:r>
          </m:e>
          <m:sub>
            <m:r>
              <m:t>E</m:t>
            </m:r>
            <m:r>
              <m:t>U</m:t>
            </m:r>
          </m:sub>
        </m:sSub>
      </m:oMath>
      <w:r>
        <w:t xml:space="preserve"> </w:t>
      </w:r>
      <w:r>
        <w:t xml:space="preserve">and</w:t>
      </w:r>
      <w:r>
        <w:t xml:space="preserve"> </w:t>
      </w:r>
      <m:oMath>
        <m:r>
          <m:rPr>
            <m:nor/>
            <m:sty m:val="p"/>
          </m:rPr>
          <m:t>CBF</m:t>
        </m:r>
      </m:oMath>
      <w:r>
        <w:t xml:space="preserve"> </w:t>
      </w:r>
      <w:r>
        <w:t xml:space="preserve">cancel, so the result does not depend on the EU price or the phase-in schedule.</w:t>
      </w:r>
    </w:p>
    <w:p>
      <w:pPr>
        <w:pStyle w:val="BodyText"/>
      </w:pPr>
      <w:r>
        <w:rPr>
          <w:b/>
          <w:bCs/>
        </w:rPr>
        <w:t xml:space="preserve">Policy intensity.</w:t>
      </w:r>
      <w:r>
        <w:t xml:space="preserve"> </w:t>
      </w:r>
      <w:r>
        <w:t xml:space="preserve">For each product:</w:t>
      </w:r>
    </w:p>
    <w:p>
      <w:pPr>
        <w:pStyle w:val="BodyText"/>
      </w:pPr>
      <m:oMathPara>
        <m:oMathParaPr>
          <m:jc m:val="center"/>
        </m:oMathParaPr>
        <m:oMath>
          <m:r>
            <m:t>E</m:t>
          </m:r>
          <m:sSubSup>
            <m:e>
              <m:r>
                <m:t>I</m:t>
              </m:r>
            </m:e>
            <m:sub>
              <m:r>
                <m:t>i</m:t>
              </m:r>
            </m:sub>
            <m:sup>
              <m:r>
                <m:t> </m:t>
              </m:r>
              <m:r>
                <m:t>p</m:t>
              </m:r>
              <m:r>
                <m:t>o</m:t>
              </m:r>
              <m:r>
                <m:t>l</m:t>
              </m:r>
              <m:r>
                <m:t>i</m:t>
              </m:r>
              <m:r>
                <m:t>c</m:t>
              </m:r>
              <m:r>
                <m:t>y</m:t>
              </m:r>
            </m:sup>
          </m:sSubSup>
          <m:r>
            <m:rPr>
              <m:sty m:val="p"/>
            </m:rPr>
            <m:t>=</m:t>
          </m:r>
          <m:sSubSup>
            <m:e>
              <m:r>
                <m:t>F</m:t>
              </m:r>
            </m:e>
            <m:sub>
              <m:r>
                <m:t>i</m:t>
              </m:r>
            </m:sub>
            <m:sup>
              <m:r>
                <m:t> </m:t>
              </m:r>
              <m:r>
                <m:t>0</m:t>
              </m:r>
            </m:sup>
          </m:sSubSup>
          <m:r>
            <m:t> </m:t>
          </m:r>
          <m:r>
            <m:rPr>
              <m:sty m:val="p"/>
            </m:rPr>
            <m:t>(</m:t>
          </m:r>
          <m:r>
            <m:t>1</m:t>
          </m:r>
          <m:r>
            <m:rPr>
              <m:sty m:val="p"/>
            </m:rPr>
            <m:t>+</m:t>
          </m:r>
          <m:sSub>
            <m:e>
              <m:r>
                <m:t>i</m:t>
              </m:r>
            </m:e>
            <m:sub>
              <m:r>
                <m:t>f</m:t>
              </m:r>
            </m:sub>
          </m:sSub>
          <m:r>
            <m:rPr>
              <m:sty m:val="p"/>
            </m:rPr>
            <m:t>)</m:t>
          </m:r>
          <m:r>
            <m:rPr>
              <m:sty m:val="p"/>
            </m:rPr>
            <m:t>+</m:t>
          </m:r>
          <m:f>
            <m:fPr>
              <m:type m:val="bar"/>
            </m:fPr>
            <m:num>
              <m:r>
                <m:t>1000</m:t>
              </m:r>
              <m:r>
                <m:t> </m:t>
              </m:r>
              <m:r>
                <m:rPr>
                  <m:sty m:val="p"/>
                </m:rPr>
                <m:t>Δ</m:t>
              </m:r>
              <m:sSubSup>
                <m:e>
                  <m:r>
                    <m:t>F</m:t>
                  </m:r>
                </m:e>
                <m:sub>
                  <m:r>
                    <m:t>i</m:t>
                  </m:r>
                </m:sub>
                <m:sup>
                  <m:r>
                    <m:t> </m:t>
                  </m:r>
                  <m:r>
                    <m:t>a</m:t>
                  </m:r>
                  <m:r>
                    <m:t>b</m:t>
                  </m:r>
                  <m:r>
                    <m:t>a</m:t>
                  </m:r>
                  <m:r>
                    <m:t>t</m:t>
                  </m:r>
                  <m:r>
                    <m:t>e</m:t>
                  </m:r>
                </m:sup>
              </m:sSubSup>
            </m:num>
            <m:den>
              <m:sSub>
                <m:e>
                  <m:r>
                    <m:t>Q</m:t>
                  </m:r>
                </m:e>
                <m:sub>
                  <m:r>
                    <m:t>i</m:t>
                  </m:r>
                </m:sub>
              </m:sSub>
            </m:den>
          </m:f>
          <m:r>
            <m:rPr>
              <m:sty m:val="p"/>
            </m:rPr>
            <m:t>+</m:t>
          </m:r>
          <m:f>
            <m:fPr>
              <m:type m:val="bar"/>
            </m:fPr>
            <m:num>
              <m:r>
                <m:t>1000</m:t>
              </m:r>
              <m:r>
                <m:t> </m:t>
              </m:r>
              <m:r>
                <m:rPr>
                  <m:sty m:val="p"/>
                </m:rPr>
                <m:t>(</m:t>
              </m:r>
              <m:sSub>
                <m:e>
                  <m:r>
                    <m:t>P</m:t>
                  </m:r>
                </m:e>
                <m:sub>
                  <m:r>
                    <m:t>i</m:t>
                  </m:r>
                </m:sub>
              </m:sSub>
              <m:r>
                <m:rPr>
                  <m:sty m:val="p"/>
                </m:rPr>
                <m:t>+</m:t>
              </m:r>
              <m:r>
                <m:rPr>
                  <m:sty m:val="p"/>
                </m:rPr>
                <m:t>Δ</m:t>
              </m:r>
              <m:sSub>
                <m:e>
                  <m:r>
                    <m:t>P</m:t>
                  </m:r>
                </m:e>
                <m:sub>
                  <m:r>
                    <m:t>i</m:t>
                  </m:r>
                </m:sub>
              </m:sSub>
              <m:r>
                <m:rPr>
                  <m:sty m:val="p"/>
                </m:rPr>
                <m:t>)</m:t>
              </m:r>
            </m:num>
            <m:den>
              <m:sSub>
                <m:e>
                  <m:r>
                    <m:t>Q</m:t>
                  </m:r>
                </m:e>
                <m:sub>
                  <m:r>
                    <m:t>i</m:t>
                  </m:r>
                </m:sub>
              </m:sSub>
            </m:den>
          </m:f>
        </m:oMath>
      </m:oMathPara>
    </w:p>
    <w:p>
      <w:pPr>
        <w:pStyle w:val="FirstParagraph"/>
      </w:pPr>
      <w:r>
        <w:t xml:space="preserve">where</w:t>
      </w:r>
      <w:r>
        <w:t xml:space="preserve"> </w:t>
      </w:r>
      <m:oMath>
        <m:sSubSup>
          <m:e>
            <m:r>
              <m:t>F</m:t>
            </m:r>
          </m:e>
          <m:sub>
            <m:r>
              <m:t>i</m:t>
            </m:r>
          </m:sub>
          <m:sup>
            <m:r>
              <m:t> </m:t>
            </m:r>
            <m:r>
              <m:t>0</m:t>
            </m:r>
          </m:sup>
        </m:sSubSup>
      </m:oMath>
      <w:r>
        <w:t xml:space="preserve"> </w:t>
      </w:r>
      <w:r>
        <w:t xml:space="preserve">is baseline fuel emissions per tonne,</w:t>
      </w:r>
      <w:r>
        <w:t xml:space="preserve"> </w:t>
      </w:r>
      <m:oMath>
        <m:sSub>
          <m:e>
            <m:r>
              <m:t>i</m:t>
            </m:r>
          </m:e>
          <m:sub>
            <m:r>
              <m:t>f</m:t>
            </m:r>
          </m:sub>
        </m:sSub>
      </m:oMath>
      <w:r>
        <w:t xml:space="preserve"> </w:t>
      </w:r>
      <w:r>
        <w:t xml:space="preserve">is CPAT’s fuel-intensity response,</w:t>
      </w:r>
      <w:r>
        <w:t xml:space="preserve"> </w:t>
      </w:r>
      <m:oMath>
        <m:r>
          <m:rPr>
            <m:sty m:val="p"/>
          </m:rPr>
          <m:t>Δ</m:t>
        </m:r>
        <m:sSubSup>
          <m:e>
            <m:r>
              <m:t>F</m:t>
            </m:r>
          </m:e>
          <m:sub>
            <m:r>
              <m:t>i</m:t>
            </m:r>
          </m:sub>
          <m:sup>
            <m:r>
              <m:t> </m:t>
            </m:r>
            <m:r>
              <m:t>a</m:t>
            </m:r>
            <m:r>
              <m:t>b</m:t>
            </m:r>
            <m:r>
              <m:t>a</m:t>
            </m:r>
            <m:r>
              <m:t>t</m:t>
            </m:r>
            <m:r>
              <m:t>e</m:t>
            </m:r>
          </m:sup>
        </m:sSubSup>
      </m:oMath>
      <w:r>
        <w:t xml:space="preserve"> </w:t>
      </w:r>
      <w:r>
        <w:t xml:space="preserve">is the additional fuel abatement funded in 3C,</w:t>
      </w:r>
      <w:r>
        <w:t xml:space="preserve"> </w:t>
      </w:r>
      <m:oMath>
        <m:sSub>
          <m:e>
            <m:r>
              <m:t>P</m:t>
            </m:r>
          </m:e>
          <m:sub>
            <m:r>
              <m:t>i</m:t>
            </m:r>
          </m:sub>
        </m:sSub>
      </m:oMath>
      <w:r>
        <w:t xml:space="preserve"> </w:t>
      </w:r>
      <w:r>
        <w:t xml:space="preserve">and</w:t>
      </w:r>
      <w:r>
        <w:t xml:space="preserve"> </w:t>
      </w:r>
      <m:oMath>
        <m:r>
          <m:rPr>
            <m:sty m:val="p"/>
          </m:rPr>
          <m:t>Δ</m:t>
        </m:r>
        <m:sSub>
          <m:e>
            <m:r>
              <m:t>P</m:t>
            </m:r>
          </m:e>
          <m:sub>
            <m:r>
              <m:t>i</m:t>
            </m:r>
          </m:sub>
        </m:sSub>
      </m:oMath>
      <w:r>
        <w:t xml:space="preserve"> </w:t>
      </w:r>
      <w:r>
        <w:t xml:space="preserve">are process emissions and their change (Mt), and</w:t>
      </w:r>
      <w:r>
        <w:t xml:space="preserve"> </w:t>
      </w:r>
      <m:oMath>
        <m:sSub>
          <m:e>
            <m:r>
              <m:t>Q</m:t>
            </m:r>
          </m:e>
          <m:sub>
            <m:r>
              <m:t>i</m:t>
            </m:r>
          </m:sub>
        </m:sSub>
      </m:oMath>
      <w:r>
        <w:t xml:space="preserve"> </w:t>
      </w:r>
      <w:r>
        <w:t xml:space="preserve">is output (kt).</w:t>
      </w:r>
    </w:p>
    <w:p>
      <w:pPr>
        <w:pStyle w:val="BodyText"/>
      </w:pPr>
      <w:r>
        <w:rPr>
          <w:b/>
          <w:bCs/>
        </w:rPr>
        <w:t xml:space="preserve">Treatment of the domestic carbon price.</w:t>
      </w:r>
      <w:r>
        <w:t xml:space="preserve"> </w:t>
      </w:r>
      <w:r>
        <w:t xml:space="preserve">No deduction for the carbon price paid in Egypt is applied. The headline therefore measures the change in exposure driven by lower emissions intensity, consistent across all scenarios and independent of the assumed EU price and phase-in path. Deduction-based variants are kept in the kernel workbook as memo items only, under one naming: FULL (2030 phase-in, CBAM factor 0.485) and NOPHASE (no phase-in, CBAM factor 1).</w:t>
      </w:r>
    </w:p>
    <w:p>
      <w:pPr>
        <w:pStyle w:val="BodyText"/>
      </w:pPr>
      <w:r>
        <w:rPr>
          <w:b/>
          <w:bCs/>
        </w:rPr>
        <w:t xml:space="preserve">Why the scenarios differ:</w:t>
      </w:r>
    </w:p>
    <w:p>
      <w:pPr>
        <w:pStyle w:val="Compact"/>
        <w:numPr>
          <w:ilvl w:val="0"/>
          <w:numId w:val="1002"/>
        </w:numPr>
      </w:pPr>
      <w:r>
        <w:rPr>
          <w:b/>
          <w:bCs/>
        </w:rPr>
        <w:t xml:space="preserve">1A, 3A, 3B:</w:t>
      </w:r>
      <w:r>
        <w:t xml:space="preserve"> </w:t>
      </w:r>
      <w:r>
        <w:t xml:space="preserve">fuel and process emissions are both priced, so intensity falls by about 5%.</w:t>
      </w:r>
    </w:p>
    <w:p>
      <w:pPr>
        <w:pStyle w:val="Compact"/>
        <w:numPr>
          <w:ilvl w:val="0"/>
          <w:numId w:val="1002"/>
        </w:numPr>
      </w:pPr>
      <w:r>
        <w:rPr>
          <w:b/>
          <w:bCs/>
        </w:rPr>
        <w:t xml:space="preserve">2A, 2B:</w:t>
      </w:r>
      <w:r>
        <w:t xml:space="preserve"> </w:t>
      </w:r>
      <w:r>
        <w:t xml:space="preserve">the upstream price covers fuel only, so intensity falls by about 3%.</w:t>
      </w:r>
    </w:p>
    <w:p>
      <w:pPr>
        <w:pStyle w:val="Compact"/>
        <w:numPr>
          <w:ilvl w:val="0"/>
          <w:numId w:val="1002"/>
        </w:numPr>
      </w:pPr>
      <w:r>
        <w:rPr>
          <w:b/>
          <w:bCs/>
        </w:rPr>
        <w:t xml:space="preserve">3C:</w:t>
      </w:r>
      <w:r>
        <w:t xml:space="preserve"> </w:t>
      </w:r>
      <w:r>
        <w:t xml:space="preserve">the abatement rebate funds extra fuel abatement, so intensity falls by about 21%.</w:t>
      </w:r>
    </w:p>
    <w:p>
      <w:pPr>
        <w:pStyle w:val="FirstParagraph"/>
      </w:pPr>
      <w:r>
        <w:rPr>
          <w:b/>
          <w:bCs/>
        </w:rPr>
        <w:t xml:space="preserve">Results, 2030 (% change in CBAM obligation per tonne exported):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Initial table</w:t>
            </w:r>
          </w:p>
        </w:tc>
        <w:tc>
          <w:tcPr/>
          <w:p>
            <w:pPr>
              <w:pStyle w:val="Compact"/>
            </w:pPr>
            <w:r>
              <w:t xml:space="preserve">−26.1</w:t>
            </w:r>
          </w:p>
        </w:tc>
        <w:tc>
          <w:tcPr/>
          <w:p>
            <w:pPr>
              <w:pStyle w:val="Compact"/>
            </w:pPr>
            <w:r>
              <w:t xml:space="preserve">−13.9</w:t>
            </w:r>
          </w:p>
        </w:tc>
        <w:tc>
          <w:tcPr/>
          <w:p>
            <w:pPr>
              <w:pStyle w:val="Compact"/>
            </w:pPr>
            <w:r>
              <w:t xml:space="preserve">−13.9</w:t>
            </w:r>
          </w:p>
        </w:tc>
        <w:tc>
          <w:tcPr/>
          <w:p>
            <w:pPr>
              <w:pStyle w:val="Compact"/>
            </w:pPr>
            <w:r>
              <w:t xml:space="preserve">−26.1</w:t>
            </w:r>
          </w:p>
        </w:tc>
        <w:tc>
          <w:tcPr/>
          <w:p>
            <w:pPr>
              <w:pStyle w:val="Compact"/>
            </w:pPr>
            <w:r>
              <w:t xml:space="preserve">−7.6</w:t>
            </w:r>
          </w:p>
        </w:tc>
        <w:tc>
          <w:tcPr/>
          <w:p>
            <w:pPr>
              <w:pStyle w:val="Compact"/>
            </w:pPr>
            <w:r>
              <w:t xml:space="preserve">−30.4</w:t>
            </w:r>
          </w:p>
        </w:tc>
      </w:tr>
      <w:tr>
        <w:tc>
          <w:tcPr/>
          <w:p>
            <w:pPr>
              <w:pStyle w:val="Compact"/>
            </w:pPr>
            <w:r>
              <w:t xml:space="preserve">Updated (Table 2)</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bl>
    <w:p>
      <w:pPr>
        <w:pStyle w:val="BodyText"/>
      </w:pPr>
      <w:r>
        <w:t xml:space="preserve">The calculation is live in the kernel workbook</w:t>
      </w:r>
      <w:r>
        <w:t xml:space="preserve"> </w:t>
      </w:r>
      <w:r>
        <w:rPr>
          <w:rStyle w:val="VerbatimChar"/>
        </w:rPr>
        <w:t xml:space="preserve">CPAT_Industry_Kernel_Egypt_v1.6.xlsx</w:t>
      </w:r>
      <w:r>
        <w:t xml:space="preserve">, sheet</w:t>
      </w:r>
      <w:r>
        <w:t xml:space="preserve"> </w:t>
      </w:r>
      <w:r>
        <w:rPr>
          <w:rStyle w:val="VerbatimChar"/>
        </w:rPr>
        <w:t xml:space="preserve">Table2_Final</w:t>
      </w:r>
      <w:r>
        <w:t xml:space="preserve">, section E (the deduction-based memo is section 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How the change in CBAM obligations is calculated (v1.6)</dc:title>
  <dc:creator>Stephen Stretton</dc:creator>
  <cp:keywords/>
  <dcterms:created xsi:type="dcterms:W3CDTF">2026-10-04T17:05:21Z</dcterms:created>
  <dcterms:modified xsi:type="dcterms:W3CDTF">2026-10-04T17:05:21Z</dcterms:modified>
</cp:coreProperties>
</file>

<file path=docProps/custom.xml><?xml version="1.0" encoding="utf-8"?>
<Properties xmlns="http://schemas.openxmlformats.org/officeDocument/2006/custom-properties" xmlns:vt="http://schemas.openxmlformats.org/officeDocument/2006/docPropsVTypes"/>
</file>