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Egypt policy-options matrix (Table 2) – rebuilt ad hoc calculations: methodology note v0.5</w:t>
      </w:r>
    </w:p>
    <w:p>
      <w:r>
        <w:t xml:space="preserve">Workbook: </w:t>
      </w:r>
      <w:r>
        <w:rPr>
          <w:rFonts w:ascii="Consolas" w:hAnsi="Consolas" w:eastAsia="Consolas"/>
        </w:rPr>
        <w:t>AdHocCalculations_Rebuild_v0.5.xlsx</w:t>
      </w:r>
      <w:r>
        <w:t xml:space="preserve"> (builder </w:t>
      </w:r>
      <w:r>
        <w:rPr>
          <w:rFonts w:ascii="Consolas" w:hAnsi="Consolas" w:eastAsia="Consolas"/>
        </w:rPr>
        <w:t>build_adhoc_rebuild_v0_5.py</w:t>
      </w:r>
      <w:r>
        <w:t xml:space="preserve">, verification </w:t>
      </w:r>
      <w:r>
        <w:rPr>
          <w:rFonts w:ascii="Consolas" w:hAnsi="Consolas" w:eastAsia="Consolas"/>
        </w:rPr>
        <w:t>recalc_and_check_adhoc_v0_5.py</w:t>
      </w:r>
      <w:r>
        <w:t xml:space="preserve">). Change history is in </w:t>
      </w:r>
      <w:r>
        <w:rPr>
          <w:rFonts w:ascii="Consolas" w:hAnsi="Consolas" w:eastAsia="Consolas"/>
        </w:rPr>
        <w:t>VersionNotes_AdHocRebuild.md</w:t>
      </w:r>
      <w:r>
        <w:t>, not here.</w:t>
      </w:r>
    </w:p>
    <w:p>
      <w:r>
        <w:t>Defaults: emission factors = Egypt CBAM EF v0.1 (</w:t>
      </w:r>
      <w:r>
        <w:rPr>
          <w:rFonts w:ascii="Consolas" w:hAnsi="Consolas" w:eastAsia="Consolas"/>
        </w:rPr>
        <w:t>EFSet</w:t>
      </w:r>
      <w:r>
        <w:t xml:space="preserve"> = EGY_EF_V01; </w:t>
      </w:r>
      <w:r>
        <w:rPr>
          <w:rFonts w:ascii="Consolas" w:hAnsi="Consolas" w:eastAsia="Consolas"/>
        </w:rPr>
        <w:t>EmissionFactors/EGY_CBAM_EF_v0.1.xlsx</w:t>
      </w:r>
      <w:r>
        <w:t xml:space="preserve">, Products D:G; urea np = 0; AN keeps the integrated HNO3 N2O in its own </w:t>
      </w:r>
      <w:r>
        <w:rPr>
          <w:rFonts w:ascii="Consolas" w:hAnsi="Consolas" w:eastAsia="Consolas"/>
        </w:rPr>
        <w:t>no</w:t>
      </w:r>
      <w:r>
        <w:t>; AN process ER100 = N2O-weighted blend of the TASK-D unabated and abated rows at 50 % abatement, central 0.6179); output elasticity by product (</w:t>
      </w:r>
      <w:r>
        <w:rPr>
          <w:rFonts w:ascii="Consolas" w:hAnsi="Consolas" w:eastAsia="Consolas"/>
        </w:rPr>
        <w:t>EpsQ1</w:t>
      </w:r>
      <w:r>
        <w:t>..</w:t>
      </w:r>
      <w:r>
        <w:rPr>
          <w:rFonts w:ascii="Consolas" w:hAnsi="Consolas" w:eastAsia="Consolas"/>
        </w:rPr>
        <w:t>EpsQ8</w:t>
      </w:r>
      <w:r>
        <w:t xml:space="preserve">: cement −0.10, steel and fertilisers −0.40, aluminium −0.50; the uniform </w:t>
      </w:r>
      <w:r>
        <w:rPr>
          <w:rFonts w:ascii="Consolas" w:hAnsi="Consolas" w:eastAsia="Consolas"/>
        </w:rPr>
        <w:t>EpsQ</w:t>
      </w:r>
      <w:r>
        <w:t xml:space="preserve"> = −0.5 applies in PROTOTYPE mode); IPCC beta anchor </w:t>
      </w:r>
      <w:r>
        <w:rPr>
          <w:rFonts w:ascii="Consolas" w:hAnsi="Consolas" w:eastAsia="Consolas"/>
        </w:rPr>
        <w:t>PStar</w:t>
      </w:r>
      <w:r>
        <w:t xml:space="preserve"> = 122 USD2024; </w:t>
      </w:r>
      <w:r>
        <w:rPr>
          <w:rFonts w:ascii="Consolas" w:hAnsi="Consolas" w:eastAsia="Consolas"/>
        </w:rPr>
        <w:t>KappaMode</w:t>
      </w:r>
      <w:r>
        <w:t xml:space="preserve"> = SCALE; </w:t>
      </w:r>
      <w:r>
        <w:rPr>
          <w:rFonts w:ascii="Consolas" w:hAnsi="Consolas" w:eastAsia="Consolas"/>
        </w:rPr>
        <w:t>Conv</w:t>
      </w:r>
      <w:r>
        <w:t xml:space="preserve"> = FULL; </w:t>
      </w:r>
      <w:r>
        <w:rPr>
          <w:rFonts w:ascii="Consolas" w:hAnsi="Consolas" w:eastAsia="Consolas"/>
        </w:rPr>
        <w:t>ThetaOther</w:t>
      </w:r>
      <w:r>
        <w:t xml:space="preserve"> = 1; fund shadow price sigma = 20 $/t.</w:t>
      </w:r>
    </w:p>
    <w:p>
      <w:r>
        <w:t xml:space="preserve">All assumptions sit on </w:t>
      </w:r>
      <w:r>
        <w:rPr>
          <w:b/>
        </w:rPr>
        <w:t>Inputs</w:t>
      </w:r>
      <w:r>
        <w:t xml:space="preserve">; </w:t>
      </w:r>
      <w:r>
        <w:rPr>
          <w:b/>
        </w:rPr>
        <w:t>PolicyMatrix</w:t>
      </w:r>
      <w:r>
        <w:t xml:space="preserve"> keeps the original layout and is fully live. One switch (</w:t>
      </w:r>
      <w:r>
        <w:rPr>
          <w:rFonts w:ascii="Consolas" w:hAnsi="Consolas" w:eastAsia="Consolas"/>
        </w:rPr>
        <w:t>Mode</w:t>
      </w:r>
      <w:r>
        <w:t xml:space="preserve">) selects </w:t>
      </w:r>
      <w:r>
        <w:rPr>
          <w:b/>
        </w:rPr>
        <w:t>REBUILD</w:t>
      </w:r>
      <w:r>
        <w:t xml:space="preserve"> (coherent method, default) or </w:t>
      </w:r>
      <w:r>
        <w:rPr>
          <w:b/>
        </w:rPr>
        <w:t>PROTOTYPE</w:t>
      </w:r>
      <w:r>
        <w:t xml:space="preserve"> (reproduces </w:t>
      </w:r>
      <w:r>
        <w:rPr>
          <w:rFonts w:ascii="Consolas" w:hAnsi="Consolas" w:eastAsia="Consolas"/>
        </w:rPr>
        <w:t>CPAT_Industry_Kernel_Egypt_v0.11</w:t>
      </w:r>
      <w:r>
        <w:t xml:space="preserve"> exactly). Reporting year </w:t>
      </w:r>
      <w:r>
        <w:rPr>
          <w:rFonts w:ascii="Consolas" w:hAnsi="Consolas" w:eastAsia="Consolas"/>
        </w:rPr>
        <w:t>Yr</w:t>
      </w:r>
      <w:r>
        <w:t xml:space="preserve"> = 2030, carbon price τ = CPAT </w:t>
      </w:r>
      <w:r>
        <w:rPr>
          <w:rFonts w:ascii="Consolas" w:hAnsi="Consolas" w:eastAsia="Consolas"/>
        </w:rPr>
        <w:t>cptraj.2</w:t>
      </w:r>
      <w:r>
        <w:t xml:space="preserve"> of the bundle's scenario ($20 in 2030 for all six bundles).</w:t>
      </w:r>
    </w:p>
    <w:p>
      <w:pPr>
        <w:pStyle w:val="Heading2"/>
      </w:pPr>
      <w:r>
        <w:t>1. Inputs (Inputs tab)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Block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Content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A Switches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6"/>
              </w:rPr>
              <w:t>Mode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Conv</w:t>
            </w:r>
            <w:r>
              <w:rPr>
                <w:sz w:val="16"/>
              </w:rPr>
              <w:t xml:space="preserve"> (CBAM convention: FULL / NOPHASE / SCALED), </w:t>
            </w:r>
            <w:r>
              <w:rPr>
                <w:rFonts w:ascii="Consolas" w:hAnsi="Consolas" w:eastAsia="Consolas"/>
                <w:sz w:val="16"/>
              </w:rPr>
              <w:t>Yr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SigmaEff</w:t>
            </w:r>
            <w:r>
              <w:rPr>
                <w:sz w:val="16"/>
              </w:rPr>
              <w:t xml:space="preserve"> (fund shadow price sigma = 20 $/t), </w:t>
            </w:r>
            <w:r>
              <w:rPr>
                <w:rFonts w:ascii="Consolas" w:hAnsi="Consolas" w:eastAsia="Consolas"/>
                <w:sz w:val="16"/>
              </w:rPr>
              <w:t>BetaSet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BfScen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ThetaOther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IppuOther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KappaMode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this note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B Parameters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 xml:space="preserve">eps_U = eps_F = -0.5 -&gt; s_int = eps_F(1+eps_U)/(eps_U+eps_F(1+eps_U)) = 1/3; eps_Q by product (defaults paragraph); P_EU = 100 $/t; </w:t>
            </w:r>
            <w:r>
              <w:rPr>
                <w:rFonts w:ascii="Consolas" w:hAnsi="Consolas" w:eastAsia="Consolas"/>
                <w:sz w:val="16"/>
              </w:rPr>
              <w:t>PStar</w:t>
            </w:r>
            <w:r>
              <w:rPr>
                <w:sz w:val="16"/>
              </w:rPr>
              <w:t xml:space="preserve"> = 122 $/t; b_f (derived); CBAM phase-in factor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TechNote App. A; prototype v0.11; PStar from USD2019 100 deflated to USD2024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 CPAT values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 xml:space="preserve">22 CPAT </w:t>
            </w:r>
            <w:r>
              <w:rPr>
                <w:rFonts w:ascii="Consolas" w:hAnsi="Consolas" w:eastAsia="Consolas"/>
                <w:sz w:val="16"/>
              </w:rPr>
              <w:t>Outputs</w:t>
            </w:r>
            <w:r>
              <w:rPr>
                <w:sz w:val="16"/>
              </w:rPr>
              <w:t xml:space="preserve"> codes × EG1–EG4, looked up live for </w:t>
            </w:r>
            <w:r>
              <w:rPr>
                <w:rFonts w:ascii="Consolas" w:hAnsi="Consolas" w:eastAsia="Consolas"/>
                <w:sz w:val="16"/>
              </w:rPr>
              <w:t>Yr</w:t>
            </w:r>
            <w:r>
              <w:rPr>
                <w:sz w:val="16"/>
              </w:rPr>
              <w:t xml:space="preserve"> (GHG, IPPU, energy CO2, industry CO2, price, effective price, revenues, deaths) + 8 derived rows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6"/>
              </w:rPr>
              <w:t>CPAT_Outputs</w:t>
            </w:r>
            <w:r>
              <w:rPr>
                <w:sz w:val="16"/>
              </w:rPr>
              <w:t xml:space="preserve"> sheet (trimmed CPAT Outputs 2022–2041)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D Bundles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code → CPAT scenario, scope (ALL/IND), process flag, θ (OBR share), φ (fund share), τ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TechNote §Bundles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E Products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8 CBAM products: Q0 (2024), g, EU exports X, price P, fuel factor F = fc+fp, process factor G = max(np,0)+max(no,0), ER100 -&gt; beta = -ln(1-ER100)/PStar for IPCC sets; PROTOTYPE beta keeps /100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activity / prices: prototype v0.11 Manual inputs; EFs: Egypt CBAM EF v0.1 (</w:t>
            </w:r>
            <w:r>
              <w:rPr>
                <w:rFonts w:ascii="Consolas" w:hAnsi="Consolas" w:eastAsia="Consolas"/>
                <w:sz w:val="16"/>
              </w:rPr>
              <w:t>EFSet</w:t>
            </w:r>
            <w:r>
              <w:rPr>
                <w:sz w:val="16"/>
              </w:rPr>
              <w:t>); IPCC beta set (TASK-D)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F Year vectors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CBAM phase-in, flat $20 path, CPAT EG3 ramp (live)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EU CBAM; CPAT</w:t>
            </w:r>
          </w:p>
        </w:tc>
      </w:tr>
    </w:tbl>
    <w:p/>
    <w:p>
      <w:r>
        <w:t>Bundle mapping: 1A→EG1 (ALL, process priced), 2A→EG1 (ALL, fuels only), 2B→EG2 (ALL, fuels only, household recycling), 3A→EG3 (IND, process priced), 3B→EG3 + θ=1 (output-based rebate), 3C→EG3 + φ=1 (abatement fund).</w:t>
      </w:r>
    </w:p>
    <w:p>
      <w:pPr>
        <w:pStyle w:val="Heading2"/>
      </w:pPr>
      <w:r>
        <w:t>2. Core equations</w:t>
      </w:r>
    </w:p>
    <w:p>
      <w:r>
        <w:rPr>
          <w:b/>
        </w:rPr>
        <w:t>CBAM block (per product i, sheet CBAM_Products; prototype v0.11 equations)</w:t>
      </w:r>
    </w:p>
    <w:p>
      <w:pPr>
        <w:pStyle w:val="ListBullet"/>
      </w:pPr>
      <w:r>
        <w:t>Prices: τ_p = τ·flag; OBR rate = θτ; fund price σ_eff = φσ (0 in PROTOTYPE).</w:t>
      </w:r>
    </w:p>
    <w:p>
      <w:pPr>
        <w:pStyle w:val="ListBullet"/>
      </w:pPr>
      <w:r>
        <w:t>Cost per tonne: k_f = τF_i; k_p = τ_p G_i; rebate m_i = min(θτ,τ)F_i + min(θτ,τ_p)·flag·G_i; Δp_i = (k_f+k_p−m_i)/P_i.</w:t>
      </w:r>
    </w:p>
    <w:p>
      <w:pPr>
        <w:pStyle w:val="ListBullet"/>
      </w:pPr>
      <w:r>
        <w:t>Output: Q_i^b = Q₀(1+g)^(Yr−2024); Q_i = Q_i^b(1+Δp_i)^ε_Q.</w:t>
      </w:r>
    </w:p>
    <w:p>
      <w:pPr>
        <w:pStyle w:val="ListBullet"/>
      </w:pPr>
      <w:r>
        <w:t>Emissions at baseline intensity: E_f = Q_iF_i/1000, E_p = Q_iG_i/1000 (Mt).</w:t>
      </w:r>
    </w:p>
    <w:p>
      <w:pPr>
        <w:pStyle w:val="ListBullet"/>
      </w:pPr>
      <w:r>
        <w:t>Intensity responses: ER_f = E_f(x_f−1) with x_f = exp(b_f(τ+σ_eff)) [REBUILD; x_f = 1 in PROTOTYPE]; ER_p = −E_p(1−exp(−β_i(τ_p+σ_eff))).</w:t>
      </w:r>
    </w:p>
    <w:p>
      <w:pPr>
        <w:pStyle w:val="ListBullet"/>
      </w:pPr>
      <w:r>
        <w:t>Post-response emissions: E_i = E_f+ER_f+E_p+ER_p; output-channel reduction emrq_i = (E_f+E_p)(1−(1+Δp_i)^(−ε_Q)) (process part uses E_p only).</w:t>
      </w:r>
    </w:p>
    <w:p>
      <w:pPr>
        <w:pStyle w:val="ListBullet"/>
      </w:pPr>
      <w:r>
        <w:t>Revenue: rev_i = (E_f+ER_f)τ + (E_p·1[G_i&gt;0]+ER_p)τ_p ($m); rebate_i = m_iQ_i/1000.</w:t>
      </w:r>
    </w:p>
    <w:p>
      <w:pPr>
        <w:pStyle w:val="ListBullet"/>
      </w:pPr>
      <w:r>
        <w:t>CBAM: intensity EI_i = 1000E_i/Q_i; deductible carbon price d_i = 1000rev_i/Q_i − m_i; obligation per tonne obl_i = max(0, CBF·P_EU·EI_i − S·max(0,d_i)); cbobl = ΣX_i(Q_i/Q₀)obl_i/1000; cbobl₀ = ΣX_i(1+g)^t·CBF·P_EU(F_i+G_i)/1000. Conventions: FULL (default) CBF=0.485 (2030), S=1; NOPHASE (memo) CBF=1, S=1; SCALED CBF=S=0.485. This obligation is the kernel's deduction-based Task L measure. Row O of the final Table 2 is a different, intensity-only measure (EGYPT_Methodology section 4.5) and is not taken from this workbook.</w:t>
      </w:r>
    </w:p>
    <w:p>
      <w:pPr>
        <w:pStyle w:val="ListBullet"/>
      </w:pPr>
      <w:r>
        <w:t>Block metrics: E_base = ΣQ_i^b(F_i+G_i)/1000 (= 62.42 Mt in 2030; 61.16 Mt with prototype EFs); cbcov = Σcovered/Σ(E_f+E_p); cbintch = ΣE_i/Σ(E_f+E_p) − 1; cbqch = Σemrq/E_base; emrt = Σemrq + ΣER_f + ΣER_p; cbobchu = ΣX_i·obl_i / ΣX_i·CBF·P_EU(F_i+G_i) − 1.</w:t>
      </w:r>
    </w:p>
    <w:p>
      <w:r>
        <w:rPr>
          <w:b/>
        </w:rPr>
        <w:t>National quantities (CPAT, scenario s of the bundle, year Yr)</w:t>
      </w:r>
      <w:r>
        <w:t xml:space="preserve">: DeltaGHG, DeltaIPPU, DeltaEnergyCO2, DeltaIndCO2 = policy - baseline; kappa = min(1, (eff.cptraj/cptraj)*EnergyCO2_0/IndCO2_0) = share of industrial energy CO2 actually priced in the CPAT run (kappa(EG3) = 0.54; kappa = 1 for EG1/EG2). Under </w:t>
      </w:r>
      <w:r>
        <w:rPr>
          <w:rFonts w:ascii="Consolas" w:hAnsi="Consolas" w:eastAsia="Consolas"/>
        </w:rPr>
        <w:t>KappaMode=SCALE</w:t>
      </w:r>
      <w:r>
        <w:t xml:space="preserve">, EG3 bundles use scale factor s_k = 1/kappa to approximate a full-coverage industry run: DeltaIndCO2_adj = s_k*DeltaIndCO2; DeltaIPPU_adj = s_k*DeltaIPPU; DeltaGHG_adj = DeltaGHG + (s_k-1)(DeltaIndCO2 + DeltaIPPU); DeltaEnergyCO2_adj = DeltaEnergyCO2 + (s_k-1)DeltaIndCO2; IndCO2_1_adj = IndCO2_0 + DeltaIndCO2_adj. Coverage J uses kappa=1; D_obr uses w = E_f^base/IndCO2_0 and DeltaIndCO2_adj; F_fund uses IndCO2_1_adj. CPAT fuel-tax receipts are scaled by s_k. Deaths use CPAT deaths x (DeltaEnergyCO2_adj + D_obr + F_fund)/DeltaEnergyCO2. This is an approximation of a full-coverage EG3 run, pending a CPAT re-run. </w:t>
      </w:r>
      <w:r>
        <w:rPr>
          <w:rFonts w:ascii="Consolas" w:hAnsi="Consolas" w:eastAsia="Consolas"/>
        </w:rPr>
        <w:t>AUTO</w:t>
      </w:r>
      <w:r>
        <w:t xml:space="preserve"> keeps the original partial-coverage (kappa) treatment; </w:t>
      </w:r>
      <w:r>
        <w:rPr>
          <w:rFonts w:ascii="Consolas" w:hAnsi="Consolas" w:eastAsia="Consolas"/>
        </w:rPr>
        <w:t>ONE</w:t>
      </w:r>
      <w:r>
        <w:t xml:space="preserve"> assumes kappa=1 without scaling. b_f = s_int*ln(IndCO2_1/IndCO2_0)/tau on EG1 = -0.0025 per $/t.</w:t>
      </w:r>
    </w:p>
    <w:p>
      <w:r>
        <w:rPr>
          <w:b/>
        </w:rPr>
        <w:t>Table-2 metrics (sheet Results; PolicyMatrix column in brackets)</w:t>
      </w:r>
    </w:p>
    <w:p>
      <w:pPr>
        <w:pStyle w:val="ListBullet"/>
      </w:pPr>
      <w:r>
        <w:t>Coverage [J] = (E_f0 + flag*E_p^base)/GHG0, with E_f0 = EnergyCO2_0 (ALL), kappa*IndCO2_0 (IND/AUTO), or IndCO2_0 (IND/SCALE).</w:t>
      </w:r>
    </w:p>
    <w:p>
      <w:pPr>
        <w:pStyle w:val="ListBullet"/>
      </w:pPr>
      <w:r>
        <w:t xml:space="preserve">Total reduction [K] = DeltaGHG_adj - DeltaIPPU_adj + IPPU_other + sum(ER_p) + sum(emrq_proc) + D_obr + F_fund, where adjusted deltas equal CPAT deltas except under </w:t>
      </w:r>
      <w:r>
        <w:rPr>
          <w:rFonts w:ascii="Consolas" w:hAnsi="Consolas" w:eastAsia="Consolas"/>
        </w:rPr>
        <w:t>KappaMode=SCALE</w:t>
      </w:r>
      <w:r>
        <w:t xml:space="preserve">, and IPPU_other = 0 (switch </w:t>
      </w:r>
      <w:r>
        <w:rPr>
          <w:rFonts w:ascii="Consolas" w:hAnsi="Consolas" w:eastAsia="Consolas"/>
        </w:rPr>
        <w:t>IppuOther</w:t>
      </w:r>
      <w:r>
        <w:t xml:space="preserve">; CPAT's IPPU scaling with industrial fuel use is removed, MajorIssues #17), D_obr = -(1-s_int)*w*DeltaIndCO2_adj if theta&gt;0 (OBR neutralises the output share of CPAT's industrial fuel response; w = E_f^base/(kappa*IndCO2_0) in AUTO and E_f^base/IndCO2_0 under SCALE, unless </w:t>
      </w:r>
      <w:r>
        <w:rPr>
          <w:rFonts w:ascii="Consolas" w:hAnsi="Consolas" w:eastAsia="Consolas"/>
        </w:rPr>
        <w:t>ThetaOther</w:t>
      </w:r>
      <w:r>
        <w:t xml:space="preserve"> = 1; with </w:t>
      </w:r>
      <w:r>
        <w:rPr>
          <w:rFonts w:ascii="Consolas" w:hAnsi="Consolas" w:eastAsia="Consolas"/>
        </w:rPr>
        <w:t>ThetaOther</w:t>
      </w:r>
      <w:r>
        <w:t xml:space="preserve"> = 1 (default) w = 1, the rebate covers all covered industry and the output channel is removed everywhere), F_fund = [kappa*IndCO2_1 in AUTO, or IndCO2_1_adj in SCALE]*(exp(b_f*sigma_eff)-1) if phi&gt;0 (fund buys fuel-intensity abatement outside the block).</w:t>
      </w:r>
    </w:p>
    <w:p>
      <w:pPr>
        <w:pStyle w:val="ListBullet"/>
      </w:pPr>
      <w:r>
        <w:t>[L] = K/GHG₀. [M] = cbcov. [N] = cbintch. [O] = cbobchu (selected convention, FULL by default; AQ always shows FULL).</w:t>
      </w:r>
    </w:p>
    <w:p>
      <w:pPr>
        <w:pStyle w:val="ListBullet"/>
      </w:pPr>
      <w:r>
        <w:t xml:space="preserve">Revenue [P] = (1-phi)*(P_gross - rebates), P_gross = CPAT carbon-tax receipts on fuels (six fuels, post-response; scaled by 1/kappa under SCALE) + sum(rev_p)/1000; rebates = sum(rebate_i)/1000 (+ tau*(covered IndCO2_1 - sum(E_f,post))/1000 if </w:t>
      </w:r>
      <w:r>
        <w:rPr>
          <w:rFonts w:ascii="Consolas" w:hAnsi="Consolas" w:eastAsia="Consolas"/>
        </w:rPr>
        <w:t>ThetaOther</w:t>
      </w:r>
      <w:r>
        <w:t xml:space="preserve"> = 1). Fund budget = phi*(P_gross - rebates); outlay upper bound = sigma*abs(sum(ER_f)+sum(ER_p)+F_fund)/1000.</w:t>
      </w:r>
    </w:p>
    <w:p>
      <w:pPr>
        <w:pStyle w:val="ListBullet"/>
      </w:pPr>
      <w:r>
        <w:t>Deaths [Q] = CPAT deaths avoided(s) x (DeltaEnergyCO2_adj + D_obr + F_fund)/DeltaEnergyCO2 for IND bundles (energy CO2 only; SCALE first scales deaths by DeltaEnergyCO2_adj/DeltaEnergyCO2); [R] = Q/baseline deaths.</w:t>
      </w:r>
    </w:p>
    <w:p>
      <w:pPr>
        <w:pStyle w:val="ListBullet"/>
      </w:pPr>
      <w:r>
        <w:t>[T] = emrt/E_base; [U] = cbqch; [AR] = CPAT Delta net new revenue(s) - (P_gross - P), using the scaled P_gross/P approximation under SCALE.</w:t>
      </w:r>
    </w:p>
    <w:p>
      <w:pPr>
        <w:pStyle w:val="ListBullet"/>
      </w:pPr>
      <w:r>
        <w:t>Decomposition columns AF-AM on PolicyMatrix: DeltaGHG_adj, -DeltaIPPU_adj, IPPU_other, sum(ER_p), sum(emrq_proc), D_obr, F_fund, check (= 0).</w:t>
      </w:r>
    </w:p>
    <w:p>
      <w:pPr>
        <w:pStyle w:val="Heading2"/>
      </w:pPr>
      <w:r>
        <w:t>3. Results, 2030 (Mode = REBUILD, Conv = FULL, EFSet = EGY_EF_V01, KappaMode = SCALE, ThetaOther = 1)</w:t>
      </w:r>
    </w:p>
    <w:p>
      <w:r>
        <w:t xml:space="preserve">The EG3 industry scenarios (3A/3B/3C) approximate a full-coverage EG3 run with </w:t>
      </w:r>
      <w:r>
        <w:rPr>
          <w:rFonts w:ascii="Consolas" w:hAnsi="Consolas" w:eastAsia="Consolas"/>
        </w:rPr>
        <w:t>KappaMode</w:t>
      </w:r>
      <w:r>
        <w:t xml:space="preserve"> = SCALE (1/kappa scaling; a linear approximation, not a CPAT re-run). O is shown for the default FULL convention and, in parentheses, NOPHASE.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Metric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J coverage, % GHG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K reduction, Mt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−29.66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−28.62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−23.38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−29.03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L, % of GHG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−4.99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−3.93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−2.07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−4.89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M CBAM coverage, 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N intensity, 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−11.24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O obligation per unit, % FULL (NOPHASE)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−44.42 (−24.34)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−23.12 (−12.53)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−23.12 (−12.53)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−44.42 (−24.34)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−5.42 (−5.42)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−47.41 (−28.41)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 net revenue, $bn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 gross revenue, $bn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Rebates, $bn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2.18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Q deaths avoided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412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997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 block emissions, 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U block output, 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AR Dnet revenue, $bn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10.43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10.43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2.69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0.51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0.36</w:t>
            </w:r>
          </w:p>
        </w:tc>
      </w:tr>
    </w:tbl>
    <w:p/>
    <w:p>
      <w:r>
        <w:t>K decomposition (PolicyMatrix AF-AM, Mt):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Bundle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AF DeltaGHG_adj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AG -DeltaIPPU_adj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AH IPPU_other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AI ER_p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AJ emrq_proc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AK D_obr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AL F_fund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AM check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1A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−38.88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11.96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−2.24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−0.50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2A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−38.88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11.96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−0.18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2B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−41.00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12.56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−0.18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3A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−36.02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15.37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−2.24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−0.50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3B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−36.02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15.37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−2.28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10.61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3C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−36.02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15.37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−4.33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−0.50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−3.56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</w:tbl>
    <w:p/>
    <w:p>
      <w:r>
        <w:t xml:space="preserve">3B: with </w:t>
      </w:r>
      <w:r>
        <w:rPr>
          <w:rFonts w:ascii="Consolas" w:hAnsi="Consolas" w:eastAsia="Consolas"/>
        </w:rPr>
        <w:t>ThetaOther</w:t>
      </w:r>
      <w:r>
        <w:t xml:space="preserve"> = 1 the rebate (2.18 $bn: 1.25 to CBAM producers, 0.94 to the rest of covered industry) offsets almost all of the gross revenue, so net P is about 0, and D_obr removes the output channel for all covered industry. With the product-specific elasticities, output falls only 1.5% in the priced scenarios (cement −0.10 carries almost all of the output channel).</w:t>
      </w:r>
    </w:p>
    <w:p>
      <w:r>
        <w:t xml:space="preserve">Verification: </w:t>
      </w:r>
      <w:r>
        <w:rPr>
          <w:rFonts w:ascii="Consolas" w:hAnsi="Consolas" w:eastAsia="Consolas"/>
        </w:rPr>
        <w:t>Mode = PROTOTYPE</w:t>
      </w:r>
      <w:r>
        <w:t xml:space="preserve"> reproduces all 22 block metrics x 6 bundles of kernel v0.11 to &lt; 1e-7 for FULL and NOPHASE (132/132 values for each convention; </w:t>
      </w:r>
      <w:r>
        <w:rPr>
          <w:rFonts w:ascii="Consolas" w:hAnsi="Consolas" w:eastAsia="Consolas"/>
        </w:rPr>
        <w:t>ThetaOther</w:t>
      </w:r>
      <w:r>
        <w:t xml:space="preserve"> is forced to 0 in PROTOTYPE mode). REBUILD matches an independent Python re-implementation (588/588 values), the Checks sheet passes, and the workbook has no Excel error cells (report </w:t>
      </w:r>
      <w:r>
        <w:rPr>
          <w:rFonts w:ascii="Consolas" w:hAnsi="Consolas" w:eastAsia="Consolas"/>
        </w:rPr>
        <w:t>recalc_and_check_adhoc_v0_5_report.txt</w:t>
      </w:r>
      <w:r>
        <w:t>).</w:t>
      </w:r>
    </w:p>
    <w:p>
      <w:pPr>
        <w:pStyle w:val="Heading2"/>
      </w:pPr>
      <w:r>
        <w:t>4. Differences</w:t>
      </w:r>
    </w:p>
    <w:p>
      <w:r>
        <w:rPr>
          <w:b/>
        </w:rPr>
        <w:t>(a) vs the original AdHocCalculations.xlsb</w:t>
      </w:r>
    </w:p>
    <w:p>
      <w:pPr>
        <w:pStyle w:val="ListNumber"/>
      </w:pPr>
      <w:r>
        <w:t>One base: every % uses CPAT 2030 baseline total GHG (594.2 Mt); the original mixed 2026/2030 and three denominators (#4, #11).</w:t>
      </w:r>
    </w:p>
    <w:p>
      <w:pPr>
        <w:pStyle w:val="ListNumber"/>
      </w:pPr>
      <w:r>
        <w:t>Coverage computed, not typed; κ makes the partial industry coverage of the EG3 run explicit (J_int memo = 20.7% at κ = 1) (#12, #13).</w:t>
      </w:r>
    </w:p>
    <w:p>
      <w:pPr>
        <w:pStyle w:val="ListNumber"/>
      </w:pPr>
      <w:r>
        <w:t>CBAM base bottom-up (61.2 Mt from eight products) instead of 53.6 Mt (#16); process response via β and the output channel, CPAT's proportional IPPU scaling removed (#14, #17).</w:t>
      </w:r>
    </w:p>
    <w:p>
      <w:pPr>
        <w:pStyle w:val="ListNumber"/>
      </w:pPr>
      <w:r>
        <w:t>1A on EG1 (was EG2-based) (#3); 3B from EG3 with an explicit OBR correction instead of −13.592·(2/3)/0.5 (#9, #15); output change per bundle, not 3B's −8.3% for all (#18).</w:t>
      </w:r>
    </w:p>
    <w:p>
      <w:pPr>
        <w:pStyle w:val="ListNumber"/>
      </w:pPr>
      <w:r>
        <w:t>Revenue = CPAT fuel receipts (post-response) + block process revenue, net of rebates/fund; 3B rebates all covered industry (</w:t>
      </w:r>
      <w:r>
        <w:rPr>
          <w:rFonts w:ascii="Consolas" w:hAnsi="Consolas" w:eastAsia="Consolas"/>
        </w:rPr>
        <w:t>ThetaOther</w:t>
      </w:r>
      <w:r>
        <w:t xml:space="preserve"> = 1), so its net revenue is about 0 (#10).</w:t>
      </w:r>
    </w:p>
    <w:p>
      <w:pPr>
        <w:pStyle w:val="ListNumber"/>
      </w:pPr>
      <w:r>
        <w:t>Deaths from the bundle's own scenario, rescaled by energy CO2 only (#2, #19); AR from the bundle's own scenario (#6); price start 2028 (#5); nothing hard-typed (#7); EG4 excluded (#8). Net effect: K is 15–30% smaller than the original for the economy-wide bundles (the original's K included CPAT's IPPU scaling and an untraceable process term) and 10–30% smaller for the industry bundles.</w:t>
      </w:r>
    </w:p>
    <w:p>
      <w:r>
        <w:rPr>
          <w:b/>
        </w:rPr>
        <w:t>(b) vs the prototype kernel v0.11</w:t>
      </w:r>
    </w:p>
    <w:p>
      <w:pPr>
        <w:pStyle w:val="ListNumber"/>
      </w:pPr>
      <w:r>
        <w:t>Fuel-intensity channel x_f = exp(b_f(τ+σ)) (prototype: fuel intensity fixed) → N, T, O larger in magnitude.</w:t>
      </w:r>
    </w:p>
    <w:p>
      <w:pPr>
        <w:pStyle w:val="ListNumber"/>
      </w:pPr>
      <w:r>
        <w:t xml:space="preserve">IPCC-based β set (prototype set available via </w:t>
      </w:r>
      <w:r>
        <w:rPr>
          <w:rFonts w:ascii="Consolas" w:hAnsi="Consolas" w:eastAsia="Consolas"/>
        </w:rPr>
        <w:t>BetaSet</w:t>
      </w:r>
      <w:r>
        <w:t>) → ER_p 4× larger.</w:t>
      </w:r>
    </w:p>
    <w:p>
      <w:pPr>
        <w:pStyle w:val="ListNumber"/>
      </w:pPr>
      <w:r>
        <w:t>Fund (3C) modelled as shadow price σ = 20 $/t on both intensity channels (prototype: fund inactive) → 3C ≠ 3A.</w:t>
      </w:r>
    </w:p>
    <w:p>
      <w:pPr>
        <w:pStyle w:val="ListNumber"/>
      </w:pPr>
      <w:r>
        <w:t>National totals, coverage, revenue, deaths and AR from CPAT (outside the prototype's scope); OBR rebates deducted from revenue.</w:t>
      </w:r>
    </w:p>
    <w:p>
      <w:pPr>
        <w:pStyle w:val="ListNumber"/>
      </w:pPr>
      <w:r>
        <w:t>FULL as the default convention for O, the same as the prototype headline; NOPHASE is shown as a memo.</w:t>
      </w:r>
    </w:p>
    <w:p>
      <w:pPr>
        <w:pStyle w:val="ListNumber"/>
      </w:pPr>
      <w:r>
        <w:t xml:space="preserve">Kernel rebate and fund: the kernel caps the 3B rebate by sector shares and activates the 3C fund (shadow price about 150 $/t), whereas this rebuild rebates all covered industry in 3B and uses sigma = 20 $/t in 3C. The kernel's own Table 2 is the sheet </w:t>
      </w:r>
      <w:r>
        <w:rPr>
          <w:rFonts w:ascii="Consolas" w:hAnsi="Consolas" w:eastAsia="Consolas"/>
        </w:rPr>
        <w:t>Table2_Industry</w:t>
      </w:r>
      <w:r>
        <w:t xml:space="preserve">; the comparison with the rebuild is in </w:t>
      </w:r>
      <w:r>
        <w:rPr>
          <w:rFonts w:ascii="Consolas" w:hAnsi="Consolas" w:eastAsia="Consolas"/>
        </w:rPr>
        <w:t>ResultsComparison_Table2_v0.4.md</w:t>
      </w:r>
      <w:r>
        <w:t>.</w:t>
      </w:r>
    </w:p>
    <w:p>
      <w:pPr>
        <w:pStyle w:val="Heading2"/>
      </w:pPr>
      <w:r>
        <w:t>5. Format changes vs the original PolicyMatrix</w:t>
      </w:r>
    </w:p>
    <w:p>
      <w:pPr>
        <w:pStyle w:val="ListBullet"/>
      </w:pPr>
      <w:r>
        <w:t xml:space="preserve">Assumptions moved to </w:t>
      </w:r>
      <w:r>
        <w:rPr>
          <w:b/>
        </w:rPr>
        <w:t>Inputs</w:t>
      </w:r>
      <w:r>
        <w:t>; new sheets CPAT_Outputs, CBAM_Products, Results, Comparison, Issues resolved, Checks; GHG tab not rebuilt.</w:t>
      </w:r>
    </w:p>
    <w:p>
      <w:pPr>
        <w:pStyle w:val="ListBullet"/>
      </w:pPr>
      <w:r>
        <w:t xml:space="preserve">Columns </w:t>
      </w:r>
      <w:r>
        <w:rPr>
          <w:b/>
        </w:rPr>
        <w:t>AF–AQ redefined</w:t>
      </w:r>
      <w:r>
        <w:t xml:space="preserve"> (yellow headers): legacy half-elasticity block replaced by the K decomposition (AF–AM), export-weighted intensity change (AN), gross revenue (AO), rebates (AP), O under FULL (AQ).</w:t>
      </w:r>
    </w:p>
    <w:p>
      <w:pPr>
        <w:pStyle w:val="ListBullet"/>
      </w:pPr>
      <w:r>
        <w:t>Row 4 mode indicator; C3 is a formula; G7 label corrected ("$20 flat from 2028").</w:t>
      </w:r>
    </w:p>
    <w:p>
      <w:pPr>
        <w:pStyle w:val="ListBullet"/>
      </w:pPr>
      <w:r>
        <w:t>Rows 14–22 (non-modelled bundles) copied verbatim and greyed, not recomputed.</w:t>
      </w:r>
    </w:p>
    <w:p>
      <w:pPr>
        <w:pStyle w:val="ListBullet"/>
      </w:pPr>
      <w:r>
        <w:t>Trajectory rows 26–29 rebuilt as contiguous years 2027–2034 in F–M, live, plus a CBAM phase-in row.</w:t>
      </w:r>
    </w:p>
    <w:p>
      <w:pPr>
        <w:pStyle w:val="ListBullet"/>
      </w:pPr>
      <w:r>
        <w:t>Columns B, D, E hidden as in the original; widths and header styling preserved.</w:t>
      </w:r>
    </w:p>
    <w:p>
      <w:pPr>
        <w:pStyle w:val="Heading2"/>
      </w:pPr>
      <w:r>
        <w:t>6. Open flags for review</w:t>
      </w:r>
    </w:p>
    <w:p>
      <w:pPr>
        <w:pStyle w:val="ListNumber"/>
      </w:pPr>
      <w:r>
        <w:t xml:space="preserve">kappa(EG3) = 0.54: </w:t>
      </w:r>
      <w:r>
        <w:rPr>
          <w:rFonts w:ascii="Consolas" w:hAnsi="Consolas" w:eastAsia="Consolas"/>
        </w:rPr>
        <w:t>KappaMode</w:t>
      </w:r>
      <w:r>
        <w:t xml:space="preserve"> = SCALE approximates full coverage; a CPAT EG3 re-run with all industrial energy CO2 priced is still pending. After a true full-coverage run, set </w:t>
      </w:r>
      <w:r>
        <w:rPr>
          <w:rFonts w:ascii="Consolas" w:hAnsi="Consolas" w:eastAsia="Consolas"/>
        </w:rPr>
        <w:t>KappaMode</w:t>
      </w:r>
      <w:r>
        <w:t xml:space="preserve"> = ONE or retire SCALE.</w:t>
      </w:r>
    </w:p>
    <w:p>
      <w:pPr>
        <w:pStyle w:val="ListNumber"/>
      </w:pPr>
      <w:r>
        <w:t>Non-CBAM IPPU (43 % of IPPU) is assumed unresponsive to a fuel-only price (</w:t>
      </w:r>
      <w:r>
        <w:rPr>
          <w:rFonts w:ascii="Consolas" w:hAnsi="Consolas" w:eastAsia="Consolas"/>
        </w:rPr>
        <w:t>IppuOther</w:t>
      </w:r>
      <w:r>
        <w:t>).</w:t>
      </w:r>
    </w:p>
    <w:p>
      <w:pPr>
        <w:pStyle w:val="ListNumber"/>
      </w:pPr>
      <w:r>
        <w:t>Deaths rescaling for 3B/3C is proportional to energy CO2 (approximation).</w:t>
      </w:r>
    </w:p>
    <w:p>
      <w:pPr>
        <w:pStyle w:val="ListNumber"/>
      </w:pPr>
      <w:r>
        <w:t xml:space="preserve">The beta set (IPCC central), </w:t>
      </w:r>
      <w:r>
        <w:rPr>
          <w:rFonts w:ascii="Consolas" w:hAnsi="Consolas" w:eastAsia="Consolas"/>
        </w:rPr>
        <w:t>PStar</w:t>
      </w:r>
      <w:r>
        <w:t xml:space="preserve"> = 122 and sigma = 20 $/t are judgements; the fund outlay bound stays below the 3C budget.</w:t>
      </w:r>
    </w:p>
    <w:p>
      <w:pPr>
        <w:pStyle w:val="ListNumber"/>
      </w:pPr>
      <w:r>
        <w:t>3B rebates all covered industry (</w:t>
      </w:r>
      <w:r>
        <w:rPr>
          <w:rFonts w:ascii="Consolas" w:hAnsi="Consolas" w:eastAsia="Consolas"/>
        </w:rPr>
        <w:t>ThetaOther</w:t>
      </w:r>
      <w:r>
        <w:t xml:space="preserve"> = 1); </w:t>
      </w:r>
      <w:r>
        <w:rPr>
          <w:rFonts w:ascii="Consolas" w:hAnsi="Consolas" w:eastAsia="Consolas"/>
        </w:rPr>
        <w:t>ThetaOther</w:t>
      </w:r>
      <w:r>
        <w:t xml:space="preserve"> = 0 (CBAM producers only) remains available as a switch.</w:t>
      </w:r>
    </w:p>
    <w:p>
      <w:pPr>
        <w:pStyle w:val="ListNumber"/>
      </w:pPr>
      <w:r>
        <w:t>O here is the deduction-based obligation (FULL default). The final Table 2 row O is the intensity-only measure and is calculated elsewhere.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